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973B1A" w14:textId="6455AACB" w:rsidR="00312E3E" w:rsidRPr="00340BEE" w:rsidRDefault="00312E3E" w:rsidP="00312E3E">
      <w:pPr>
        <w:spacing w:after="0"/>
        <w:jc w:val="center"/>
        <w:rPr>
          <w:rFonts w:ascii="Arial" w:hAnsi="Arial" w:cs="Arial"/>
          <w:b/>
          <w:sz w:val="20"/>
          <w:szCs w:val="20"/>
        </w:rPr>
      </w:pPr>
      <w:r w:rsidRPr="00340BEE">
        <w:rPr>
          <w:rFonts w:ascii="Arial" w:hAnsi="Arial" w:cs="Arial"/>
          <w:b/>
          <w:sz w:val="20"/>
          <w:szCs w:val="20"/>
        </w:rPr>
        <w:t>INTER</w:t>
      </w:r>
      <w:r w:rsidR="00340BEE">
        <w:rPr>
          <w:rFonts w:ascii="Arial" w:hAnsi="Arial" w:cs="Arial"/>
          <w:b/>
          <w:sz w:val="20"/>
          <w:szCs w:val="20"/>
        </w:rPr>
        <w:t>-</w:t>
      </w:r>
      <w:r w:rsidRPr="00340BEE">
        <w:rPr>
          <w:rFonts w:ascii="Arial" w:hAnsi="Arial" w:cs="Arial"/>
          <w:b/>
          <w:sz w:val="20"/>
          <w:szCs w:val="20"/>
        </w:rPr>
        <w:t>AMERICAN DEVELOPMENT BANK DOCUMENT</w:t>
      </w:r>
    </w:p>
    <w:p w14:paraId="4EC3188E" w14:textId="77777777" w:rsidR="00312E3E" w:rsidRPr="00340BEE" w:rsidRDefault="00312E3E" w:rsidP="00312E3E">
      <w:pPr>
        <w:spacing w:after="0"/>
        <w:jc w:val="center"/>
        <w:rPr>
          <w:rFonts w:ascii="Arial" w:hAnsi="Arial" w:cs="Arial"/>
          <w:b/>
          <w:sz w:val="20"/>
          <w:szCs w:val="20"/>
        </w:rPr>
      </w:pPr>
    </w:p>
    <w:p w14:paraId="2D91DDB3" w14:textId="77777777" w:rsidR="00312E3E" w:rsidRPr="00340BEE" w:rsidRDefault="00312E3E" w:rsidP="00C6480D">
      <w:pPr>
        <w:spacing w:after="0"/>
        <w:rPr>
          <w:rFonts w:ascii="Arial" w:hAnsi="Arial" w:cs="Arial"/>
          <w:b/>
          <w:sz w:val="20"/>
          <w:szCs w:val="20"/>
        </w:rPr>
      </w:pPr>
    </w:p>
    <w:p w14:paraId="4FF2D4E6" w14:textId="77777777" w:rsidR="00312E3E" w:rsidRPr="00340BEE" w:rsidRDefault="00312E3E" w:rsidP="00312E3E">
      <w:pPr>
        <w:spacing w:after="0"/>
        <w:jc w:val="center"/>
        <w:rPr>
          <w:rFonts w:ascii="Arial" w:hAnsi="Arial" w:cs="Arial"/>
          <w:b/>
          <w:sz w:val="20"/>
          <w:szCs w:val="20"/>
        </w:rPr>
      </w:pPr>
    </w:p>
    <w:p w14:paraId="31DE503A" w14:textId="77777777" w:rsidR="00312E3E" w:rsidRPr="00340BEE" w:rsidRDefault="00312E3E" w:rsidP="00312E3E">
      <w:pPr>
        <w:spacing w:after="0"/>
        <w:jc w:val="center"/>
        <w:rPr>
          <w:rFonts w:ascii="Arial" w:hAnsi="Arial" w:cs="Arial"/>
          <w:b/>
          <w:sz w:val="20"/>
          <w:szCs w:val="20"/>
        </w:rPr>
      </w:pPr>
    </w:p>
    <w:p w14:paraId="38B87E4A" w14:textId="77777777" w:rsidR="00312E3E" w:rsidRPr="00340BEE" w:rsidRDefault="00312E3E" w:rsidP="00312E3E">
      <w:pPr>
        <w:spacing w:after="0"/>
        <w:jc w:val="center"/>
        <w:rPr>
          <w:rFonts w:ascii="Arial" w:hAnsi="Arial" w:cs="Arial"/>
          <w:b/>
          <w:sz w:val="20"/>
          <w:szCs w:val="20"/>
        </w:rPr>
      </w:pPr>
    </w:p>
    <w:p w14:paraId="18D19FB9" w14:textId="77777777" w:rsidR="00312E3E" w:rsidRPr="00340BEE" w:rsidRDefault="00312E3E" w:rsidP="00312E3E">
      <w:pPr>
        <w:spacing w:after="0"/>
        <w:jc w:val="center"/>
        <w:rPr>
          <w:rFonts w:ascii="Arial" w:hAnsi="Arial" w:cs="Arial"/>
          <w:b/>
          <w:sz w:val="20"/>
          <w:szCs w:val="20"/>
        </w:rPr>
      </w:pPr>
    </w:p>
    <w:p w14:paraId="3CE93095" w14:textId="77777777" w:rsidR="00312E3E" w:rsidRPr="00340BEE" w:rsidRDefault="00312E3E" w:rsidP="00312E3E">
      <w:pPr>
        <w:spacing w:after="0"/>
        <w:jc w:val="center"/>
        <w:rPr>
          <w:rFonts w:ascii="Arial" w:hAnsi="Arial" w:cs="Arial"/>
          <w:b/>
          <w:sz w:val="20"/>
          <w:szCs w:val="20"/>
        </w:rPr>
      </w:pPr>
    </w:p>
    <w:p w14:paraId="58F99CB1" w14:textId="77777777" w:rsidR="00312E3E" w:rsidRPr="00340BEE" w:rsidRDefault="00312E3E" w:rsidP="00312E3E">
      <w:pPr>
        <w:spacing w:after="0"/>
        <w:jc w:val="center"/>
        <w:rPr>
          <w:rFonts w:ascii="Arial" w:hAnsi="Arial" w:cs="Arial"/>
          <w:b/>
          <w:sz w:val="20"/>
          <w:szCs w:val="20"/>
        </w:rPr>
      </w:pPr>
    </w:p>
    <w:p w14:paraId="7AFD26F6" w14:textId="77777777" w:rsidR="00312E3E" w:rsidRPr="00340BEE" w:rsidRDefault="00312E3E" w:rsidP="00312E3E">
      <w:pPr>
        <w:spacing w:after="0"/>
        <w:jc w:val="center"/>
        <w:rPr>
          <w:rFonts w:ascii="Arial" w:hAnsi="Arial" w:cs="Arial"/>
          <w:b/>
          <w:sz w:val="20"/>
          <w:szCs w:val="20"/>
        </w:rPr>
      </w:pPr>
    </w:p>
    <w:p w14:paraId="458611B3" w14:textId="77777777" w:rsidR="00340BEE" w:rsidRDefault="00340BEE" w:rsidP="00312E3E">
      <w:pPr>
        <w:spacing w:after="0"/>
        <w:jc w:val="center"/>
        <w:rPr>
          <w:rFonts w:ascii="Arial" w:hAnsi="Arial" w:cs="Arial"/>
          <w:b/>
          <w:sz w:val="24"/>
          <w:szCs w:val="20"/>
        </w:rPr>
      </w:pPr>
    </w:p>
    <w:p w14:paraId="4361E5B5" w14:textId="77777777" w:rsidR="00340BEE" w:rsidRDefault="00340BEE" w:rsidP="00312E3E">
      <w:pPr>
        <w:spacing w:after="0"/>
        <w:jc w:val="center"/>
        <w:rPr>
          <w:rFonts w:ascii="Arial" w:hAnsi="Arial" w:cs="Arial"/>
          <w:b/>
          <w:sz w:val="24"/>
          <w:szCs w:val="20"/>
        </w:rPr>
      </w:pPr>
    </w:p>
    <w:p w14:paraId="5CCCA473" w14:textId="77777777" w:rsidR="00312E3E" w:rsidRPr="00340BEE" w:rsidRDefault="00312E3E" w:rsidP="00312E3E">
      <w:pPr>
        <w:spacing w:after="0"/>
        <w:jc w:val="center"/>
        <w:rPr>
          <w:rFonts w:ascii="Arial" w:hAnsi="Arial" w:cs="Arial"/>
          <w:b/>
          <w:sz w:val="24"/>
          <w:szCs w:val="20"/>
        </w:rPr>
      </w:pPr>
      <w:r w:rsidRPr="00340BEE">
        <w:rPr>
          <w:rFonts w:ascii="Arial" w:hAnsi="Arial" w:cs="Arial"/>
          <w:b/>
          <w:sz w:val="24"/>
          <w:szCs w:val="20"/>
        </w:rPr>
        <w:t>JAMAICA</w:t>
      </w:r>
    </w:p>
    <w:p w14:paraId="31CDBE00" w14:textId="77777777" w:rsidR="00312E3E" w:rsidRPr="00340BEE" w:rsidRDefault="00312E3E" w:rsidP="00312E3E">
      <w:pPr>
        <w:spacing w:after="0"/>
        <w:jc w:val="center"/>
        <w:rPr>
          <w:rFonts w:ascii="Arial" w:hAnsi="Arial" w:cs="Arial"/>
          <w:b/>
          <w:szCs w:val="20"/>
        </w:rPr>
      </w:pPr>
    </w:p>
    <w:p w14:paraId="3CFEC0E5" w14:textId="77777777" w:rsidR="00312E3E" w:rsidRPr="00340BEE" w:rsidRDefault="00312E3E" w:rsidP="00312E3E">
      <w:pPr>
        <w:spacing w:after="0"/>
        <w:jc w:val="center"/>
        <w:rPr>
          <w:rFonts w:ascii="Arial" w:hAnsi="Arial" w:cs="Arial"/>
          <w:b/>
          <w:szCs w:val="20"/>
        </w:rPr>
      </w:pPr>
    </w:p>
    <w:p w14:paraId="143AE231" w14:textId="77777777" w:rsidR="00312E3E" w:rsidRPr="00340BEE" w:rsidRDefault="00312E3E" w:rsidP="00312E3E">
      <w:pPr>
        <w:spacing w:after="0"/>
        <w:jc w:val="center"/>
        <w:rPr>
          <w:rFonts w:ascii="Arial" w:hAnsi="Arial" w:cs="Arial"/>
          <w:b/>
          <w:szCs w:val="20"/>
        </w:rPr>
      </w:pPr>
    </w:p>
    <w:p w14:paraId="320432D7" w14:textId="77777777" w:rsidR="00312E3E" w:rsidRPr="00340BEE" w:rsidRDefault="00312E3E" w:rsidP="00312E3E">
      <w:pPr>
        <w:spacing w:after="0"/>
        <w:jc w:val="center"/>
        <w:rPr>
          <w:rFonts w:ascii="Arial" w:hAnsi="Arial" w:cs="Arial"/>
          <w:b/>
          <w:szCs w:val="20"/>
        </w:rPr>
      </w:pPr>
    </w:p>
    <w:p w14:paraId="661F2F0E" w14:textId="77777777" w:rsidR="00312E3E" w:rsidRPr="00340BEE" w:rsidRDefault="00312E3E" w:rsidP="00312E3E">
      <w:pPr>
        <w:spacing w:after="0"/>
        <w:jc w:val="center"/>
        <w:rPr>
          <w:rFonts w:ascii="Arial" w:hAnsi="Arial" w:cs="Arial"/>
          <w:b/>
          <w:szCs w:val="20"/>
        </w:rPr>
      </w:pPr>
    </w:p>
    <w:p w14:paraId="555D1AD4" w14:textId="77777777" w:rsidR="00312E3E" w:rsidRPr="00340BEE" w:rsidRDefault="00312E3E" w:rsidP="00312E3E">
      <w:pPr>
        <w:spacing w:after="0"/>
        <w:jc w:val="center"/>
        <w:rPr>
          <w:rFonts w:ascii="Arial" w:hAnsi="Arial" w:cs="Arial"/>
          <w:b/>
          <w:szCs w:val="20"/>
        </w:rPr>
      </w:pPr>
    </w:p>
    <w:p w14:paraId="6FDB22AF" w14:textId="77777777" w:rsidR="00312E3E" w:rsidRPr="00340BEE" w:rsidRDefault="00312E3E" w:rsidP="00312E3E">
      <w:pPr>
        <w:shd w:val="clear" w:color="auto" w:fill="FFFFFF" w:themeFill="background1"/>
        <w:jc w:val="center"/>
        <w:rPr>
          <w:rFonts w:ascii="Arial" w:hAnsi="Arial" w:cs="Arial"/>
          <w:b/>
          <w:szCs w:val="20"/>
        </w:rPr>
      </w:pPr>
    </w:p>
    <w:p w14:paraId="44CE9473" w14:textId="77777777" w:rsidR="00312E3E" w:rsidRPr="00340BEE" w:rsidRDefault="00312E3E" w:rsidP="00312E3E">
      <w:pPr>
        <w:shd w:val="clear" w:color="auto" w:fill="FFFFFF" w:themeFill="background1"/>
        <w:jc w:val="center"/>
        <w:rPr>
          <w:rFonts w:ascii="Arial" w:hAnsi="Arial" w:cs="Arial"/>
          <w:b/>
          <w:szCs w:val="20"/>
        </w:rPr>
      </w:pPr>
      <w:r w:rsidRPr="00340BEE">
        <w:rPr>
          <w:rFonts w:ascii="Arial" w:hAnsi="Arial" w:cs="Arial"/>
          <w:b/>
          <w:szCs w:val="20"/>
        </w:rPr>
        <w:t>Fiscal Structural Programme for Economic Growth I</w:t>
      </w:r>
      <w:r w:rsidR="00816E1C" w:rsidRPr="00340BEE">
        <w:rPr>
          <w:rFonts w:ascii="Arial" w:hAnsi="Arial" w:cs="Arial"/>
          <w:b/>
          <w:szCs w:val="20"/>
        </w:rPr>
        <w:t>I</w:t>
      </w:r>
      <w:r w:rsidR="0071533E" w:rsidRPr="00340BEE">
        <w:rPr>
          <w:rFonts w:ascii="Arial" w:hAnsi="Arial" w:cs="Arial"/>
          <w:b/>
          <w:szCs w:val="20"/>
        </w:rPr>
        <w:t>I</w:t>
      </w:r>
    </w:p>
    <w:p w14:paraId="4421E9CD" w14:textId="77777777" w:rsidR="00312E3E" w:rsidRPr="00340BEE" w:rsidRDefault="00312E3E" w:rsidP="00312E3E">
      <w:pPr>
        <w:shd w:val="clear" w:color="auto" w:fill="FFFFFF" w:themeFill="background1"/>
        <w:jc w:val="center"/>
        <w:rPr>
          <w:rFonts w:ascii="Arial" w:hAnsi="Arial" w:cs="Arial"/>
          <w:b/>
          <w:szCs w:val="20"/>
        </w:rPr>
      </w:pPr>
    </w:p>
    <w:p w14:paraId="64133822" w14:textId="77777777" w:rsidR="00312E3E" w:rsidRPr="00340BEE" w:rsidRDefault="00312E3E" w:rsidP="00312E3E">
      <w:pPr>
        <w:shd w:val="clear" w:color="auto" w:fill="FFFFFF" w:themeFill="background1"/>
        <w:jc w:val="center"/>
        <w:rPr>
          <w:rFonts w:ascii="Arial" w:hAnsi="Arial" w:cs="Arial"/>
          <w:b/>
          <w:smallCaps/>
          <w:szCs w:val="20"/>
        </w:rPr>
      </w:pPr>
      <w:bookmarkStart w:id="0" w:name="Text7"/>
      <w:r w:rsidRPr="00340BEE">
        <w:rPr>
          <w:rFonts w:ascii="Arial" w:hAnsi="Arial" w:cs="Arial"/>
          <w:b/>
          <w:smallCaps/>
          <w:szCs w:val="20"/>
        </w:rPr>
        <w:t>(</w:t>
      </w:r>
      <w:bookmarkEnd w:id="0"/>
      <w:r w:rsidRPr="00340BEE">
        <w:rPr>
          <w:rFonts w:ascii="Arial" w:hAnsi="Arial" w:cs="Arial"/>
          <w:b/>
          <w:smallCaps/>
          <w:szCs w:val="20"/>
        </w:rPr>
        <w:t>JA-L10</w:t>
      </w:r>
      <w:r w:rsidR="0071533E" w:rsidRPr="00340BEE">
        <w:rPr>
          <w:rFonts w:ascii="Arial" w:hAnsi="Arial" w:cs="Arial"/>
          <w:b/>
          <w:smallCaps/>
          <w:szCs w:val="20"/>
        </w:rPr>
        <w:t>55</w:t>
      </w:r>
      <w:r w:rsidRPr="00340BEE">
        <w:rPr>
          <w:rFonts w:ascii="Arial" w:hAnsi="Arial" w:cs="Arial"/>
          <w:b/>
          <w:smallCaps/>
          <w:szCs w:val="20"/>
        </w:rPr>
        <w:t>)</w:t>
      </w:r>
    </w:p>
    <w:p w14:paraId="505D6850" w14:textId="77777777" w:rsidR="00312E3E" w:rsidRPr="00340BEE" w:rsidRDefault="00312E3E" w:rsidP="00312E3E">
      <w:pPr>
        <w:spacing w:after="0"/>
        <w:jc w:val="center"/>
        <w:rPr>
          <w:rFonts w:ascii="Arial" w:hAnsi="Arial" w:cs="Arial"/>
          <w:b/>
          <w:szCs w:val="20"/>
        </w:rPr>
      </w:pPr>
    </w:p>
    <w:p w14:paraId="2A77977C" w14:textId="77777777" w:rsidR="00312E3E" w:rsidRPr="00340BEE" w:rsidRDefault="00312E3E" w:rsidP="00312E3E">
      <w:pPr>
        <w:spacing w:after="0"/>
        <w:jc w:val="center"/>
        <w:rPr>
          <w:rFonts w:ascii="Arial" w:hAnsi="Arial" w:cs="Arial"/>
          <w:b/>
          <w:szCs w:val="20"/>
        </w:rPr>
      </w:pPr>
    </w:p>
    <w:p w14:paraId="48FB4265" w14:textId="77777777" w:rsidR="00312E3E" w:rsidRPr="00340BEE" w:rsidRDefault="00312E3E" w:rsidP="00312E3E">
      <w:pPr>
        <w:spacing w:after="0"/>
        <w:jc w:val="center"/>
        <w:rPr>
          <w:rFonts w:ascii="Arial" w:hAnsi="Arial" w:cs="Arial"/>
          <w:b/>
          <w:szCs w:val="20"/>
        </w:rPr>
      </w:pPr>
    </w:p>
    <w:p w14:paraId="6A2EE811" w14:textId="77777777" w:rsidR="00312E3E" w:rsidRPr="00340BEE" w:rsidRDefault="00634FCC" w:rsidP="00312E3E">
      <w:pPr>
        <w:spacing w:after="0"/>
        <w:jc w:val="center"/>
        <w:rPr>
          <w:rFonts w:ascii="Arial" w:hAnsi="Arial" w:cs="Arial"/>
          <w:b/>
          <w:szCs w:val="20"/>
        </w:rPr>
      </w:pPr>
      <w:r w:rsidRPr="00340BEE">
        <w:rPr>
          <w:rFonts w:ascii="Arial" w:hAnsi="Arial" w:cs="Arial"/>
          <w:b/>
          <w:szCs w:val="20"/>
        </w:rPr>
        <w:t>ECONOMIC ANALYSIS</w:t>
      </w:r>
    </w:p>
    <w:p w14:paraId="2489CA0A" w14:textId="77777777" w:rsidR="00312E3E" w:rsidRPr="00340BEE" w:rsidRDefault="00312E3E" w:rsidP="00312E3E">
      <w:pPr>
        <w:spacing w:after="0"/>
        <w:jc w:val="center"/>
        <w:rPr>
          <w:rFonts w:ascii="Arial" w:hAnsi="Arial" w:cs="Arial"/>
          <w:b/>
          <w:szCs w:val="20"/>
        </w:rPr>
      </w:pPr>
    </w:p>
    <w:p w14:paraId="5518B0C2" w14:textId="77777777" w:rsidR="00666950" w:rsidRPr="00340BEE" w:rsidRDefault="00666950" w:rsidP="00312E3E">
      <w:pPr>
        <w:spacing w:after="0"/>
        <w:jc w:val="center"/>
        <w:rPr>
          <w:rFonts w:ascii="Arial" w:hAnsi="Arial" w:cs="Arial"/>
          <w:b/>
          <w:szCs w:val="20"/>
        </w:rPr>
      </w:pPr>
    </w:p>
    <w:p w14:paraId="2F41D520" w14:textId="77777777" w:rsidR="00666950" w:rsidRPr="00340BEE" w:rsidRDefault="00666950" w:rsidP="00312E3E">
      <w:pPr>
        <w:spacing w:after="0"/>
        <w:jc w:val="center"/>
        <w:rPr>
          <w:rFonts w:ascii="Arial" w:hAnsi="Arial" w:cs="Arial"/>
          <w:b/>
          <w:sz w:val="20"/>
          <w:szCs w:val="20"/>
        </w:rPr>
      </w:pPr>
    </w:p>
    <w:p w14:paraId="0B99ED84" w14:textId="77777777" w:rsidR="00480A38" w:rsidRDefault="00480A38" w:rsidP="00312E3E">
      <w:pPr>
        <w:spacing w:after="0"/>
        <w:jc w:val="center"/>
        <w:rPr>
          <w:rFonts w:ascii="Arial" w:hAnsi="Arial" w:cs="Arial"/>
          <w:b/>
          <w:sz w:val="20"/>
          <w:szCs w:val="20"/>
        </w:rPr>
      </w:pPr>
    </w:p>
    <w:p w14:paraId="75FC60E2" w14:textId="77777777" w:rsidR="00340BEE" w:rsidRDefault="00340BEE" w:rsidP="00312E3E">
      <w:pPr>
        <w:spacing w:after="0"/>
        <w:jc w:val="center"/>
        <w:rPr>
          <w:rFonts w:ascii="Arial" w:hAnsi="Arial" w:cs="Arial"/>
          <w:b/>
          <w:sz w:val="20"/>
          <w:szCs w:val="20"/>
        </w:rPr>
      </w:pPr>
    </w:p>
    <w:p w14:paraId="6E1DB7A2" w14:textId="77777777" w:rsidR="00340BEE" w:rsidRDefault="00340BEE" w:rsidP="00312E3E">
      <w:pPr>
        <w:spacing w:after="0"/>
        <w:jc w:val="center"/>
        <w:rPr>
          <w:rFonts w:ascii="Arial" w:hAnsi="Arial" w:cs="Arial"/>
          <w:b/>
          <w:sz w:val="20"/>
          <w:szCs w:val="20"/>
        </w:rPr>
      </w:pPr>
    </w:p>
    <w:p w14:paraId="051AB386" w14:textId="77777777" w:rsidR="00340BEE" w:rsidRDefault="00340BEE" w:rsidP="00312E3E">
      <w:pPr>
        <w:spacing w:after="0"/>
        <w:jc w:val="center"/>
        <w:rPr>
          <w:rFonts w:ascii="Arial" w:hAnsi="Arial" w:cs="Arial"/>
          <w:b/>
          <w:sz w:val="20"/>
          <w:szCs w:val="20"/>
        </w:rPr>
      </w:pPr>
    </w:p>
    <w:p w14:paraId="6C65BDEB" w14:textId="77777777" w:rsidR="00340BEE" w:rsidRPr="00340BEE" w:rsidRDefault="00340BEE" w:rsidP="00312E3E">
      <w:pPr>
        <w:spacing w:after="0"/>
        <w:jc w:val="center"/>
        <w:rPr>
          <w:rFonts w:ascii="Arial" w:hAnsi="Arial" w:cs="Arial"/>
          <w:b/>
          <w:sz w:val="20"/>
          <w:szCs w:val="20"/>
        </w:rPr>
      </w:pPr>
    </w:p>
    <w:p w14:paraId="2B399FF8" w14:textId="77777777" w:rsidR="00480A38" w:rsidRPr="00340BEE" w:rsidRDefault="00480A38" w:rsidP="00312E3E">
      <w:pPr>
        <w:spacing w:after="0"/>
        <w:jc w:val="center"/>
        <w:rPr>
          <w:rFonts w:ascii="Arial" w:hAnsi="Arial" w:cs="Arial"/>
          <w:b/>
          <w:sz w:val="20"/>
          <w:szCs w:val="20"/>
        </w:rPr>
      </w:pPr>
    </w:p>
    <w:p w14:paraId="5CBABDB7" w14:textId="77777777" w:rsidR="00312E3E" w:rsidRPr="00340BEE" w:rsidRDefault="00312E3E" w:rsidP="00312E3E">
      <w:pPr>
        <w:spacing w:after="0"/>
        <w:jc w:val="center"/>
        <w:rPr>
          <w:rFonts w:ascii="Arial" w:hAnsi="Arial" w:cs="Arial"/>
          <w:b/>
          <w:sz w:val="20"/>
          <w:szCs w:val="20"/>
        </w:rPr>
      </w:pPr>
    </w:p>
    <w:p w14:paraId="030D0068" w14:textId="77777777" w:rsidR="00312E3E" w:rsidRPr="00340BEE" w:rsidRDefault="00312E3E" w:rsidP="00312E3E">
      <w:pPr>
        <w:spacing w:after="0"/>
        <w:jc w:val="center"/>
        <w:rPr>
          <w:rFonts w:ascii="Arial" w:hAnsi="Arial" w:cs="Arial"/>
          <w:b/>
          <w:sz w:val="20"/>
          <w:szCs w:val="20"/>
        </w:rPr>
      </w:pPr>
    </w:p>
    <w:p w14:paraId="24D550FA" w14:textId="03FBDEA3" w:rsidR="00312E3E" w:rsidRPr="00340BEE" w:rsidRDefault="00312E3E" w:rsidP="00312E3E">
      <w:pPr>
        <w:pBdr>
          <w:top w:val="single" w:sz="4" w:space="1" w:color="auto"/>
          <w:left w:val="single" w:sz="4" w:space="4" w:color="auto"/>
          <w:bottom w:val="single" w:sz="4" w:space="1" w:color="auto"/>
          <w:right w:val="single" w:sz="4" w:space="4" w:color="auto"/>
        </w:pBdr>
        <w:shd w:val="clear" w:color="auto" w:fill="FFFFFF" w:themeFill="background1"/>
        <w:jc w:val="both"/>
        <w:rPr>
          <w:rFonts w:ascii="Arial" w:hAnsi="Arial" w:cs="Arial"/>
          <w:sz w:val="20"/>
          <w:szCs w:val="20"/>
        </w:rPr>
      </w:pPr>
      <w:r w:rsidRPr="00340BEE">
        <w:rPr>
          <w:rFonts w:ascii="Arial" w:hAnsi="Arial" w:cs="Arial"/>
          <w:sz w:val="20"/>
          <w:szCs w:val="20"/>
        </w:rPr>
        <w:t>This document was prepared by</w:t>
      </w:r>
      <w:r w:rsidR="00340BEE">
        <w:rPr>
          <w:rFonts w:ascii="Arial" w:hAnsi="Arial" w:cs="Arial"/>
          <w:sz w:val="20"/>
          <w:szCs w:val="20"/>
        </w:rPr>
        <w:t>: Gerardo Reyes-Tagle (IFD/FMM);</w:t>
      </w:r>
      <w:r w:rsidRPr="00340BEE">
        <w:rPr>
          <w:rFonts w:ascii="Arial" w:hAnsi="Arial" w:cs="Arial"/>
          <w:sz w:val="20"/>
          <w:szCs w:val="20"/>
        </w:rPr>
        <w:t xml:space="preserve"> </w:t>
      </w:r>
      <w:r w:rsidR="00DD285E" w:rsidRPr="00340BEE">
        <w:rPr>
          <w:rFonts w:ascii="Arial" w:hAnsi="Arial" w:cs="Arial"/>
          <w:sz w:val="20"/>
          <w:szCs w:val="20"/>
        </w:rPr>
        <w:t xml:space="preserve">in coordination with </w:t>
      </w:r>
      <w:r w:rsidR="00D77705" w:rsidRPr="00340BEE">
        <w:rPr>
          <w:rFonts w:ascii="Arial" w:hAnsi="Arial" w:cs="Arial"/>
          <w:sz w:val="20"/>
          <w:szCs w:val="20"/>
        </w:rPr>
        <w:t>Marcio Cracel</w:t>
      </w:r>
      <w:r w:rsidR="00340BEE">
        <w:rPr>
          <w:rFonts w:ascii="Arial" w:hAnsi="Arial" w:cs="Arial"/>
          <w:sz w:val="20"/>
          <w:szCs w:val="20"/>
        </w:rPr>
        <w:t>;</w:t>
      </w:r>
      <w:r w:rsidR="00D77705" w:rsidRPr="00340BEE">
        <w:rPr>
          <w:rFonts w:ascii="Arial" w:hAnsi="Arial" w:cs="Arial"/>
          <w:sz w:val="20"/>
          <w:szCs w:val="20"/>
        </w:rPr>
        <w:t xml:space="preserve"> </w:t>
      </w:r>
      <w:r w:rsidR="00340BEE">
        <w:rPr>
          <w:rFonts w:ascii="Arial" w:hAnsi="Arial" w:cs="Arial"/>
          <w:sz w:val="20"/>
          <w:szCs w:val="20"/>
        </w:rPr>
        <w:t>Jorge Baca Campodonico; Carlos Silvani;</w:t>
      </w:r>
      <w:r w:rsidRPr="00340BEE">
        <w:rPr>
          <w:rFonts w:ascii="Arial" w:hAnsi="Arial" w:cs="Arial"/>
          <w:sz w:val="20"/>
          <w:szCs w:val="20"/>
        </w:rPr>
        <w:t xml:space="preserve"> </w:t>
      </w:r>
      <w:r w:rsidR="00D77705" w:rsidRPr="00340BEE">
        <w:rPr>
          <w:rFonts w:ascii="Arial" w:hAnsi="Arial" w:cs="Arial"/>
          <w:sz w:val="20"/>
          <w:szCs w:val="20"/>
        </w:rPr>
        <w:t xml:space="preserve">and </w:t>
      </w:r>
      <w:r w:rsidRPr="00340BEE">
        <w:rPr>
          <w:rFonts w:ascii="Arial" w:hAnsi="Arial" w:cs="Arial"/>
          <w:sz w:val="20"/>
          <w:szCs w:val="20"/>
        </w:rPr>
        <w:t>Hunt Howell (consult</w:t>
      </w:r>
      <w:r w:rsidR="00757FB6" w:rsidRPr="00340BEE">
        <w:rPr>
          <w:rFonts w:ascii="Arial" w:hAnsi="Arial" w:cs="Arial"/>
          <w:sz w:val="20"/>
          <w:szCs w:val="20"/>
        </w:rPr>
        <w:t>ants</w:t>
      </w:r>
      <w:r w:rsidRPr="00340BEE">
        <w:rPr>
          <w:rFonts w:ascii="Arial" w:hAnsi="Arial" w:cs="Arial"/>
          <w:sz w:val="20"/>
          <w:szCs w:val="20"/>
        </w:rPr>
        <w:t>)</w:t>
      </w:r>
      <w:r w:rsidR="003E5234">
        <w:rPr>
          <w:rFonts w:ascii="Arial" w:hAnsi="Arial" w:cs="Arial"/>
          <w:sz w:val="20"/>
          <w:szCs w:val="20"/>
        </w:rPr>
        <w:t>.</w:t>
      </w:r>
    </w:p>
    <w:p w14:paraId="26904D55" w14:textId="77777777" w:rsidR="0071533E" w:rsidRDefault="0071533E" w:rsidP="0071533E">
      <w:pPr>
        <w:pStyle w:val="ListParagraph"/>
        <w:spacing w:after="0"/>
        <w:ind w:left="0"/>
        <w:contextualSpacing w:val="0"/>
        <w:rPr>
          <w:rFonts w:ascii="Arial" w:hAnsi="Arial" w:cs="Arial"/>
          <w:b/>
          <w:smallCaps/>
          <w:sz w:val="20"/>
          <w:szCs w:val="20"/>
        </w:rPr>
      </w:pPr>
    </w:p>
    <w:p w14:paraId="56DCCA8E" w14:textId="77777777" w:rsidR="00340BEE" w:rsidRDefault="00340BEE" w:rsidP="0071533E">
      <w:pPr>
        <w:pStyle w:val="ListParagraph"/>
        <w:spacing w:after="0"/>
        <w:ind w:left="0"/>
        <w:contextualSpacing w:val="0"/>
        <w:rPr>
          <w:rFonts w:ascii="Arial" w:hAnsi="Arial" w:cs="Arial"/>
          <w:b/>
          <w:smallCaps/>
          <w:sz w:val="20"/>
          <w:szCs w:val="20"/>
        </w:rPr>
      </w:pPr>
    </w:p>
    <w:p w14:paraId="08F37D70" w14:textId="7ECCE1AC" w:rsidR="00757FB6" w:rsidRPr="00340BEE" w:rsidRDefault="00757FB6" w:rsidP="00340BEE">
      <w:pPr>
        <w:pStyle w:val="Chapter"/>
        <w:rPr>
          <w:rFonts w:ascii="Arial" w:hAnsi="Arial" w:cs="Arial"/>
          <w:sz w:val="22"/>
        </w:rPr>
      </w:pPr>
      <w:r w:rsidRPr="00340BEE">
        <w:rPr>
          <w:rFonts w:ascii="Arial" w:hAnsi="Arial" w:cs="Arial"/>
          <w:sz w:val="22"/>
        </w:rPr>
        <w:lastRenderedPageBreak/>
        <w:t>EXECUTIVE SUMMARY</w:t>
      </w:r>
    </w:p>
    <w:p w14:paraId="3B2258B9" w14:textId="77777777" w:rsidR="00F54F26" w:rsidRPr="00340BEE" w:rsidRDefault="00F54F26" w:rsidP="00340BEE">
      <w:pPr>
        <w:pStyle w:val="Paragraph"/>
        <w:rPr>
          <w:rFonts w:ascii="Arial" w:hAnsi="Arial" w:cs="Arial"/>
          <w:sz w:val="20"/>
        </w:rPr>
      </w:pPr>
      <w:r w:rsidRPr="00340BEE">
        <w:rPr>
          <w:rFonts w:ascii="Arial" w:hAnsi="Arial" w:cs="Arial"/>
          <w:sz w:val="20"/>
        </w:rPr>
        <w:t xml:space="preserve">A broad tax reform </w:t>
      </w:r>
      <w:r w:rsidR="004A4507" w:rsidRPr="00340BEE">
        <w:rPr>
          <w:rFonts w:ascii="Arial" w:hAnsi="Arial" w:cs="Arial"/>
          <w:sz w:val="20"/>
        </w:rPr>
        <w:t xml:space="preserve">has been implemented </w:t>
      </w:r>
      <w:r w:rsidR="00551704" w:rsidRPr="00340BEE">
        <w:rPr>
          <w:rFonts w:ascii="Arial" w:hAnsi="Arial" w:cs="Arial"/>
          <w:sz w:val="20"/>
        </w:rPr>
        <w:t xml:space="preserve">in Jamaica </w:t>
      </w:r>
      <w:r w:rsidR="004A4507" w:rsidRPr="00340BEE">
        <w:rPr>
          <w:rFonts w:ascii="Arial" w:hAnsi="Arial" w:cs="Arial"/>
          <w:sz w:val="20"/>
        </w:rPr>
        <w:t>since January 1st 201</w:t>
      </w:r>
      <w:r w:rsidR="00396473" w:rsidRPr="00340BEE">
        <w:rPr>
          <w:rFonts w:ascii="Arial" w:hAnsi="Arial" w:cs="Arial"/>
          <w:sz w:val="20"/>
        </w:rPr>
        <w:t>3</w:t>
      </w:r>
      <w:r w:rsidR="004A4507" w:rsidRPr="00340BEE">
        <w:rPr>
          <w:rFonts w:ascii="Arial" w:hAnsi="Arial" w:cs="Arial"/>
          <w:sz w:val="20"/>
        </w:rPr>
        <w:t xml:space="preserve">. </w:t>
      </w:r>
      <w:r w:rsidRPr="00340BEE">
        <w:rPr>
          <w:rFonts w:ascii="Arial" w:hAnsi="Arial" w:cs="Arial"/>
          <w:sz w:val="20"/>
        </w:rPr>
        <w:t>The reform include</w:t>
      </w:r>
      <w:r w:rsidR="004A4507" w:rsidRPr="00340BEE">
        <w:rPr>
          <w:rFonts w:ascii="Arial" w:hAnsi="Arial" w:cs="Arial"/>
          <w:sz w:val="20"/>
        </w:rPr>
        <w:t>s</w:t>
      </w:r>
      <w:r w:rsidRPr="00340BEE">
        <w:rPr>
          <w:rFonts w:ascii="Arial" w:hAnsi="Arial" w:cs="Arial"/>
          <w:sz w:val="20"/>
        </w:rPr>
        <w:t xml:space="preserve"> legislation to</w:t>
      </w:r>
      <w:r w:rsidR="00C9340A" w:rsidRPr="00340BEE">
        <w:rPr>
          <w:rFonts w:ascii="Arial" w:hAnsi="Arial" w:cs="Arial"/>
          <w:sz w:val="20"/>
        </w:rPr>
        <w:t>:</w:t>
      </w:r>
      <w:r w:rsidRPr="00340BEE">
        <w:rPr>
          <w:rFonts w:ascii="Arial" w:hAnsi="Arial" w:cs="Arial"/>
          <w:sz w:val="20"/>
        </w:rPr>
        <w:t xml:space="preserve"> (i) modernize income tax</w:t>
      </w:r>
      <w:r w:rsidR="004A4507" w:rsidRPr="00340BEE">
        <w:rPr>
          <w:rFonts w:ascii="Arial" w:hAnsi="Arial" w:cs="Arial"/>
          <w:sz w:val="20"/>
        </w:rPr>
        <w:t xml:space="preserve"> and</w:t>
      </w:r>
      <w:r w:rsidRPr="00340BEE">
        <w:rPr>
          <w:rFonts w:ascii="Arial" w:hAnsi="Arial" w:cs="Arial"/>
          <w:sz w:val="20"/>
        </w:rPr>
        <w:t xml:space="preserve"> customs tariffs</w:t>
      </w:r>
      <w:r w:rsidR="00C9340A" w:rsidRPr="00340BEE">
        <w:rPr>
          <w:rFonts w:ascii="Arial" w:hAnsi="Arial" w:cs="Arial"/>
          <w:sz w:val="20"/>
        </w:rPr>
        <w:t>;</w:t>
      </w:r>
      <w:r w:rsidRPr="00340BEE">
        <w:rPr>
          <w:rFonts w:ascii="Arial" w:hAnsi="Arial" w:cs="Arial"/>
          <w:sz w:val="20"/>
        </w:rPr>
        <w:t xml:space="preserve"> (ii) greatly reduce tax and tariff exemptions in all major taxes (except for a limited number of specific goods and services); (iii) remove most exemptions and all zero rating (except for exports in the case of </w:t>
      </w:r>
      <w:r w:rsidR="00634FCC" w:rsidRPr="00340BEE">
        <w:rPr>
          <w:rFonts w:ascii="Arial" w:hAnsi="Arial" w:cs="Arial"/>
          <w:sz w:val="20"/>
        </w:rPr>
        <w:t xml:space="preserve">the </w:t>
      </w:r>
      <w:r w:rsidR="00551704" w:rsidRPr="00340BEE">
        <w:rPr>
          <w:rFonts w:ascii="Arial" w:hAnsi="Arial" w:cs="Arial"/>
          <w:sz w:val="20"/>
        </w:rPr>
        <w:t xml:space="preserve">General Consumption Tax - </w:t>
      </w:r>
      <w:r w:rsidRPr="00340BEE">
        <w:rPr>
          <w:rFonts w:ascii="Arial" w:hAnsi="Arial" w:cs="Arial"/>
          <w:sz w:val="20"/>
        </w:rPr>
        <w:t>GCT); and (iv) establish an initial prudent reduction in tax rates and tariffs.</w:t>
      </w:r>
    </w:p>
    <w:p w14:paraId="2FB27445" w14:textId="77777777" w:rsidR="00F54F26" w:rsidRPr="00340BEE" w:rsidRDefault="00C9340A" w:rsidP="00340BEE">
      <w:pPr>
        <w:pStyle w:val="Paragraph"/>
        <w:rPr>
          <w:rFonts w:ascii="Arial" w:hAnsi="Arial" w:cs="Arial"/>
          <w:sz w:val="20"/>
        </w:rPr>
      </w:pPr>
      <w:r w:rsidRPr="00340BEE">
        <w:rPr>
          <w:rFonts w:ascii="Arial" w:hAnsi="Arial" w:cs="Arial"/>
          <w:sz w:val="20"/>
        </w:rPr>
        <w:t>The k</w:t>
      </w:r>
      <w:r w:rsidR="00F54F26" w:rsidRPr="00340BEE">
        <w:rPr>
          <w:rFonts w:ascii="Arial" w:hAnsi="Arial" w:cs="Arial"/>
          <w:sz w:val="20"/>
        </w:rPr>
        <w:t xml:space="preserve">ey objectives of the tax reform </w:t>
      </w:r>
      <w:r w:rsidR="00551704" w:rsidRPr="00340BEE">
        <w:rPr>
          <w:rFonts w:ascii="Arial" w:hAnsi="Arial" w:cs="Arial"/>
          <w:sz w:val="20"/>
        </w:rPr>
        <w:t>are</w:t>
      </w:r>
      <w:r w:rsidRPr="00340BEE">
        <w:rPr>
          <w:rFonts w:ascii="Arial" w:hAnsi="Arial" w:cs="Arial"/>
          <w:sz w:val="20"/>
        </w:rPr>
        <w:t xml:space="preserve"> to</w:t>
      </w:r>
      <w:r w:rsidR="00F54F26" w:rsidRPr="00340BEE">
        <w:rPr>
          <w:rFonts w:ascii="Arial" w:hAnsi="Arial" w:cs="Arial"/>
          <w:sz w:val="20"/>
        </w:rPr>
        <w:t>: (i) achieve fiscal sustainability</w:t>
      </w:r>
      <w:r w:rsidRPr="00340BEE">
        <w:rPr>
          <w:rFonts w:ascii="Arial" w:hAnsi="Arial" w:cs="Arial"/>
          <w:sz w:val="20"/>
        </w:rPr>
        <w:t xml:space="preserve">; </w:t>
      </w:r>
      <w:r w:rsidR="00F54F26" w:rsidRPr="00340BEE">
        <w:rPr>
          <w:rFonts w:ascii="Arial" w:hAnsi="Arial" w:cs="Arial"/>
          <w:sz w:val="20"/>
        </w:rPr>
        <w:t>(ii) reduce tax expenditures</w:t>
      </w:r>
      <w:r w:rsidRPr="00340BEE">
        <w:rPr>
          <w:rFonts w:ascii="Arial" w:hAnsi="Arial" w:cs="Arial"/>
          <w:sz w:val="20"/>
        </w:rPr>
        <w:t xml:space="preserve">; </w:t>
      </w:r>
      <w:r w:rsidR="00F54F26" w:rsidRPr="00340BEE">
        <w:rPr>
          <w:rFonts w:ascii="Arial" w:hAnsi="Arial" w:cs="Arial"/>
          <w:sz w:val="20"/>
        </w:rPr>
        <w:t>(iii) promote employment</w:t>
      </w:r>
      <w:r w:rsidRPr="00340BEE">
        <w:rPr>
          <w:rFonts w:ascii="Arial" w:hAnsi="Arial" w:cs="Arial"/>
          <w:sz w:val="20"/>
        </w:rPr>
        <w:t xml:space="preserve">; </w:t>
      </w:r>
      <w:r w:rsidR="00F54F26" w:rsidRPr="00340BEE">
        <w:rPr>
          <w:rFonts w:ascii="Arial" w:hAnsi="Arial" w:cs="Arial"/>
          <w:sz w:val="20"/>
        </w:rPr>
        <w:t>(iv)</w:t>
      </w:r>
      <w:r w:rsidR="00634FCC" w:rsidRPr="00340BEE">
        <w:rPr>
          <w:rFonts w:ascii="Arial" w:hAnsi="Arial" w:cs="Arial"/>
          <w:sz w:val="20"/>
        </w:rPr>
        <w:t xml:space="preserve"> </w:t>
      </w:r>
      <w:r w:rsidR="00F54F26" w:rsidRPr="00340BEE">
        <w:rPr>
          <w:rFonts w:ascii="Arial" w:hAnsi="Arial" w:cs="Arial"/>
          <w:sz w:val="20"/>
        </w:rPr>
        <w:t>promote growth</w:t>
      </w:r>
      <w:r w:rsidRPr="00340BEE">
        <w:rPr>
          <w:rFonts w:ascii="Arial" w:hAnsi="Arial" w:cs="Arial"/>
          <w:sz w:val="20"/>
        </w:rPr>
        <w:t xml:space="preserve">; </w:t>
      </w:r>
      <w:r w:rsidR="00F54F26" w:rsidRPr="00340BEE">
        <w:rPr>
          <w:rFonts w:ascii="Arial" w:hAnsi="Arial" w:cs="Arial"/>
          <w:sz w:val="20"/>
        </w:rPr>
        <w:t>(v) improve competitiveness</w:t>
      </w:r>
      <w:r w:rsidRPr="00340BEE">
        <w:rPr>
          <w:rFonts w:ascii="Arial" w:hAnsi="Arial" w:cs="Arial"/>
          <w:sz w:val="20"/>
        </w:rPr>
        <w:t xml:space="preserve">; </w:t>
      </w:r>
      <w:r w:rsidR="00F54F26" w:rsidRPr="00340BEE">
        <w:rPr>
          <w:rFonts w:ascii="Arial" w:hAnsi="Arial" w:cs="Arial"/>
          <w:sz w:val="20"/>
        </w:rPr>
        <w:t>and (vi) improve income distribution.</w:t>
      </w:r>
    </w:p>
    <w:p w14:paraId="6C234458" w14:textId="77777777" w:rsidR="00F54F26" w:rsidRPr="00340BEE" w:rsidRDefault="00F54F26" w:rsidP="00340BEE">
      <w:pPr>
        <w:pStyle w:val="Paragraph"/>
        <w:rPr>
          <w:rFonts w:ascii="Arial" w:hAnsi="Arial" w:cs="Arial"/>
          <w:sz w:val="20"/>
        </w:rPr>
      </w:pPr>
      <w:r w:rsidRPr="00340BEE">
        <w:rPr>
          <w:rFonts w:ascii="Arial" w:hAnsi="Arial" w:cs="Arial"/>
          <w:sz w:val="20"/>
        </w:rPr>
        <w:t>Depending on the improvements in revenue associated with these reforms</w:t>
      </w:r>
      <w:r w:rsidR="00C9340A" w:rsidRPr="00340BEE">
        <w:rPr>
          <w:rFonts w:ascii="Arial" w:hAnsi="Arial" w:cs="Arial"/>
          <w:sz w:val="20"/>
        </w:rPr>
        <w:t>,</w:t>
      </w:r>
      <w:r w:rsidRPr="00340BEE">
        <w:rPr>
          <w:rFonts w:ascii="Arial" w:hAnsi="Arial" w:cs="Arial"/>
          <w:sz w:val="20"/>
        </w:rPr>
        <w:t xml:space="preserve"> the Government will consider a phased reduction of the statutory rates of the main taxes.  This reduction </w:t>
      </w:r>
      <w:r w:rsidR="00634FCC" w:rsidRPr="00340BEE">
        <w:rPr>
          <w:rFonts w:ascii="Arial" w:hAnsi="Arial" w:cs="Arial"/>
          <w:sz w:val="20"/>
        </w:rPr>
        <w:t>would</w:t>
      </w:r>
      <w:r w:rsidRPr="00340BEE">
        <w:rPr>
          <w:rFonts w:ascii="Arial" w:hAnsi="Arial" w:cs="Arial"/>
          <w:sz w:val="20"/>
        </w:rPr>
        <w:t xml:space="preserve"> be </w:t>
      </w:r>
      <w:r w:rsidR="00A826AD" w:rsidRPr="00340BEE">
        <w:rPr>
          <w:rFonts w:ascii="Arial" w:hAnsi="Arial" w:cs="Arial"/>
          <w:sz w:val="20"/>
        </w:rPr>
        <w:t>contingent upon</w:t>
      </w:r>
      <w:r w:rsidRPr="00340BEE">
        <w:rPr>
          <w:rFonts w:ascii="Arial" w:hAnsi="Arial" w:cs="Arial"/>
          <w:sz w:val="20"/>
        </w:rPr>
        <w:t xml:space="preserve"> improvements in revenue </w:t>
      </w:r>
      <w:r w:rsidR="00A826AD" w:rsidRPr="00340BEE">
        <w:rPr>
          <w:rFonts w:ascii="Arial" w:hAnsi="Arial" w:cs="Arial"/>
          <w:sz w:val="20"/>
        </w:rPr>
        <w:t xml:space="preserve">deriving from </w:t>
      </w:r>
      <w:r w:rsidRPr="00340BEE">
        <w:rPr>
          <w:rFonts w:ascii="Arial" w:hAnsi="Arial" w:cs="Arial"/>
          <w:sz w:val="20"/>
        </w:rPr>
        <w:t xml:space="preserve">the initial reforms implemented in </w:t>
      </w:r>
      <w:r w:rsidR="00F471AB" w:rsidRPr="00340BEE">
        <w:rPr>
          <w:rFonts w:ascii="Arial" w:hAnsi="Arial" w:cs="Arial"/>
          <w:sz w:val="20"/>
        </w:rPr>
        <w:t>Fiscal Year (</w:t>
      </w:r>
      <w:r w:rsidRPr="00340BEE">
        <w:rPr>
          <w:rFonts w:ascii="Arial" w:hAnsi="Arial" w:cs="Arial"/>
          <w:sz w:val="20"/>
        </w:rPr>
        <w:t>FY</w:t>
      </w:r>
      <w:r w:rsidR="00F471AB" w:rsidRPr="00340BEE">
        <w:rPr>
          <w:rFonts w:ascii="Arial" w:hAnsi="Arial" w:cs="Arial"/>
          <w:sz w:val="20"/>
        </w:rPr>
        <w:t>)</w:t>
      </w:r>
      <w:r w:rsidRPr="00340BEE">
        <w:rPr>
          <w:rFonts w:ascii="Arial" w:hAnsi="Arial" w:cs="Arial"/>
          <w:sz w:val="20"/>
        </w:rPr>
        <w:t xml:space="preserve"> 2013/14 and FY 2014/15.</w:t>
      </w:r>
    </w:p>
    <w:p w14:paraId="799310BE" w14:textId="77777777" w:rsidR="00AE2BCE" w:rsidRDefault="00757FB6" w:rsidP="00340BEE">
      <w:pPr>
        <w:pStyle w:val="Paragraph"/>
        <w:rPr>
          <w:rFonts w:ascii="Arial" w:hAnsi="Arial" w:cs="Arial"/>
          <w:sz w:val="20"/>
        </w:rPr>
      </w:pPr>
      <w:r w:rsidRPr="00340BEE">
        <w:rPr>
          <w:rFonts w:ascii="Arial" w:hAnsi="Arial" w:cs="Arial"/>
          <w:sz w:val="20"/>
        </w:rPr>
        <w:t xml:space="preserve">This study was prepared to </w:t>
      </w:r>
      <w:r w:rsidR="00E376A2" w:rsidRPr="00340BEE">
        <w:rPr>
          <w:rFonts w:ascii="Arial" w:hAnsi="Arial" w:cs="Arial"/>
          <w:sz w:val="20"/>
        </w:rPr>
        <w:t>estimate</w:t>
      </w:r>
      <w:r w:rsidRPr="00340BEE">
        <w:rPr>
          <w:rFonts w:ascii="Arial" w:hAnsi="Arial" w:cs="Arial"/>
          <w:sz w:val="20"/>
        </w:rPr>
        <w:t xml:space="preserve"> the</w:t>
      </w:r>
      <w:r w:rsidR="00053BAF" w:rsidRPr="00340BEE">
        <w:rPr>
          <w:rFonts w:ascii="Arial" w:hAnsi="Arial" w:cs="Arial"/>
          <w:sz w:val="20"/>
        </w:rPr>
        <w:t xml:space="preserve"> </w:t>
      </w:r>
      <w:r w:rsidR="009A7DF1" w:rsidRPr="00340BEE">
        <w:rPr>
          <w:rFonts w:ascii="Arial" w:hAnsi="Arial" w:cs="Arial"/>
          <w:sz w:val="20"/>
        </w:rPr>
        <w:t>economic</w:t>
      </w:r>
      <w:r w:rsidRPr="00340BEE">
        <w:rPr>
          <w:rFonts w:ascii="Arial" w:hAnsi="Arial" w:cs="Arial"/>
          <w:sz w:val="20"/>
        </w:rPr>
        <w:t xml:space="preserve"> benefit</w:t>
      </w:r>
      <w:r w:rsidR="00986012" w:rsidRPr="00340BEE">
        <w:rPr>
          <w:rFonts w:ascii="Arial" w:hAnsi="Arial" w:cs="Arial"/>
          <w:sz w:val="20"/>
        </w:rPr>
        <w:t>s</w:t>
      </w:r>
      <w:r w:rsidRPr="00340BEE">
        <w:rPr>
          <w:rFonts w:ascii="Arial" w:hAnsi="Arial" w:cs="Arial"/>
          <w:sz w:val="20"/>
        </w:rPr>
        <w:t xml:space="preserve"> generated by the introduction of a set of </w:t>
      </w:r>
      <w:r w:rsidR="00EB5E91" w:rsidRPr="00340BEE">
        <w:rPr>
          <w:rFonts w:ascii="Arial" w:hAnsi="Arial" w:cs="Arial"/>
          <w:sz w:val="20"/>
        </w:rPr>
        <w:t>fiscal</w:t>
      </w:r>
      <w:r w:rsidRPr="00340BEE">
        <w:rPr>
          <w:rFonts w:ascii="Arial" w:hAnsi="Arial" w:cs="Arial"/>
          <w:sz w:val="20"/>
        </w:rPr>
        <w:t xml:space="preserve"> reforms </w:t>
      </w:r>
      <w:r w:rsidR="00C9340A" w:rsidRPr="00340BEE">
        <w:rPr>
          <w:rFonts w:ascii="Arial" w:hAnsi="Arial" w:cs="Arial"/>
          <w:sz w:val="20"/>
        </w:rPr>
        <w:t xml:space="preserve">aimed </w:t>
      </w:r>
      <w:r w:rsidR="00E376A2" w:rsidRPr="00340BEE">
        <w:rPr>
          <w:rFonts w:ascii="Arial" w:hAnsi="Arial" w:cs="Arial"/>
          <w:sz w:val="20"/>
        </w:rPr>
        <w:t xml:space="preserve">at </w:t>
      </w:r>
      <w:r w:rsidRPr="00340BEE">
        <w:rPr>
          <w:rFonts w:ascii="Arial" w:hAnsi="Arial" w:cs="Arial"/>
          <w:sz w:val="20"/>
        </w:rPr>
        <w:t>strengthening</w:t>
      </w:r>
      <w:r w:rsidR="00E376A2" w:rsidRPr="00340BEE">
        <w:rPr>
          <w:rFonts w:ascii="Arial" w:hAnsi="Arial" w:cs="Arial"/>
          <w:sz w:val="20"/>
        </w:rPr>
        <w:t xml:space="preserve"> </w:t>
      </w:r>
      <w:r w:rsidR="00E3481E" w:rsidRPr="00340BEE">
        <w:rPr>
          <w:rFonts w:ascii="Arial" w:hAnsi="Arial" w:cs="Arial"/>
          <w:sz w:val="20"/>
        </w:rPr>
        <w:t xml:space="preserve">the country’s fiscal position </w:t>
      </w:r>
      <w:r w:rsidR="00E376A2" w:rsidRPr="00340BEE">
        <w:rPr>
          <w:rFonts w:ascii="Arial" w:hAnsi="Arial" w:cs="Arial"/>
          <w:sz w:val="20"/>
        </w:rPr>
        <w:t>as well as</w:t>
      </w:r>
      <w:r w:rsidRPr="00340BEE">
        <w:rPr>
          <w:rFonts w:ascii="Arial" w:hAnsi="Arial" w:cs="Arial"/>
          <w:sz w:val="20"/>
        </w:rPr>
        <w:t xml:space="preserve"> </w:t>
      </w:r>
      <w:r w:rsidR="00264D5B" w:rsidRPr="00340BEE">
        <w:rPr>
          <w:rFonts w:ascii="Arial" w:hAnsi="Arial" w:cs="Arial"/>
          <w:sz w:val="20"/>
        </w:rPr>
        <w:t>at</w:t>
      </w:r>
      <w:r w:rsidR="00C9340A" w:rsidRPr="00340BEE">
        <w:rPr>
          <w:rFonts w:ascii="Arial" w:hAnsi="Arial" w:cs="Arial"/>
          <w:sz w:val="20"/>
        </w:rPr>
        <w:t xml:space="preserve"> </w:t>
      </w:r>
      <w:r w:rsidR="00264D5B" w:rsidRPr="00340BEE">
        <w:rPr>
          <w:rFonts w:ascii="Arial" w:hAnsi="Arial" w:cs="Arial"/>
          <w:sz w:val="20"/>
        </w:rPr>
        <w:t xml:space="preserve">achieving </w:t>
      </w:r>
      <w:r w:rsidRPr="00340BEE">
        <w:rPr>
          <w:rFonts w:ascii="Arial" w:hAnsi="Arial" w:cs="Arial"/>
          <w:sz w:val="20"/>
        </w:rPr>
        <w:t xml:space="preserve">the sustainability of public financing and </w:t>
      </w:r>
      <w:r w:rsidR="00E3481E" w:rsidRPr="00340BEE">
        <w:rPr>
          <w:rFonts w:ascii="Arial" w:hAnsi="Arial" w:cs="Arial"/>
          <w:sz w:val="20"/>
        </w:rPr>
        <w:t xml:space="preserve">of </w:t>
      </w:r>
      <w:r w:rsidRPr="00340BEE">
        <w:rPr>
          <w:rFonts w:ascii="Arial" w:hAnsi="Arial" w:cs="Arial"/>
          <w:sz w:val="20"/>
        </w:rPr>
        <w:t xml:space="preserve">economic growth.  In this context, </w:t>
      </w:r>
      <w:r w:rsidR="00396473" w:rsidRPr="00340BEE">
        <w:rPr>
          <w:rFonts w:ascii="Arial" w:hAnsi="Arial" w:cs="Arial"/>
          <w:sz w:val="20"/>
        </w:rPr>
        <w:t>an</w:t>
      </w:r>
      <w:r w:rsidR="00C31C5A" w:rsidRPr="00340BEE">
        <w:rPr>
          <w:rFonts w:ascii="Arial" w:hAnsi="Arial" w:cs="Arial"/>
          <w:sz w:val="20"/>
        </w:rPr>
        <w:t xml:space="preserve"> </w:t>
      </w:r>
      <w:r w:rsidR="00C306A2" w:rsidRPr="00340BEE">
        <w:rPr>
          <w:rFonts w:ascii="Arial" w:hAnsi="Arial" w:cs="Arial"/>
          <w:sz w:val="20"/>
        </w:rPr>
        <w:t>Economic Analysis</w:t>
      </w:r>
      <w:r w:rsidR="00C31C5A" w:rsidRPr="00340BEE" w:rsidDel="00C31C5A">
        <w:rPr>
          <w:rFonts w:ascii="Arial" w:hAnsi="Arial" w:cs="Arial"/>
          <w:sz w:val="20"/>
        </w:rPr>
        <w:t xml:space="preserve"> </w:t>
      </w:r>
      <w:r w:rsidR="00C31C5A" w:rsidRPr="00340BEE">
        <w:rPr>
          <w:rFonts w:ascii="Arial" w:hAnsi="Arial" w:cs="Arial"/>
          <w:sz w:val="20"/>
        </w:rPr>
        <w:t>is used to evaluate</w:t>
      </w:r>
      <w:r w:rsidR="00986012" w:rsidRPr="00340BEE">
        <w:rPr>
          <w:rFonts w:ascii="Arial" w:hAnsi="Arial" w:cs="Arial"/>
          <w:sz w:val="20"/>
        </w:rPr>
        <w:t>,</w:t>
      </w:r>
      <w:r w:rsidRPr="00340BEE">
        <w:rPr>
          <w:rFonts w:ascii="Arial" w:hAnsi="Arial" w:cs="Arial"/>
          <w:sz w:val="20"/>
        </w:rPr>
        <w:t xml:space="preserve"> </w:t>
      </w:r>
      <w:r w:rsidR="00986012" w:rsidRPr="00340BEE">
        <w:rPr>
          <w:rFonts w:ascii="Arial" w:hAnsi="Arial" w:cs="Arial"/>
          <w:sz w:val="20"/>
        </w:rPr>
        <w:t xml:space="preserve">the </w:t>
      </w:r>
      <w:r w:rsidR="004621C9" w:rsidRPr="00340BEE">
        <w:rPr>
          <w:rFonts w:ascii="Arial" w:hAnsi="Arial" w:cs="Arial"/>
          <w:sz w:val="20"/>
        </w:rPr>
        <w:t xml:space="preserve">expected </w:t>
      </w:r>
      <w:r w:rsidR="00986012" w:rsidRPr="00340BEE">
        <w:rPr>
          <w:rFonts w:ascii="Arial" w:hAnsi="Arial" w:cs="Arial"/>
          <w:sz w:val="20"/>
        </w:rPr>
        <w:t xml:space="preserve">results </w:t>
      </w:r>
      <w:r w:rsidR="007444BC" w:rsidRPr="00340BEE">
        <w:rPr>
          <w:rFonts w:ascii="Arial" w:hAnsi="Arial" w:cs="Arial"/>
          <w:sz w:val="20"/>
        </w:rPr>
        <w:t xml:space="preserve">of </w:t>
      </w:r>
      <w:r w:rsidR="00986012" w:rsidRPr="00340BEE">
        <w:rPr>
          <w:rFonts w:ascii="Arial" w:hAnsi="Arial" w:cs="Arial"/>
          <w:sz w:val="20"/>
        </w:rPr>
        <w:t>the Program’s tax reform component.</w:t>
      </w:r>
    </w:p>
    <w:p w14:paraId="2001D689" w14:textId="3D900BEA" w:rsidR="00757FB6" w:rsidRPr="00AE2BCE" w:rsidRDefault="00AE2BCE">
      <w:pPr>
        <w:pStyle w:val="Paragraph"/>
        <w:rPr>
          <w:rFonts w:ascii="Arial" w:hAnsi="Arial" w:cs="Arial"/>
          <w:sz w:val="20"/>
        </w:rPr>
      </w:pPr>
      <w:r w:rsidRPr="00F03165">
        <w:rPr>
          <w:rFonts w:ascii="Arial" w:hAnsi="Arial" w:cs="Arial"/>
          <w:sz w:val="20"/>
        </w:rPr>
        <w:t xml:space="preserve">The study also took into consideration the </w:t>
      </w:r>
      <w:r w:rsidRPr="00F03165">
        <w:rPr>
          <w:rFonts w:ascii="Arial" w:hAnsi="Arial" w:cs="Arial"/>
          <w:sz w:val="20"/>
          <w:lang w:val="en-GB"/>
        </w:rPr>
        <w:t>successful tax administration reform in Indonesia (</w:t>
      </w:r>
      <w:hyperlink r:id="rId9" w:history="1">
        <w:r w:rsidRPr="00F03165">
          <w:rPr>
            <w:rFonts w:ascii="Arial" w:hAnsi="Arial" w:cs="Arial"/>
            <w:color w:val="0000FF"/>
            <w:sz w:val="20"/>
            <w:u w:val="single"/>
            <w:lang w:val="en-GB"/>
          </w:rPr>
          <w:t>India's Experience with Fiscal Rules: An Evaluation and The Way Forward</w:t>
        </w:r>
      </w:hyperlink>
      <w:r w:rsidRPr="00F03165">
        <w:rPr>
          <w:rFonts w:ascii="Arial" w:hAnsi="Arial" w:cs="Arial"/>
          <w:sz w:val="20"/>
          <w:lang w:val="en-GB"/>
        </w:rPr>
        <w:t>)</w:t>
      </w:r>
      <w:r>
        <w:rPr>
          <w:rFonts w:ascii="Arial" w:hAnsi="Arial" w:cs="Arial"/>
          <w:sz w:val="20"/>
          <w:lang w:val="en-GB"/>
        </w:rPr>
        <w:t>, which</w:t>
      </w:r>
      <w:r w:rsidRPr="00F03165">
        <w:rPr>
          <w:rFonts w:ascii="Arial" w:hAnsi="Arial" w:cs="Arial"/>
          <w:sz w:val="20"/>
          <w:lang w:val="en-GB"/>
        </w:rPr>
        <w:t xml:space="preserve"> has many similarities to the Jamaica case, including: (i) being developed under the country’s broader economic reform programme; and (ii) relying on compliance facilitation and compliance enforcement. The Indonesian reforms were assessed as having lessened the fiscal deficit (from 3.2% in FY2000 to 1% in FY2006) and increased tax revenues (from 9.6% of GDP in FY2000 to 11.2% in FY2006).</w:t>
      </w:r>
      <w:r>
        <w:rPr>
          <w:rFonts w:ascii="Arial" w:hAnsi="Arial" w:cs="Arial"/>
          <w:sz w:val="20"/>
          <w:lang w:val="en-GB"/>
        </w:rPr>
        <w:t xml:space="preserve"> In this regards, the Indonesia experience, provides a solid evidence that this type of reforms can support governments to decrease public debt as a result of a series of actions policies that promotes economic growth, alleviate government expenditures, and at the same time increase tax revenue.  </w:t>
      </w:r>
      <w:r w:rsidRPr="00F03165">
        <w:rPr>
          <w:rFonts w:ascii="Arial" w:hAnsi="Arial" w:cs="Arial"/>
          <w:sz w:val="20"/>
        </w:rPr>
        <w:t xml:space="preserve">  </w:t>
      </w:r>
      <w:r w:rsidR="00986012" w:rsidRPr="00AE2BCE">
        <w:rPr>
          <w:rFonts w:ascii="Arial" w:hAnsi="Arial" w:cs="Arial"/>
          <w:sz w:val="20"/>
        </w:rPr>
        <w:t xml:space="preserve"> </w:t>
      </w:r>
    </w:p>
    <w:p w14:paraId="01901546" w14:textId="77777777" w:rsidR="0093070C" w:rsidRPr="00340BEE" w:rsidRDefault="0093070C" w:rsidP="00340BEE">
      <w:pPr>
        <w:pStyle w:val="Paragraph"/>
        <w:rPr>
          <w:rFonts w:ascii="Arial" w:hAnsi="Arial" w:cs="Arial"/>
          <w:sz w:val="20"/>
        </w:rPr>
      </w:pPr>
      <w:r w:rsidRPr="00340BEE">
        <w:rPr>
          <w:rFonts w:ascii="Arial" w:hAnsi="Arial" w:cs="Arial"/>
          <w:sz w:val="20"/>
        </w:rPr>
        <w:t xml:space="preserve">Based </w:t>
      </w:r>
      <w:r w:rsidR="001A3CCE" w:rsidRPr="00340BEE">
        <w:rPr>
          <w:rFonts w:ascii="Arial" w:hAnsi="Arial" w:cs="Arial"/>
          <w:sz w:val="20"/>
        </w:rPr>
        <w:t xml:space="preserve">the results of </w:t>
      </w:r>
      <w:r w:rsidRPr="00340BEE">
        <w:rPr>
          <w:rFonts w:ascii="Arial" w:hAnsi="Arial" w:cs="Arial"/>
          <w:sz w:val="20"/>
        </w:rPr>
        <w:t xml:space="preserve">the Revenue Impact of Tax Reform Proposals </w:t>
      </w:r>
      <w:r w:rsidR="001A3CCE" w:rsidRPr="00340BEE">
        <w:rPr>
          <w:rFonts w:ascii="Arial" w:hAnsi="Arial" w:cs="Arial"/>
          <w:sz w:val="20"/>
        </w:rPr>
        <w:t xml:space="preserve">shown in </w:t>
      </w:r>
      <w:r w:rsidR="009A7DF1" w:rsidRPr="00340BEE">
        <w:rPr>
          <w:rFonts w:ascii="Arial" w:hAnsi="Arial" w:cs="Arial"/>
          <w:sz w:val="20"/>
        </w:rPr>
        <w:t>Table A</w:t>
      </w:r>
      <w:r w:rsidRPr="00340BEE">
        <w:rPr>
          <w:rFonts w:ascii="Arial" w:hAnsi="Arial" w:cs="Arial"/>
          <w:sz w:val="20"/>
        </w:rPr>
        <w:t>, the</w:t>
      </w:r>
      <w:r w:rsidR="00511F66" w:rsidRPr="00340BEE">
        <w:rPr>
          <w:rFonts w:ascii="Arial" w:hAnsi="Arial" w:cs="Arial"/>
          <w:sz w:val="20"/>
        </w:rPr>
        <w:t xml:space="preserve"> increased collections in</w:t>
      </w:r>
      <w:r w:rsidRPr="00340BEE">
        <w:rPr>
          <w:rFonts w:ascii="Arial" w:hAnsi="Arial" w:cs="Arial"/>
          <w:sz w:val="20"/>
        </w:rPr>
        <w:t xml:space="preserve"> each of the eight tax categories</w:t>
      </w:r>
      <w:r w:rsidR="001A3CCE" w:rsidRPr="00340BEE">
        <w:rPr>
          <w:rFonts w:ascii="Arial" w:hAnsi="Arial" w:cs="Arial"/>
          <w:sz w:val="20"/>
        </w:rPr>
        <w:t xml:space="preserve"> w</w:t>
      </w:r>
      <w:r w:rsidR="00511F66" w:rsidRPr="00340BEE">
        <w:rPr>
          <w:rFonts w:ascii="Arial" w:hAnsi="Arial" w:cs="Arial"/>
          <w:sz w:val="20"/>
        </w:rPr>
        <w:t>ere</w:t>
      </w:r>
      <w:r w:rsidR="001A3CCE" w:rsidRPr="00340BEE">
        <w:rPr>
          <w:rFonts w:ascii="Arial" w:hAnsi="Arial" w:cs="Arial"/>
          <w:sz w:val="20"/>
        </w:rPr>
        <w:t xml:space="preserve"> </w:t>
      </w:r>
      <w:r w:rsidRPr="00340BEE">
        <w:rPr>
          <w:rFonts w:ascii="Arial" w:hAnsi="Arial" w:cs="Arial"/>
          <w:sz w:val="20"/>
        </w:rPr>
        <w:t xml:space="preserve">programmed to be </w:t>
      </w:r>
      <w:r w:rsidR="00511F66" w:rsidRPr="00340BEE">
        <w:rPr>
          <w:rFonts w:ascii="Arial" w:hAnsi="Arial" w:cs="Arial"/>
          <w:sz w:val="20"/>
        </w:rPr>
        <w:t xml:space="preserve">phased in </w:t>
      </w:r>
      <w:r w:rsidRPr="00340BEE">
        <w:rPr>
          <w:rFonts w:ascii="Arial" w:hAnsi="Arial" w:cs="Arial"/>
          <w:sz w:val="20"/>
        </w:rPr>
        <w:t xml:space="preserve">according to the </w:t>
      </w:r>
      <w:r w:rsidR="00396473" w:rsidRPr="00340BEE">
        <w:rPr>
          <w:rFonts w:ascii="Arial" w:hAnsi="Arial" w:cs="Arial"/>
          <w:sz w:val="20"/>
        </w:rPr>
        <w:t>schedule presented</w:t>
      </w:r>
      <w:r w:rsidR="00511F66" w:rsidRPr="00340BEE">
        <w:rPr>
          <w:rFonts w:ascii="Arial" w:hAnsi="Arial" w:cs="Arial"/>
          <w:sz w:val="20"/>
        </w:rPr>
        <w:t>. This</w:t>
      </w:r>
      <w:r w:rsidRPr="00340BEE">
        <w:rPr>
          <w:rFonts w:ascii="Arial" w:hAnsi="Arial" w:cs="Arial"/>
          <w:sz w:val="20"/>
        </w:rPr>
        <w:t xml:space="preserve"> establishes a gradual introduction of the tax reform, starting with </w:t>
      </w:r>
      <w:r w:rsidR="009A7DF1" w:rsidRPr="00340BEE">
        <w:rPr>
          <w:rFonts w:ascii="Arial" w:hAnsi="Arial" w:cs="Arial"/>
          <w:sz w:val="20"/>
        </w:rPr>
        <w:t xml:space="preserve">0.28% </w:t>
      </w:r>
      <w:r w:rsidRPr="00340BEE">
        <w:rPr>
          <w:rFonts w:ascii="Arial" w:hAnsi="Arial" w:cs="Arial"/>
          <w:sz w:val="20"/>
        </w:rPr>
        <w:t>in FY 2013/2014</w:t>
      </w:r>
      <w:r w:rsidR="009A7DF1" w:rsidRPr="00340BEE">
        <w:rPr>
          <w:rFonts w:ascii="Arial" w:hAnsi="Arial" w:cs="Arial"/>
          <w:sz w:val="20"/>
        </w:rPr>
        <w:t xml:space="preserve">, </w:t>
      </w:r>
      <w:r w:rsidR="00A905B7" w:rsidRPr="00340BEE">
        <w:rPr>
          <w:rFonts w:ascii="Arial" w:hAnsi="Arial" w:cs="Arial"/>
          <w:sz w:val="20"/>
        </w:rPr>
        <w:t>0.</w:t>
      </w:r>
      <w:r w:rsidR="009A7DF1" w:rsidRPr="00340BEE">
        <w:rPr>
          <w:rFonts w:ascii="Arial" w:hAnsi="Arial" w:cs="Arial"/>
          <w:sz w:val="20"/>
        </w:rPr>
        <w:t>38</w:t>
      </w:r>
      <w:r w:rsidRPr="00340BEE">
        <w:rPr>
          <w:rFonts w:ascii="Arial" w:hAnsi="Arial" w:cs="Arial"/>
          <w:sz w:val="20"/>
        </w:rPr>
        <w:t xml:space="preserve">% in FY 2014/15, </w:t>
      </w:r>
      <w:r w:rsidR="009A7DF1" w:rsidRPr="00340BEE">
        <w:rPr>
          <w:rFonts w:ascii="Arial" w:hAnsi="Arial" w:cs="Arial"/>
          <w:sz w:val="20"/>
        </w:rPr>
        <w:t>0.58</w:t>
      </w:r>
      <w:r w:rsidRPr="00340BEE">
        <w:rPr>
          <w:rFonts w:ascii="Arial" w:hAnsi="Arial" w:cs="Arial"/>
          <w:sz w:val="20"/>
        </w:rPr>
        <w:t>% in FY 2015/16, and finally full implementation</w:t>
      </w:r>
      <w:r w:rsidR="009844EA" w:rsidRPr="00340BEE">
        <w:rPr>
          <w:rFonts w:ascii="Arial" w:hAnsi="Arial" w:cs="Arial"/>
          <w:sz w:val="20"/>
        </w:rPr>
        <w:t xml:space="preserve"> </w:t>
      </w:r>
      <w:r w:rsidR="009A7DF1" w:rsidRPr="00340BEE">
        <w:rPr>
          <w:rFonts w:ascii="Arial" w:hAnsi="Arial" w:cs="Arial"/>
          <w:sz w:val="20"/>
        </w:rPr>
        <w:t>0.99%</w:t>
      </w:r>
      <w:r w:rsidRPr="00340BEE">
        <w:rPr>
          <w:rFonts w:ascii="Arial" w:hAnsi="Arial" w:cs="Arial"/>
          <w:sz w:val="20"/>
        </w:rPr>
        <w:t xml:space="preserve"> in FY 2016/17</w:t>
      </w:r>
      <w:r w:rsidR="009A7DF1" w:rsidRPr="00340BEE">
        <w:rPr>
          <w:rFonts w:ascii="Arial" w:hAnsi="Arial" w:cs="Arial"/>
          <w:sz w:val="20"/>
        </w:rPr>
        <w:t xml:space="preserve"> </w:t>
      </w:r>
      <w:r w:rsidR="006B4472" w:rsidRPr="00340BEE">
        <w:rPr>
          <w:rFonts w:ascii="Arial" w:hAnsi="Arial" w:cs="Arial"/>
          <w:sz w:val="20"/>
        </w:rPr>
        <w:t>(%</w:t>
      </w:r>
      <w:r w:rsidR="009A7DF1" w:rsidRPr="00340BEE">
        <w:rPr>
          <w:rFonts w:ascii="Arial" w:hAnsi="Arial" w:cs="Arial"/>
          <w:sz w:val="20"/>
        </w:rPr>
        <w:t xml:space="preserve"> of GDP)</w:t>
      </w:r>
      <w:r w:rsidRPr="00340BEE">
        <w:rPr>
          <w:rFonts w:ascii="Arial" w:hAnsi="Arial" w:cs="Arial"/>
          <w:sz w:val="20"/>
        </w:rPr>
        <w:t>.</w:t>
      </w:r>
    </w:p>
    <w:p w14:paraId="2FC1DA88" w14:textId="77777777" w:rsidR="00C970F5" w:rsidRPr="00340BEE" w:rsidRDefault="00C970F5" w:rsidP="00340BEE">
      <w:pPr>
        <w:pStyle w:val="Paragraph"/>
        <w:rPr>
          <w:rFonts w:ascii="Arial" w:hAnsi="Arial" w:cs="Arial"/>
          <w:sz w:val="20"/>
        </w:rPr>
      </w:pPr>
      <w:r w:rsidRPr="00340BEE">
        <w:rPr>
          <w:rFonts w:ascii="Arial" w:hAnsi="Arial" w:cs="Arial"/>
          <w:sz w:val="20"/>
        </w:rPr>
        <w:t>The discount rate used to calculate the Net Present Value is 12% over a period of 10 years. The Reform revenue benefits derive from the 8 intervention policies presented in chapter III, starting with a benefit of US$ 12.5 million in 2013 and ending with a benefit of US$40.7 million in 2020. The Net Present Value (NPV) was US$294.4 million and the Internal rate of Return (IRR) was 78%.</w:t>
      </w:r>
    </w:p>
    <w:p w14:paraId="26C27573" w14:textId="77777777" w:rsidR="009A7DF1" w:rsidRPr="00340BEE" w:rsidRDefault="009A7DF1" w:rsidP="00340BEE">
      <w:pPr>
        <w:pStyle w:val="Paragraph"/>
        <w:rPr>
          <w:rFonts w:ascii="Arial" w:hAnsi="Arial" w:cs="Arial"/>
          <w:sz w:val="20"/>
        </w:rPr>
      </w:pPr>
      <w:r w:rsidRPr="00340BEE">
        <w:rPr>
          <w:rFonts w:ascii="Arial" w:hAnsi="Arial" w:cs="Arial"/>
          <w:sz w:val="20"/>
        </w:rPr>
        <w:t xml:space="preserve">The Reform Costs </w:t>
      </w:r>
      <w:r w:rsidR="009C1F90" w:rsidRPr="00340BEE">
        <w:rPr>
          <w:rFonts w:ascii="Arial" w:hAnsi="Arial" w:cs="Arial"/>
          <w:sz w:val="20"/>
        </w:rPr>
        <w:t>were</w:t>
      </w:r>
      <w:r w:rsidRPr="00340BEE">
        <w:rPr>
          <w:rFonts w:ascii="Arial" w:hAnsi="Arial" w:cs="Arial"/>
          <w:sz w:val="20"/>
        </w:rPr>
        <w:t xml:space="preserve"> estimated considering: (i) </w:t>
      </w:r>
      <w:r w:rsidR="00E34332" w:rsidRPr="00340BEE">
        <w:rPr>
          <w:rFonts w:ascii="Arial" w:hAnsi="Arial" w:cs="Arial"/>
          <w:sz w:val="20"/>
        </w:rPr>
        <w:t>Investment costs to support the reform by strengthening the Jamaica Tax, Customs Administrations and MoF Entities (US$ 65 Million – see corresponding table detailing the investments);</w:t>
      </w:r>
      <w:r w:rsidRPr="00340BEE">
        <w:rPr>
          <w:rFonts w:ascii="Arial" w:hAnsi="Arial" w:cs="Arial"/>
          <w:sz w:val="20"/>
        </w:rPr>
        <w:t xml:space="preserve"> (ii) The hiring of a new Ministry of Finance (MoF) staff </w:t>
      </w:r>
      <w:r w:rsidR="009C1F90" w:rsidRPr="00340BEE">
        <w:rPr>
          <w:rFonts w:ascii="Arial" w:hAnsi="Arial" w:cs="Arial"/>
          <w:sz w:val="20"/>
        </w:rPr>
        <w:t>specifically</w:t>
      </w:r>
      <w:r w:rsidRPr="00340BEE">
        <w:rPr>
          <w:rFonts w:ascii="Arial" w:hAnsi="Arial" w:cs="Arial"/>
          <w:sz w:val="20"/>
        </w:rPr>
        <w:t xml:space="preserve"> to manag</w:t>
      </w:r>
      <w:r w:rsidR="00A905B7" w:rsidRPr="00340BEE">
        <w:rPr>
          <w:rFonts w:ascii="Arial" w:hAnsi="Arial" w:cs="Arial"/>
          <w:sz w:val="20"/>
        </w:rPr>
        <w:t>e the reform (10 staff * US$ 60,</w:t>
      </w:r>
      <w:r w:rsidRPr="00340BEE">
        <w:rPr>
          <w:rFonts w:ascii="Arial" w:hAnsi="Arial" w:cs="Arial"/>
          <w:sz w:val="20"/>
        </w:rPr>
        <w:t xml:space="preserve">000, already including </w:t>
      </w:r>
      <w:r w:rsidR="00A905B7" w:rsidRPr="00340BEE">
        <w:rPr>
          <w:rFonts w:ascii="Arial" w:hAnsi="Arial" w:cs="Arial"/>
          <w:sz w:val="20"/>
        </w:rPr>
        <w:t>salaries and benefits = US$ 600,</w:t>
      </w:r>
      <w:r w:rsidRPr="00340BEE">
        <w:rPr>
          <w:rFonts w:ascii="Arial" w:hAnsi="Arial" w:cs="Arial"/>
          <w:sz w:val="20"/>
        </w:rPr>
        <w:t xml:space="preserve">00 annually); (iii) </w:t>
      </w:r>
      <w:r w:rsidR="00053BAF" w:rsidRPr="00340BEE">
        <w:rPr>
          <w:rFonts w:ascii="Arial" w:hAnsi="Arial" w:cs="Arial"/>
          <w:sz w:val="20"/>
        </w:rPr>
        <w:t>The hiring of 50 staff (30 and 20 respectively) f</w:t>
      </w:r>
      <w:r w:rsidRPr="00340BEE">
        <w:rPr>
          <w:rFonts w:ascii="Arial" w:hAnsi="Arial" w:cs="Arial"/>
          <w:sz w:val="20"/>
        </w:rPr>
        <w:t xml:space="preserve">or the Jamaica Tax and Customs Administration </w:t>
      </w:r>
      <w:r w:rsidR="00053BAF" w:rsidRPr="00340BEE">
        <w:rPr>
          <w:rFonts w:ascii="Arial" w:hAnsi="Arial" w:cs="Arial"/>
          <w:sz w:val="20"/>
        </w:rPr>
        <w:t>aiming</w:t>
      </w:r>
      <w:r w:rsidRPr="00340BEE">
        <w:rPr>
          <w:rFonts w:ascii="Arial" w:hAnsi="Arial" w:cs="Arial"/>
          <w:sz w:val="20"/>
        </w:rPr>
        <w:t xml:space="preserve"> the strengthening of the two organization management capacity to make the reform</w:t>
      </w:r>
      <w:r w:rsidR="00A905B7" w:rsidRPr="00340BEE">
        <w:rPr>
          <w:rFonts w:ascii="Arial" w:hAnsi="Arial" w:cs="Arial"/>
          <w:sz w:val="20"/>
        </w:rPr>
        <w:t xml:space="preserve"> sustainable (50 staff * US$ 60,</w:t>
      </w:r>
      <w:r w:rsidRPr="00340BEE">
        <w:rPr>
          <w:rFonts w:ascii="Arial" w:hAnsi="Arial" w:cs="Arial"/>
          <w:sz w:val="20"/>
        </w:rPr>
        <w:t xml:space="preserve">000, already including salaries and benefits = US$ 1.8 million annually); and (iv)The </w:t>
      </w:r>
      <w:r w:rsidR="00053BAF" w:rsidRPr="00340BEE">
        <w:rPr>
          <w:rFonts w:ascii="Arial" w:hAnsi="Arial" w:cs="Arial"/>
          <w:sz w:val="20"/>
        </w:rPr>
        <w:t>costs of t</w:t>
      </w:r>
      <w:r w:rsidRPr="00340BEE">
        <w:rPr>
          <w:rFonts w:ascii="Arial" w:hAnsi="Arial" w:cs="Arial"/>
          <w:sz w:val="20"/>
        </w:rPr>
        <w:t>ax compliance</w:t>
      </w:r>
      <w:r w:rsidR="00053BAF" w:rsidRPr="00340BEE">
        <w:rPr>
          <w:rFonts w:ascii="Arial" w:hAnsi="Arial" w:cs="Arial"/>
          <w:sz w:val="20"/>
        </w:rPr>
        <w:t>, which</w:t>
      </w:r>
      <w:r w:rsidRPr="00340BEE">
        <w:rPr>
          <w:rFonts w:ascii="Arial" w:hAnsi="Arial" w:cs="Arial"/>
          <w:sz w:val="20"/>
        </w:rPr>
        <w:t xml:space="preserve"> was calculated estimating that approximately 1.000 firms will </w:t>
      </w:r>
      <w:r w:rsidR="00053BAF" w:rsidRPr="00340BEE">
        <w:rPr>
          <w:rFonts w:ascii="Arial" w:hAnsi="Arial" w:cs="Arial"/>
          <w:sz w:val="20"/>
        </w:rPr>
        <w:t>need</w:t>
      </w:r>
      <w:r w:rsidRPr="00340BEE">
        <w:rPr>
          <w:rFonts w:ascii="Arial" w:hAnsi="Arial" w:cs="Arial"/>
          <w:sz w:val="20"/>
        </w:rPr>
        <w:t xml:space="preserve"> to adjust their filling processes (according to the World Bank Doing Business</w:t>
      </w:r>
      <w:r w:rsidRPr="00340BEE">
        <w:rPr>
          <w:rFonts w:ascii="Arial" w:hAnsi="Arial" w:cs="Arial"/>
          <w:sz w:val="20"/>
        </w:rPr>
        <w:footnoteReference w:id="1"/>
      </w:r>
      <w:r w:rsidRPr="00340BEE">
        <w:rPr>
          <w:rFonts w:ascii="Arial" w:hAnsi="Arial" w:cs="Arial"/>
          <w:sz w:val="20"/>
        </w:rPr>
        <w:t xml:space="preserve"> the Jamaica number of hours for compliance </w:t>
      </w:r>
      <w:r w:rsidR="00396473" w:rsidRPr="00340BEE">
        <w:rPr>
          <w:rFonts w:ascii="Arial" w:hAnsi="Arial" w:cs="Arial"/>
          <w:sz w:val="20"/>
        </w:rPr>
        <w:t xml:space="preserve">in Jamaica </w:t>
      </w:r>
      <w:r w:rsidRPr="00340BEE">
        <w:rPr>
          <w:rFonts w:ascii="Arial" w:hAnsi="Arial" w:cs="Arial"/>
          <w:sz w:val="20"/>
        </w:rPr>
        <w:t>is</w:t>
      </w:r>
      <w:r w:rsidR="00396473" w:rsidRPr="00340BEE">
        <w:rPr>
          <w:rFonts w:ascii="Arial" w:hAnsi="Arial" w:cs="Arial"/>
          <w:sz w:val="20"/>
        </w:rPr>
        <w:t xml:space="preserve"> 386 hours  * US$12 accountant h</w:t>
      </w:r>
      <w:r w:rsidR="00A905B7" w:rsidRPr="00340BEE">
        <w:rPr>
          <w:rFonts w:ascii="Arial" w:hAnsi="Arial" w:cs="Arial"/>
          <w:sz w:val="20"/>
        </w:rPr>
        <w:t>our  * 1,</w:t>
      </w:r>
      <w:r w:rsidRPr="00340BEE">
        <w:rPr>
          <w:rFonts w:ascii="Arial" w:hAnsi="Arial" w:cs="Arial"/>
          <w:sz w:val="20"/>
        </w:rPr>
        <w:t>000 firms = total of US$ 4.4 million yearly).</w:t>
      </w:r>
    </w:p>
    <w:p w14:paraId="5720358E" w14:textId="5C7C5619" w:rsidR="00EB5E91" w:rsidRPr="00340BEE" w:rsidRDefault="00E3412F" w:rsidP="00340BEE">
      <w:pPr>
        <w:pStyle w:val="Chapter"/>
        <w:rPr>
          <w:rFonts w:ascii="Arial" w:hAnsi="Arial" w:cs="Arial"/>
          <w:sz w:val="22"/>
        </w:rPr>
      </w:pPr>
      <w:r w:rsidRPr="00340BEE">
        <w:rPr>
          <w:rFonts w:ascii="Arial" w:hAnsi="Arial" w:cs="Arial"/>
          <w:sz w:val="22"/>
        </w:rPr>
        <w:lastRenderedPageBreak/>
        <w:t>INTRODUCTION</w:t>
      </w:r>
    </w:p>
    <w:p w14:paraId="09B3604B" w14:textId="77777777" w:rsidR="00EB5E91" w:rsidRPr="00340BEE" w:rsidRDefault="00EB5E91" w:rsidP="00340BEE">
      <w:pPr>
        <w:pStyle w:val="Paragraph"/>
        <w:rPr>
          <w:rFonts w:ascii="Arial" w:hAnsi="Arial" w:cs="Arial"/>
          <w:sz w:val="20"/>
        </w:rPr>
      </w:pPr>
      <w:r w:rsidRPr="00340BEE">
        <w:rPr>
          <w:rFonts w:ascii="Arial" w:hAnsi="Arial" w:cs="Arial"/>
          <w:sz w:val="20"/>
        </w:rPr>
        <w:t>The Government of Jamaica (</w:t>
      </w:r>
      <w:r w:rsidR="00D63071" w:rsidRPr="00340BEE">
        <w:rPr>
          <w:rFonts w:ascii="Arial" w:hAnsi="Arial" w:cs="Arial"/>
          <w:sz w:val="20"/>
        </w:rPr>
        <w:t>GoJ</w:t>
      </w:r>
      <w:r w:rsidRPr="00340BEE">
        <w:rPr>
          <w:rFonts w:ascii="Arial" w:hAnsi="Arial" w:cs="Arial"/>
          <w:sz w:val="20"/>
        </w:rPr>
        <w:t xml:space="preserve">) requested the Bank </w:t>
      </w:r>
      <w:r w:rsidR="00FF4831" w:rsidRPr="00340BEE">
        <w:rPr>
          <w:rFonts w:ascii="Arial" w:hAnsi="Arial" w:cs="Arial"/>
          <w:sz w:val="20"/>
        </w:rPr>
        <w:t>for</w:t>
      </w:r>
      <w:r w:rsidRPr="00340BEE">
        <w:rPr>
          <w:rFonts w:ascii="Arial" w:hAnsi="Arial" w:cs="Arial"/>
          <w:sz w:val="20"/>
        </w:rPr>
        <w:t xml:space="preserve"> support </w:t>
      </w:r>
      <w:r w:rsidR="00DE6675" w:rsidRPr="00340BEE">
        <w:rPr>
          <w:rFonts w:ascii="Arial" w:hAnsi="Arial" w:cs="Arial"/>
          <w:sz w:val="20"/>
        </w:rPr>
        <w:t>in the</w:t>
      </w:r>
      <w:r w:rsidRPr="00340BEE">
        <w:rPr>
          <w:rFonts w:ascii="Arial" w:hAnsi="Arial" w:cs="Arial"/>
          <w:sz w:val="20"/>
        </w:rPr>
        <w:t xml:space="preserve"> implementation of a set of fiscal reforms </w:t>
      </w:r>
      <w:r w:rsidR="00D63071" w:rsidRPr="00340BEE">
        <w:rPr>
          <w:rFonts w:ascii="Arial" w:hAnsi="Arial" w:cs="Arial"/>
          <w:sz w:val="20"/>
        </w:rPr>
        <w:t xml:space="preserve">aimed </w:t>
      </w:r>
      <w:r w:rsidR="00B3631A" w:rsidRPr="00340BEE">
        <w:rPr>
          <w:rFonts w:ascii="Arial" w:hAnsi="Arial" w:cs="Arial"/>
          <w:sz w:val="20"/>
        </w:rPr>
        <w:t xml:space="preserve">at </w:t>
      </w:r>
      <w:r w:rsidRPr="00340BEE">
        <w:rPr>
          <w:rFonts w:ascii="Arial" w:hAnsi="Arial" w:cs="Arial"/>
          <w:sz w:val="20"/>
        </w:rPr>
        <w:t xml:space="preserve">strengthening </w:t>
      </w:r>
      <w:r w:rsidR="00E3481E" w:rsidRPr="00340BEE">
        <w:rPr>
          <w:rFonts w:ascii="Arial" w:hAnsi="Arial" w:cs="Arial"/>
          <w:sz w:val="20"/>
        </w:rPr>
        <w:t xml:space="preserve">the country’s fiscal position </w:t>
      </w:r>
      <w:r w:rsidRPr="00340BEE">
        <w:rPr>
          <w:rFonts w:ascii="Arial" w:hAnsi="Arial" w:cs="Arial"/>
          <w:sz w:val="20"/>
        </w:rPr>
        <w:t xml:space="preserve">and </w:t>
      </w:r>
      <w:r w:rsidR="00264D5B" w:rsidRPr="00340BEE">
        <w:rPr>
          <w:rFonts w:ascii="Arial" w:hAnsi="Arial" w:cs="Arial"/>
          <w:sz w:val="20"/>
        </w:rPr>
        <w:t xml:space="preserve">at achieving </w:t>
      </w:r>
      <w:r w:rsidRPr="00340BEE">
        <w:rPr>
          <w:rFonts w:ascii="Arial" w:hAnsi="Arial" w:cs="Arial"/>
          <w:sz w:val="20"/>
        </w:rPr>
        <w:t xml:space="preserve">the sustainability of public financing and </w:t>
      </w:r>
      <w:r w:rsidR="00E3481E" w:rsidRPr="00340BEE">
        <w:rPr>
          <w:rFonts w:ascii="Arial" w:hAnsi="Arial" w:cs="Arial"/>
          <w:sz w:val="20"/>
        </w:rPr>
        <w:t xml:space="preserve">of </w:t>
      </w:r>
      <w:r w:rsidRPr="00340BEE">
        <w:rPr>
          <w:rFonts w:ascii="Arial" w:hAnsi="Arial" w:cs="Arial"/>
          <w:sz w:val="20"/>
        </w:rPr>
        <w:t>economic growth.</w:t>
      </w:r>
    </w:p>
    <w:p w14:paraId="4181D4FE" w14:textId="77777777" w:rsidR="00EB5E91" w:rsidRPr="00340BEE" w:rsidRDefault="00EB5E91" w:rsidP="00340BEE">
      <w:pPr>
        <w:pStyle w:val="Paragraph"/>
        <w:rPr>
          <w:rFonts w:ascii="Arial" w:hAnsi="Arial" w:cs="Arial"/>
          <w:sz w:val="20"/>
        </w:rPr>
      </w:pPr>
      <w:r w:rsidRPr="00340BEE">
        <w:rPr>
          <w:rFonts w:ascii="Arial" w:hAnsi="Arial" w:cs="Arial"/>
          <w:sz w:val="20"/>
        </w:rPr>
        <w:t xml:space="preserve">The present study aims to </w:t>
      </w:r>
      <w:r w:rsidR="00BD3A0D" w:rsidRPr="00340BEE">
        <w:rPr>
          <w:rFonts w:ascii="Arial" w:hAnsi="Arial" w:cs="Arial"/>
          <w:sz w:val="20"/>
        </w:rPr>
        <w:t>estimate</w:t>
      </w:r>
      <w:r w:rsidRPr="00340BEE">
        <w:rPr>
          <w:rFonts w:ascii="Arial" w:hAnsi="Arial" w:cs="Arial"/>
          <w:sz w:val="20"/>
        </w:rPr>
        <w:t xml:space="preserve"> </w:t>
      </w:r>
      <w:r w:rsidR="00B3631A" w:rsidRPr="00340BEE">
        <w:rPr>
          <w:rFonts w:ascii="Arial" w:hAnsi="Arial" w:cs="Arial"/>
          <w:sz w:val="20"/>
        </w:rPr>
        <w:t>th</w:t>
      </w:r>
      <w:r w:rsidRPr="00340BEE">
        <w:rPr>
          <w:rFonts w:ascii="Arial" w:hAnsi="Arial" w:cs="Arial"/>
          <w:sz w:val="20"/>
        </w:rPr>
        <w:t xml:space="preserve">e </w:t>
      </w:r>
      <w:r w:rsidR="00DE6675" w:rsidRPr="00340BEE">
        <w:rPr>
          <w:rFonts w:ascii="Arial" w:hAnsi="Arial" w:cs="Arial"/>
          <w:sz w:val="20"/>
        </w:rPr>
        <w:t xml:space="preserve">economic </w:t>
      </w:r>
      <w:r w:rsidRPr="00340BEE">
        <w:rPr>
          <w:rFonts w:ascii="Arial" w:hAnsi="Arial" w:cs="Arial"/>
          <w:sz w:val="20"/>
        </w:rPr>
        <w:t xml:space="preserve">benefits to be generated </w:t>
      </w:r>
      <w:r w:rsidR="00796D61" w:rsidRPr="00340BEE">
        <w:rPr>
          <w:rFonts w:ascii="Arial" w:hAnsi="Arial" w:cs="Arial"/>
          <w:sz w:val="20"/>
        </w:rPr>
        <w:t xml:space="preserve">from </w:t>
      </w:r>
      <w:r w:rsidRPr="00340BEE">
        <w:rPr>
          <w:rFonts w:ascii="Arial" w:hAnsi="Arial" w:cs="Arial"/>
          <w:sz w:val="20"/>
        </w:rPr>
        <w:t xml:space="preserve">the implementation of a set of tax policy reforms to be introduced by </w:t>
      </w:r>
      <w:r w:rsidR="00D03B28" w:rsidRPr="00340BEE">
        <w:rPr>
          <w:rFonts w:ascii="Arial" w:hAnsi="Arial" w:cs="Arial"/>
          <w:sz w:val="20"/>
        </w:rPr>
        <w:t>the Fiscal</w:t>
      </w:r>
      <w:r w:rsidRPr="00340BEE">
        <w:rPr>
          <w:rFonts w:ascii="Arial" w:hAnsi="Arial" w:cs="Arial"/>
          <w:sz w:val="20"/>
        </w:rPr>
        <w:t xml:space="preserve"> Structural Programme for Economic Growth</w:t>
      </w:r>
      <w:r w:rsidR="000B61B1" w:rsidRPr="00340BEE">
        <w:rPr>
          <w:rFonts w:ascii="Arial" w:hAnsi="Arial" w:cs="Arial"/>
          <w:sz w:val="20"/>
        </w:rPr>
        <w:t xml:space="preserve"> (FISPEG)</w:t>
      </w:r>
      <w:r w:rsidRPr="00340BEE">
        <w:rPr>
          <w:rFonts w:ascii="Arial" w:hAnsi="Arial" w:cs="Arial"/>
          <w:sz w:val="20"/>
        </w:rPr>
        <w:t xml:space="preserve">. The </w:t>
      </w:r>
      <w:r w:rsidR="000A74DD" w:rsidRPr="00340BEE">
        <w:rPr>
          <w:rFonts w:ascii="Arial" w:hAnsi="Arial" w:cs="Arial"/>
          <w:sz w:val="20"/>
        </w:rPr>
        <w:t>benefits are</w:t>
      </w:r>
      <w:r w:rsidR="006E01E3" w:rsidRPr="00340BEE">
        <w:rPr>
          <w:rFonts w:ascii="Arial" w:hAnsi="Arial" w:cs="Arial"/>
          <w:sz w:val="20"/>
        </w:rPr>
        <w:t xml:space="preserve"> </w:t>
      </w:r>
      <w:r w:rsidR="00796D61" w:rsidRPr="00340BEE">
        <w:rPr>
          <w:rFonts w:ascii="Arial" w:hAnsi="Arial" w:cs="Arial"/>
          <w:sz w:val="20"/>
        </w:rPr>
        <w:t xml:space="preserve">calculated as </w:t>
      </w:r>
      <w:r w:rsidRPr="00340BEE">
        <w:rPr>
          <w:rFonts w:ascii="Arial" w:hAnsi="Arial" w:cs="Arial"/>
          <w:sz w:val="20"/>
        </w:rPr>
        <w:t xml:space="preserve">the increase </w:t>
      </w:r>
      <w:r w:rsidR="00796D61" w:rsidRPr="00340BEE">
        <w:rPr>
          <w:rFonts w:ascii="Arial" w:hAnsi="Arial" w:cs="Arial"/>
          <w:sz w:val="20"/>
        </w:rPr>
        <w:t xml:space="preserve">in </w:t>
      </w:r>
      <w:r w:rsidRPr="00340BEE">
        <w:rPr>
          <w:rFonts w:ascii="Arial" w:hAnsi="Arial" w:cs="Arial"/>
          <w:sz w:val="20"/>
        </w:rPr>
        <w:t>tax revenue</w:t>
      </w:r>
      <w:r w:rsidR="00796D61" w:rsidRPr="00340BEE">
        <w:rPr>
          <w:rFonts w:ascii="Arial" w:hAnsi="Arial" w:cs="Arial"/>
          <w:sz w:val="20"/>
        </w:rPr>
        <w:t xml:space="preserve"> </w:t>
      </w:r>
      <w:r w:rsidR="00FF4831" w:rsidRPr="00340BEE">
        <w:rPr>
          <w:rFonts w:ascii="Arial" w:hAnsi="Arial" w:cs="Arial"/>
          <w:sz w:val="20"/>
        </w:rPr>
        <w:t xml:space="preserve">net </w:t>
      </w:r>
      <w:r w:rsidR="00F671D8" w:rsidRPr="00340BEE">
        <w:rPr>
          <w:rFonts w:ascii="Arial" w:hAnsi="Arial" w:cs="Arial"/>
          <w:sz w:val="20"/>
        </w:rPr>
        <w:t xml:space="preserve">of </w:t>
      </w:r>
      <w:r w:rsidR="00FF4831" w:rsidRPr="00340BEE">
        <w:rPr>
          <w:rFonts w:ascii="Arial" w:hAnsi="Arial" w:cs="Arial"/>
          <w:sz w:val="20"/>
        </w:rPr>
        <w:t>the transfers from the private to the public sector.</w:t>
      </w:r>
    </w:p>
    <w:p w14:paraId="2CD4F382" w14:textId="77777777" w:rsidR="00BD3A0D" w:rsidRPr="00340BEE" w:rsidRDefault="00796D61" w:rsidP="00340BEE">
      <w:pPr>
        <w:pStyle w:val="Paragraph"/>
        <w:rPr>
          <w:rFonts w:ascii="Arial" w:hAnsi="Arial" w:cs="Arial"/>
          <w:sz w:val="20"/>
        </w:rPr>
      </w:pPr>
      <w:r w:rsidRPr="00340BEE">
        <w:rPr>
          <w:rFonts w:ascii="Arial" w:hAnsi="Arial" w:cs="Arial"/>
          <w:sz w:val="20"/>
        </w:rPr>
        <w:t>E</w:t>
      </w:r>
      <w:r w:rsidR="00D03B28" w:rsidRPr="00340BEE">
        <w:rPr>
          <w:rFonts w:ascii="Arial" w:hAnsi="Arial" w:cs="Arial"/>
          <w:sz w:val="20"/>
        </w:rPr>
        <w:t xml:space="preserve">xperience from similar programs indicates that it is difficult to carry out a precise </w:t>
      </w:r>
      <w:r w:rsidR="00DE6675" w:rsidRPr="00340BEE">
        <w:rPr>
          <w:rFonts w:ascii="Arial" w:hAnsi="Arial" w:cs="Arial"/>
          <w:sz w:val="20"/>
        </w:rPr>
        <w:t>estimation</w:t>
      </w:r>
      <w:r w:rsidR="00D03B28" w:rsidRPr="00340BEE">
        <w:rPr>
          <w:rFonts w:ascii="Arial" w:hAnsi="Arial" w:cs="Arial"/>
          <w:sz w:val="20"/>
        </w:rPr>
        <w:t xml:space="preserve"> without </w:t>
      </w:r>
      <w:r w:rsidRPr="00340BEE">
        <w:rPr>
          <w:rFonts w:ascii="Arial" w:hAnsi="Arial" w:cs="Arial"/>
          <w:sz w:val="20"/>
        </w:rPr>
        <w:t>ac</w:t>
      </w:r>
      <w:r w:rsidR="00D03B28" w:rsidRPr="00340BEE">
        <w:rPr>
          <w:rFonts w:ascii="Arial" w:hAnsi="Arial" w:cs="Arial"/>
          <w:sz w:val="20"/>
        </w:rPr>
        <w:t xml:space="preserve">counting </w:t>
      </w:r>
      <w:r w:rsidRPr="00340BEE">
        <w:rPr>
          <w:rFonts w:ascii="Arial" w:hAnsi="Arial" w:cs="Arial"/>
          <w:sz w:val="20"/>
        </w:rPr>
        <w:t>for</w:t>
      </w:r>
      <w:r w:rsidR="00D03B28" w:rsidRPr="00340BEE">
        <w:rPr>
          <w:rFonts w:ascii="Arial" w:hAnsi="Arial" w:cs="Arial"/>
          <w:sz w:val="20"/>
        </w:rPr>
        <w:t xml:space="preserve"> all </w:t>
      </w:r>
      <w:r w:rsidRPr="00340BEE">
        <w:rPr>
          <w:rFonts w:ascii="Arial" w:hAnsi="Arial" w:cs="Arial"/>
          <w:sz w:val="20"/>
        </w:rPr>
        <w:t xml:space="preserve">the </w:t>
      </w:r>
      <w:r w:rsidR="00D03B28" w:rsidRPr="00340BEE">
        <w:rPr>
          <w:rFonts w:ascii="Arial" w:hAnsi="Arial" w:cs="Arial"/>
          <w:sz w:val="20"/>
        </w:rPr>
        <w:t>economic and fina</w:t>
      </w:r>
      <w:r w:rsidR="00B3631A" w:rsidRPr="00340BEE">
        <w:rPr>
          <w:rFonts w:ascii="Arial" w:hAnsi="Arial" w:cs="Arial"/>
          <w:sz w:val="20"/>
        </w:rPr>
        <w:t>ncial</w:t>
      </w:r>
      <w:r w:rsidR="00D03B28" w:rsidRPr="00340BEE">
        <w:rPr>
          <w:rFonts w:ascii="Arial" w:hAnsi="Arial" w:cs="Arial"/>
          <w:sz w:val="20"/>
        </w:rPr>
        <w:t xml:space="preserve"> variables affected by the Program’s activities. </w:t>
      </w:r>
      <w:r w:rsidRPr="00340BEE">
        <w:rPr>
          <w:rFonts w:ascii="Arial" w:hAnsi="Arial" w:cs="Arial"/>
          <w:sz w:val="20"/>
        </w:rPr>
        <w:t>A</w:t>
      </w:r>
      <w:r w:rsidR="00D03B28" w:rsidRPr="00340BEE">
        <w:rPr>
          <w:rFonts w:ascii="Arial" w:hAnsi="Arial" w:cs="Arial"/>
          <w:sz w:val="20"/>
        </w:rPr>
        <w:t xml:space="preserve">nalysis of the Program’s activities will allow </w:t>
      </w:r>
      <w:r w:rsidR="005B3478" w:rsidRPr="00340BEE">
        <w:rPr>
          <w:rFonts w:ascii="Arial" w:hAnsi="Arial" w:cs="Arial"/>
          <w:sz w:val="20"/>
        </w:rPr>
        <w:t xml:space="preserve">for a </w:t>
      </w:r>
      <w:r w:rsidRPr="00340BEE">
        <w:rPr>
          <w:rFonts w:ascii="Arial" w:hAnsi="Arial" w:cs="Arial"/>
          <w:sz w:val="20"/>
        </w:rPr>
        <w:t xml:space="preserve">partial </w:t>
      </w:r>
      <w:r w:rsidR="00D9641F" w:rsidRPr="00340BEE">
        <w:rPr>
          <w:rFonts w:ascii="Arial" w:hAnsi="Arial" w:cs="Arial"/>
          <w:sz w:val="20"/>
        </w:rPr>
        <w:t>estimati</w:t>
      </w:r>
      <w:r w:rsidRPr="00340BEE">
        <w:rPr>
          <w:rFonts w:ascii="Arial" w:hAnsi="Arial" w:cs="Arial"/>
          <w:sz w:val="20"/>
        </w:rPr>
        <w:t>on</w:t>
      </w:r>
      <w:r w:rsidR="00D03B28" w:rsidRPr="00340BEE">
        <w:rPr>
          <w:rFonts w:ascii="Arial" w:hAnsi="Arial" w:cs="Arial"/>
          <w:sz w:val="20"/>
        </w:rPr>
        <w:t xml:space="preserve"> </w:t>
      </w:r>
      <w:r w:rsidRPr="00340BEE">
        <w:rPr>
          <w:rFonts w:ascii="Arial" w:hAnsi="Arial" w:cs="Arial"/>
          <w:sz w:val="20"/>
        </w:rPr>
        <w:t xml:space="preserve">of </w:t>
      </w:r>
      <w:r w:rsidR="00D03B28" w:rsidRPr="00340BEE">
        <w:rPr>
          <w:rFonts w:ascii="Arial" w:hAnsi="Arial" w:cs="Arial"/>
          <w:sz w:val="20"/>
        </w:rPr>
        <w:t xml:space="preserve">the Program’s </w:t>
      </w:r>
      <w:r w:rsidR="006E01E3" w:rsidRPr="00340BEE">
        <w:rPr>
          <w:rFonts w:ascii="Arial" w:hAnsi="Arial" w:cs="Arial"/>
          <w:sz w:val="20"/>
        </w:rPr>
        <w:t xml:space="preserve">financial </w:t>
      </w:r>
      <w:r w:rsidR="00D03B28" w:rsidRPr="00340BEE">
        <w:rPr>
          <w:rFonts w:ascii="Arial" w:hAnsi="Arial" w:cs="Arial"/>
          <w:sz w:val="20"/>
        </w:rPr>
        <w:t>benefits</w:t>
      </w:r>
      <w:r w:rsidR="00D9641F" w:rsidRPr="00340BEE">
        <w:rPr>
          <w:rFonts w:ascii="Arial" w:hAnsi="Arial" w:cs="Arial"/>
          <w:sz w:val="20"/>
        </w:rPr>
        <w:t xml:space="preserve"> in order to generate an Internal </w:t>
      </w:r>
      <w:r w:rsidRPr="00340BEE">
        <w:rPr>
          <w:rFonts w:ascii="Arial" w:hAnsi="Arial" w:cs="Arial"/>
          <w:sz w:val="20"/>
        </w:rPr>
        <w:t xml:space="preserve">Rate of </w:t>
      </w:r>
      <w:r w:rsidR="00D9641F" w:rsidRPr="00340BEE">
        <w:rPr>
          <w:rFonts w:ascii="Arial" w:hAnsi="Arial" w:cs="Arial"/>
          <w:sz w:val="20"/>
        </w:rPr>
        <w:t xml:space="preserve">Return (IRR) and the </w:t>
      </w:r>
      <w:r w:rsidRPr="00340BEE">
        <w:rPr>
          <w:rFonts w:ascii="Arial" w:hAnsi="Arial" w:cs="Arial"/>
          <w:sz w:val="20"/>
        </w:rPr>
        <w:t xml:space="preserve">corresponding </w:t>
      </w:r>
      <w:r w:rsidR="00D9641F" w:rsidRPr="00340BEE">
        <w:rPr>
          <w:rFonts w:ascii="Arial" w:hAnsi="Arial" w:cs="Arial"/>
          <w:sz w:val="20"/>
        </w:rPr>
        <w:t>Net Present Value of the Program’s tax policy component.</w:t>
      </w:r>
      <w:r w:rsidR="000A74DD" w:rsidRPr="00340BEE">
        <w:rPr>
          <w:rFonts w:ascii="Arial" w:hAnsi="Arial" w:cs="Arial"/>
          <w:sz w:val="20"/>
        </w:rPr>
        <w:t xml:space="preserve"> </w:t>
      </w:r>
      <w:r w:rsidR="00BD3A0D" w:rsidRPr="00340BEE">
        <w:rPr>
          <w:rFonts w:ascii="Arial" w:hAnsi="Arial" w:cs="Arial"/>
          <w:sz w:val="20"/>
        </w:rPr>
        <w:t>D</w:t>
      </w:r>
      <w:r w:rsidR="00B3631A" w:rsidRPr="00340BEE">
        <w:rPr>
          <w:rFonts w:ascii="Arial" w:hAnsi="Arial" w:cs="Arial"/>
          <w:sz w:val="20"/>
        </w:rPr>
        <w:t>e</w:t>
      </w:r>
      <w:r w:rsidR="00BD3A0D" w:rsidRPr="00340BEE">
        <w:rPr>
          <w:rFonts w:ascii="Arial" w:hAnsi="Arial" w:cs="Arial"/>
          <w:sz w:val="20"/>
        </w:rPr>
        <w:t>sp</w:t>
      </w:r>
      <w:r w:rsidR="00B3631A" w:rsidRPr="00340BEE">
        <w:rPr>
          <w:rFonts w:ascii="Arial" w:hAnsi="Arial" w:cs="Arial"/>
          <w:sz w:val="20"/>
        </w:rPr>
        <w:t>i</w:t>
      </w:r>
      <w:r w:rsidR="00BD3A0D" w:rsidRPr="00340BEE">
        <w:rPr>
          <w:rFonts w:ascii="Arial" w:hAnsi="Arial" w:cs="Arial"/>
          <w:sz w:val="20"/>
        </w:rPr>
        <w:t xml:space="preserve">te the aforementioned, it is possible to </w:t>
      </w:r>
      <w:r w:rsidR="00565466" w:rsidRPr="00340BEE">
        <w:rPr>
          <w:rFonts w:ascii="Arial" w:hAnsi="Arial" w:cs="Arial"/>
          <w:sz w:val="20"/>
        </w:rPr>
        <w:t xml:space="preserve">derive an approximate </w:t>
      </w:r>
      <w:r w:rsidR="00DE6675" w:rsidRPr="00340BEE">
        <w:rPr>
          <w:rFonts w:ascii="Arial" w:hAnsi="Arial" w:cs="Arial"/>
          <w:sz w:val="20"/>
        </w:rPr>
        <w:t>estimation</w:t>
      </w:r>
      <w:r w:rsidR="00BD3A0D" w:rsidRPr="00340BEE">
        <w:rPr>
          <w:rFonts w:ascii="Arial" w:hAnsi="Arial" w:cs="Arial"/>
          <w:sz w:val="20"/>
        </w:rPr>
        <w:t xml:space="preserve"> </w:t>
      </w:r>
      <w:r w:rsidRPr="00340BEE">
        <w:rPr>
          <w:rFonts w:ascii="Arial" w:hAnsi="Arial" w:cs="Arial"/>
          <w:sz w:val="20"/>
        </w:rPr>
        <w:t xml:space="preserve">by </w:t>
      </w:r>
      <w:r w:rsidR="00BD3A0D" w:rsidRPr="00340BEE">
        <w:rPr>
          <w:rFonts w:ascii="Arial" w:hAnsi="Arial" w:cs="Arial"/>
          <w:sz w:val="20"/>
        </w:rPr>
        <w:t xml:space="preserve">considering the results already </w:t>
      </w:r>
      <w:r w:rsidR="00565466" w:rsidRPr="00340BEE">
        <w:rPr>
          <w:rFonts w:ascii="Arial" w:hAnsi="Arial" w:cs="Arial"/>
          <w:sz w:val="20"/>
        </w:rPr>
        <w:t>attained</w:t>
      </w:r>
      <w:r w:rsidR="00BD3A0D" w:rsidRPr="00340BEE">
        <w:rPr>
          <w:rFonts w:ascii="Arial" w:hAnsi="Arial" w:cs="Arial"/>
          <w:sz w:val="20"/>
        </w:rPr>
        <w:t xml:space="preserve"> by some of the activities supported by the Program. </w:t>
      </w:r>
    </w:p>
    <w:p w14:paraId="008E96E6" w14:textId="22A2CDF4" w:rsidR="00053BAF" w:rsidRDefault="00053BAF" w:rsidP="00340BEE">
      <w:pPr>
        <w:pStyle w:val="Paragraph"/>
        <w:rPr>
          <w:rFonts w:ascii="Arial" w:hAnsi="Arial" w:cs="Arial"/>
          <w:sz w:val="20"/>
        </w:rPr>
      </w:pPr>
      <w:r w:rsidRPr="00340BEE">
        <w:rPr>
          <w:rFonts w:ascii="Arial" w:hAnsi="Arial" w:cs="Arial"/>
          <w:sz w:val="20"/>
        </w:rPr>
        <w:t xml:space="preserve">This study was prepared to estimate the economic benefits generated by the introduction of a set of fiscal reforms aimed at strengthening the country’s fiscal position as well as at achieving the sustainability of public financing and of economic growth.  In this context, </w:t>
      </w:r>
      <w:r w:rsidR="0071533E" w:rsidRPr="00340BEE">
        <w:rPr>
          <w:rFonts w:ascii="Arial" w:hAnsi="Arial" w:cs="Arial"/>
          <w:sz w:val="20"/>
        </w:rPr>
        <w:t>an</w:t>
      </w:r>
      <w:r w:rsidRPr="00340BEE">
        <w:rPr>
          <w:rFonts w:ascii="Arial" w:hAnsi="Arial" w:cs="Arial"/>
          <w:sz w:val="20"/>
        </w:rPr>
        <w:t xml:space="preserve"> Economic Analysis</w:t>
      </w:r>
      <w:r w:rsidRPr="00340BEE" w:rsidDel="00C31C5A">
        <w:rPr>
          <w:rFonts w:ascii="Arial" w:hAnsi="Arial" w:cs="Arial"/>
          <w:sz w:val="20"/>
        </w:rPr>
        <w:t xml:space="preserve"> </w:t>
      </w:r>
      <w:r w:rsidRPr="00340BEE">
        <w:rPr>
          <w:rFonts w:ascii="Arial" w:hAnsi="Arial" w:cs="Arial"/>
          <w:sz w:val="20"/>
        </w:rPr>
        <w:t xml:space="preserve">is used to evaluate, the expected results of the Program’s tax reform component. </w:t>
      </w:r>
    </w:p>
    <w:p w14:paraId="5AC3C834" w14:textId="79AA6DCA" w:rsidR="00F03165" w:rsidRPr="00F03165" w:rsidRDefault="00F03165" w:rsidP="00340BEE">
      <w:pPr>
        <w:pStyle w:val="Paragraph"/>
        <w:rPr>
          <w:rFonts w:ascii="Arial" w:hAnsi="Arial" w:cs="Arial"/>
          <w:sz w:val="20"/>
        </w:rPr>
      </w:pPr>
      <w:r w:rsidRPr="00F03165">
        <w:rPr>
          <w:rFonts w:ascii="Arial" w:hAnsi="Arial" w:cs="Arial"/>
          <w:sz w:val="20"/>
        </w:rPr>
        <w:t xml:space="preserve">The study also took into consideration the </w:t>
      </w:r>
      <w:r w:rsidRPr="00F03165">
        <w:rPr>
          <w:rFonts w:ascii="Arial" w:hAnsi="Arial" w:cs="Arial"/>
          <w:sz w:val="20"/>
          <w:lang w:val="en-GB"/>
        </w:rPr>
        <w:t>successful tax administration reform in Indonesia (</w:t>
      </w:r>
      <w:hyperlink r:id="rId10" w:history="1">
        <w:r w:rsidRPr="00F03165">
          <w:rPr>
            <w:rFonts w:ascii="Arial" w:hAnsi="Arial" w:cs="Arial"/>
            <w:color w:val="0000FF"/>
            <w:sz w:val="20"/>
            <w:u w:val="single"/>
            <w:lang w:val="en-GB"/>
          </w:rPr>
          <w:t>India's Experience with Fiscal Rules: An Evaluation and The Way Forward</w:t>
        </w:r>
      </w:hyperlink>
      <w:r w:rsidRPr="00F03165">
        <w:rPr>
          <w:rFonts w:ascii="Arial" w:hAnsi="Arial" w:cs="Arial"/>
          <w:sz w:val="20"/>
          <w:lang w:val="en-GB"/>
        </w:rPr>
        <w:t>)</w:t>
      </w:r>
      <w:r>
        <w:rPr>
          <w:rFonts w:ascii="Arial" w:hAnsi="Arial" w:cs="Arial"/>
          <w:sz w:val="20"/>
          <w:lang w:val="en-GB"/>
        </w:rPr>
        <w:t>, which</w:t>
      </w:r>
      <w:r w:rsidRPr="00F03165">
        <w:rPr>
          <w:rFonts w:ascii="Arial" w:hAnsi="Arial" w:cs="Arial"/>
          <w:sz w:val="20"/>
          <w:lang w:val="en-GB"/>
        </w:rPr>
        <w:t xml:space="preserve"> has many similarities to the Jamaica case, including: (i) being developed under the country’s broader economic reform programme; and (ii) relying on compliance facilitation and compliance enforcement. The Indonesian reforms were assessed as having lessened the fiscal deficit (from 3.2% in FY2000 to 1% in FY2006) and increased tax revenues (from 9.6% of GDP in FY2000 to 11.2% in FY2006).</w:t>
      </w:r>
      <w:r>
        <w:rPr>
          <w:rFonts w:ascii="Arial" w:hAnsi="Arial" w:cs="Arial"/>
          <w:sz w:val="20"/>
          <w:lang w:val="en-GB"/>
        </w:rPr>
        <w:t xml:space="preserve"> In this regards, the Indonesia experience, provides a solid evidence that this type of reforms can support governments to decrease public debt as a result of a series of actions policies that promotes economic growth, alleviate government expenditures, and at the same time increase tax revenue.  </w:t>
      </w:r>
      <w:r w:rsidRPr="00F03165">
        <w:rPr>
          <w:rFonts w:ascii="Arial" w:hAnsi="Arial" w:cs="Arial"/>
          <w:sz w:val="20"/>
        </w:rPr>
        <w:t xml:space="preserve">  </w:t>
      </w:r>
    </w:p>
    <w:p w14:paraId="793FB2C5" w14:textId="77777777" w:rsidR="00FB3A01" w:rsidRPr="00340BEE" w:rsidRDefault="00053BAF" w:rsidP="00340BEE">
      <w:pPr>
        <w:pStyle w:val="Paragraph"/>
        <w:rPr>
          <w:rFonts w:ascii="Arial" w:hAnsi="Arial" w:cs="Arial"/>
          <w:sz w:val="20"/>
        </w:rPr>
      </w:pPr>
      <w:r w:rsidRPr="00340BEE">
        <w:rPr>
          <w:rFonts w:ascii="Arial" w:hAnsi="Arial" w:cs="Arial"/>
          <w:sz w:val="20"/>
        </w:rPr>
        <w:t xml:space="preserve">Based the results of the Revenue Impact of Tax Reform Proposals shown in the Table A, the amount of each of the eight tax categories was programmed to be implemented according to the work plan presented in the Blue Print Tax Reform Document, which establishes a gradual introduction of the tax reform, starting with 0.28% in FY 2013/2014, 38% in FY 2014/15, 58% in FY 2015/16, and finally full implementation 99% in FY 2016/17 </w:t>
      </w:r>
      <w:r w:rsidR="00702B59" w:rsidRPr="00340BEE">
        <w:rPr>
          <w:rFonts w:ascii="Arial" w:hAnsi="Arial" w:cs="Arial"/>
          <w:sz w:val="20"/>
        </w:rPr>
        <w:t>(%</w:t>
      </w:r>
      <w:r w:rsidRPr="00340BEE">
        <w:rPr>
          <w:rFonts w:ascii="Arial" w:hAnsi="Arial" w:cs="Arial"/>
          <w:sz w:val="20"/>
        </w:rPr>
        <w:t xml:space="preserve"> of GDP).</w:t>
      </w:r>
    </w:p>
    <w:p w14:paraId="1BBA18C5" w14:textId="77777777" w:rsidR="00FB3A01" w:rsidRPr="00340BEE" w:rsidRDefault="00FB3A01" w:rsidP="00340BEE">
      <w:pPr>
        <w:pStyle w:val="Paragraph"/>
        <w:rPr>
          <w:rFonts w:ascii="Arial" w:hAnsi="Arial" w:cs="Arial"/>
          <w:sz w:val="20"/>
        </w:rPr>
      </w:pPr>
      <w:r w:rsidRPr="00340BEE">
        <w:rPr>
          <w:rFonts w:ascii="Arial" w:hAnsi="Arial" w:cs="Arial"/>
          <w:sz w:val="20"/>
        </w:rPr>
        <w:t xml:space="preserve">It is important to highlight that this </w:t>
      </w:r>
      <w:r w:rsidR="00DE6675" w:rsidRPr="00340BEE">
        <w:rPr>
          <w:rFonts w:ascii="Arial" w:hAnsi="Arial" w:cs="Arial"/>
          <w:sz w:val="20"/>
        </w:rPr>
        <w:t>study</w:t>
      </w:r>
      <w:r w:rsidRPr="00340BEE">
        <w:rPr>
          <w:rFonts w:ascii="Arial" w:hAnsi="Arial" w:cs="Arial"/>
          <w:sz w:val="20"/>
        </w:rPr>
        <w:t xml:space="preserve"> does not consider the indirect benefi</w:t>
      </w:r>
      <w:r w:rsidR="00BB0C41" w:rsidRPr="00340BEE">
        <w:rPr>
          <w:rFonts w:ascii="Arial" w:hAnsi="Arial" w:cs="Arial"/>
          <w:sz w:val="20"/>
        </w:rPr>
        <w:t>t</w:t>
      </w:r>
      <w:r w:rsidRPr="00340BEE">
        <w:rPr>
          <w:rFonts w:ascii="Arial" w:hAnsi="Arial" w:cs="Arial"/>
          <w:sz w:val="20"/>
        </w:rPr>
        <w:t>s (</w:t>
      </w:r>
      <w:r w:rsidR="005B3478" w:rsidRPr="00340BEE">
        <w:rPr>
          <w:rFonts w:ascii="Arial" w:hAnsi="Arial" w:cs="Arial"/>
          <w:sz w:val="20"/>
        </w:rPr>
        <w:t xml:space="preserve">the </w:t>
      </w:r>
      <w:r w:rsidRPr="00340BEE">
        <w:rPr>
          <w:rFonts w:ascii="Arial" w:hAnsi="Arial" w:cs="Arial"/>
          <w:sz w:val="20"/>
        </w:rPr>
        <w:t xml:space="preserve">results </w:t>
      </w:r>
      <w:r w:rsidR="005B3478" w:rsidRPr="00340BEE">
        <w:rPr>
          <w:rFonts w:ascii="Arial" w:hAnsi="Arial" w:cs="Arial"/>
          <w:sz w:val="20"/>
        </w:rPr>
        <w:t xml:space="preserve">of which </w:t>
      </w:r>
      <w:r w:rsidR="00BB0C41" w:rsidRPr="00340BEE">
        <w:rPr>
          <w:rFonts w:ascii="Arial" w:hAnsi="Arial" w:cs="Arial"/>
          <w:sz w:val="20"/>
        </w:rPr>
        <w:t xml:space="preserve">could </w:t>
      </w:r>
      <w:r w:rsidR="005B3478" w:rsidRPr="00340BEE">
        <w:rPr>
          <w:rFonts w:ascii="Arial" w:hAnsi="Arial" w:cs="Arial"/>
          <w:sz w:val="20"/>
        </w:rPr>
        <w:t xml:space="preserve">only </w:t>
      </w:r>
      <w:r w:rsidR="00BB0C41" w:rsidRPr="00340BEE">
        <w:rPr>
          <w:rFonts w:ascii="Arial" w:hAnsi="Arial" w:cs="Arial"/>
          <w:sz w:val="20"/>
        </w:rPr>
        <w:t xml:space="preserve">be evaluated </w:t>
      </w:r>
      <w:r w:rsidR="005B3478" w:rsidRPr="00340BEE">
        <w:rPr>
          <w:rFonts w:ascii="Arial" w:hAnsi="Arial" w:cs="Arial"/>
          <w:sz w:val="20"/>
        </w:rPr>
        <w:t xml:space="preserve">over the </w:t>
      </w:r>
      <w:r w:rsidR="00BB0C41" w:rsidRPr="00340BEE">
        <w:rPr>
          <w:rFonts w:ascii="Arial" w:hAnsi="Arial" w:cs="Arial"/>
          <w:sz w:val="20"/>
        </w:rPr>
        <w:t>long-</w:t>
      </w:r>
      <w:r w:rsidRPr="00340BEE">
        <w:rPr>
          <w:rFonts w:ascii="Arial" w:hAnsi="Arial" w:cs="Arial"/>
          <w:sz w:val="20"/>
        </w:rPr>
        <w:t>term) related to results from social investm</w:t>
      </w:r>
      <w:r w:rsidR="00BB0C41" w:rsidRPr="00340BEE">
        <w:rPr>
          <w:rFonts w:ascii="Arial" w:hAnsi="Arial" w:cs="Arial"/>
          <w:sz w:val="20"/>
        </w:rPr>
        <w:t>ents in sectors that contribute to</w:t>
      </w:r>
      <w:r w:rsidRPr="00340BEE">
        <w:rPr>
          <w:rFonts w:ascii="Arial" w:hAnsi="Arial" w:cs="Arial"/>
          <w:sz w:val="20"/>
        </w:rPr>
        <w:t xml:space="preserve"> poverty reduction and </w:t>
      </w:r>
      <w:r w:rsidR="005B3478" w:rsidRPr="00340BEE">
        <w:rPr>
          <w:rFonts w:ascii="Arial" w:hAnsi="Arial" w:cs="Arial"/>
          <w:sz w:val="20"/>
        </w:rPr>
        <w:t xml:space="preserve">an </w:t>
      </w:r>
      <w:r w:rsidRPr="00340BEE">
        <w:rPr>
          <w:rFonts w:ascii="Arial" w:hAnsi="Arial" w:cs="Arial"/>
          <w:sz w:val="20"/>
        </w:rPr>
        <w:t xml:space="preserve">increase </w:t>
      </w:r>
      <w:r w:rsidR="005B3478" w:rsidRPr="00340BEE">
        <w:rPr>
          <w:rFonts w:ascii="Arial" w:hAnsi="Arial" w:cs="Arial"/>
          <w:sz w:val="20"/>
        </w:rPr>
        <w:t xml:space="preserve">in </w:t>
      </w:r>
      <w:r w:rsidRPr="00340BEE">
        <w:rPr>
          <w:rFonts w:ascii="Arial" w:hAnsi="Arial" w:cs="Arial"/>
          <w:sz w:val="20"/>
        </w:rPr>
        <w:t>human capital.</w:t>
      </w:r>
    </w:p>
    <w:p w14:paraId="4D54FD7B" w14:textId="77777777" w:rsidR="00FB3A01" w:rsidRPr="00340BEE" w:rsidRDefault="008E5C08" w:rsidP="00340BEE">
      <w:pPr>
        <w:pStyle w:val="Paragraph"/>
        <w:rPr>
          <w:rFonts w:ascii="Arial" w:hAnsi="Arial" w:cs="Arial"/>
          <w:sz w:val="20"/>
        </w:rPr>
      </w:pPr>
      <w:r w:rsidRPr="00340BEE">
        <w:rPr>
          <w:rFonts w:ascii="Arial" w:hAnsi="Arial" w:cs="Arial"/>
          <w:sz w:val="20"/>
        </w:rPr>
        <w:t xml:space="preserve">The Program is structured </w:t>
      </w:r>
      <w:r w:rsidR="005B3478" w:rsidRPr="00340BEE">
        <w:rPr>
          <w:rFonts w:ascii="Arial" w:hAnsi="Arial" w:cs="Arial"/>
          <w:sz w:val="20"/>
        </w:rPr>
        <w:t xml:space="preserve">as </w:t>
      </w:r>
      <w:r w:rsidR="006E01E3" w:rsidRPr="00340BEE">
        <w:rPr>
          <w:rFonts w:ascii="Arial" w:hAnsi="Arial" w:cs="Arial"/>
          <w:sz w:val="20"/>
        </w:rPr>
        <w:t xml:space="preserve">three </w:t>
      </w:r>
      <w:r w:rsidRPr="00340BEE">
        <w:rPr>
          <w:rFonts w:ascii="Arial" w:hAnsi="Arial" w:cs="Arial"/>
          <w:sz w:val="20"/>
        </w:rPr>
        <w:t xml:space="preserve">independent operations, </w:t>
      </w:r>
      <w:r w:rsidR="005B3478" w:rsidRPr="00340BEE">
        <w:rPr>
          <w:rFonts w:ascii="Arial" w:hAnsi="Arial" w:cs="Arial"/>
          <w:sz w:val="20"/>
        </w:rPr>
        <w:t xml:space="preserve">each </w:t>
      </w:r>
      <w:r w:rsidRPr="00340BEE">
        <w:rPr>
          <w:rFonts w:ascii="Arial" w:hAnsi="Arial" w:cs="Arial"/>
          <w:sz w:val="20"/>
        </w:rPr>
        <w:t xml:space="preserve">technically integrated under the programmatic modality, comprising financing resources of US$80 million in </w:t>
      </w:r>
      <w:r w:rsidR="005B3478" w:rsidRPr="00340BEE">
        <w:rPr>
          <w:rFonts w:ascii="Arial" w:hAnsi="Arial" w:cs="Arial"/>
          <w:sz w:val="20"/>
        </w:rPr>
        <w:t xml:space="preserve">the </w:t>
      </w:r>
      <w:r w:rsidRPr="00340BEE">
        <w:rPr>
          <w:rFonts w:ascii="Arial" w:hAnsi="Arial" w:cs="Arial"/>
          <w:sz w:val="20"/>
        </w:rPr>
        <w:t>first tranche, US$</w:t>
      </w:r>
      <w:r w:rsidR="004A4507" w:rsidRPr="00340BEE">
        <w:rPr>
          <w:rFonts w:ascii="Arial" w:hAnsi="Arial" w:cs="Arial"/>
          <w:sz w:val="20"/>
        </w:rPr>
        <w:t xml:space="preserve">100 </w:t>
      </w:r>
      <w:r w:rsidRPr="00340BEE">
        <w:rPr>
          <w:rFonts w:ascii="Arial" w:hAnsi="Arial" w:cs="Arial"/>
          <w:sz w:val="20"/>
        </w:rPr>
        <w:t>million in the second tranche, and</w:t>
      </w:r>
      <w:r w:rsidR="00FF4831" w:rsidRPr="00340BEE">
        <w:rPr>
          <w:rFonts w:ascii="Arial" w:hAnsi="Arial" w:cs="Arial"/>
          <w:sz w:val="20"/>
        </w:rPr>
        <w:t xml:space="preserve"> an anticipated </w:t>
      </w:r>
      <w:r w:rsidRPr="00340BEE">
        <w:rPr>
          <w:rFonts w:ascii="Arial" w:hAnsi="Arial" w:cs="Arial"/>
          <w:sz w:val="20"/>
        </w:rPr>
        <w:t>US$80 million in the third tranche.</w:t>
      </w:r>
      <w:r w:rsidR="00EA7133" w:rsidRPr="00340BEE">
        <w:rPr>
          <w:rFonts w:ascii="Arial" w:hAnsi="Arial" w:cs="Arial"/>
          <w:sz w:val="20"/>
        </w:rPr>
        <w:t xml:space="preserve"> </w:t>
      </w:r>
    </w:p>
    <w:p w14:paraId="08B38A7A" w14:textId="362E42B1" w:rsidR="006B4472" w:rsidRPr="00C7573A" w:rsidRDefault="00340BEE" w:rsidP="00C7573A">
      <w:pPr>
        <w:pStyle w:val="Chapter"/>
        <w:rPr>
          <w:rFonts w:ascii="Arial" w:hAnsi="Arial" w:cs="Arial"/>
          <w:sz w:val="20"/>
        </w:rPr>
      </w:pPr>
      <w:r w:rsidRPr="00340BEE">
        <w:rPr>
          <w:rFonts w:ascii="Arial" w:hAnsi="Arial" w:cs="Arial"/>
          <w:sz w:val="22"/>
        </w:rPr>
        <w:t>A</w:t>
      </w:r>
      <w:r w:rsidR="00EA7133" w:rsidRPr="00340BEE">
        <w:rPr>
          <w:rFonts w:ascii="Arial" w:hAnsi="Arial" w:cs="Arial"/>
          <w:sz w:val="22"/>
        </w:rPr>
        <w:t>SSUMPTION AND</w:t>
      </w:r>
      <w:r w:rsidR="00053BAF" w:rsidRPr="00340BEE">
        <w:rPr>
          <w:rFonts w:ascii="Arial" w:hAnsi="Arial" w:cs="Arial"/>
          <w:sz w:val="22"/>
        </w:rPr>
        <w:t xml:space="preserve"> </w:t>
      </w:r>
      <w:r w:rsidR="00EA7133" w:rsidRPr="00340BEE">
        <w:rPr>
          <w:rFonts w:ascii="Arial" w:hAnsi="Arial" w:cs="Arial"/>
          <w:sz w:val="22"/>
        </w:rPr>
        <w:t>METHODOLOGY</w:t>
      </w:r>
    </w:p>
    <w:tbl>
      <w:tblPr>
        <w:tblStyle w:val="TableGrid"/>
        <w:tblW w:w="0" w:type="auto"/>
        <w:tblInd w:w="1278" w:type="dxa"/>
        <w:tblLook w:val="04A0" w:firstRow="1" w:lastRow="0" w:firstColumn="1" w:lastColumn="0" w:noHBand="0" w:noVBand="1"/>
      </w:tblPr>
      <w:tblGrid>
        <w:gridCol w:w="7578"/>
      </w:tblGrid>
      <w:tr w:rsidR="00DE6675" w:rsidRPr="00340BEE" w14:paraId="21955952" w14:textId="77777777" w:rsidTr="00C7573A">
        <w:tc>
          <w:tcPr>
            <w:tcW w:w="7578" w:type="dxa"/>
          </w:tcPr>
          <w:p w14:paraId="6AD42CEE" w14:textId="77777777" w:rsidR="00DE6675" w:rsidRPr="00340BEE" w:rsidRDefault="00DE6675" w:rsidP="00F646C2">
            <w:pPr>
              <w:jc w:val="both"/>
              <w:rPr>
                <w:rFonts w:ascii="Arial" w:hAnsi="Arial" w:cs="Arial"/>
                <w:i/>
                <w:sz w:val="20"/>
                <w:szCs w:val="20"/>
              </w:rPr>
            </w:pPr>
            <w:r w:rsidRPr="00340BEE">
              <w:rPr>
                <w:rFonts w:ascii="Arial" w:hAnsi="Arial" w:cs="Arial"/>
                <w:b/>
                <w:i/>
                <w:sz w:val="20"/>
                <w:szCs w:val="20"/>
              </w:rPr>
              <w:t xml:space="preserve">Assumption: </w:t>
            </w:r>
            <w:r w:rsidRPr="00340BEE">
              <w:rPr>
                <w:rFonts w:ascii="Arial" w:hAnsi="Arial" w:cs="Arial"/>
                <w:i/>
                <w:sz w:val="20"/>
                <w:szCs w:val="20"/>
              </w:rPr>
              <w:t xml:space="preserve">By adjusting annually the tax base according to the variation of the </w:t>
            </w:r>
            <w:r w:rsidR="00652C67" w:rsidRPr="00340BEE">
              <w:rPr>
                <w:rFonts w:ascii="Arial" w:hAnsi="Arial" w:cs="Arial"/>
                <w:i/>
                <w:sz w:val="20"/>
                <w:szCs w:val="20"/>
              </w:rPr>
              <w:t xml:space="preserve">Gross Domestic Product </w:t>
            </w:r>
            <w:r w:rsidR="00F471AB" w:rsidRPr="00340BEE">
              <w:rPr>
                <w:rFonts w:ascii="Arial" w:hAnsi="Arial" w:cs="Arial"/>
                <w:i/>
                <w:sz w:val="20"/>
                <w:szCs w:val="20"/>
              </w:rPr>
              <w:t>(</w:t>
            </w:r>
            <w:r w:rsidRPr="00340BEE">
              <w:rPr>
                <w:rFonts w:ascii="Arial" w:hAnsi="Arial" w:cs="Arial"/>
                <w:i/>
                <w:sz w:val="20"/>
                <w:szCs w:val="20"/>
              </w:rPr>
              <w:t>GDP</w:t>
            </w:r>
            <w:r w:rsidR="00F471AB" w:rsidRPr="00340BEE">
              <w:rPr>
                <w:rFonts w:ascii="Arial" w:hAnsi="Arial" w:cs="Arial"/>
                <w:i/>
                <w:sz w:val="20"/>
                <w:szCs w:val="20"/>
              </w:rPr>
              <w:t>)</w:t>
            </w:r>
            <w:r w:rsidRPr="00340BEE">
              <w:rPr>
                <w:rFonts w:ascii="Arial" w:hAnsi="Arial" w:cs="Arial"/>
                <w:i/>
                <w:sz w:val="20"/>
                <w:szCs w:val="20"/>
              </w:rPr>
              <w:t xml:space="preserve"> and the exchange rate, the introduction </w:t>
            </w:r>
            <w:r w:rsidR="00F471AB" w:rsidRPr="00340BEE">
              <w:rPr>
                <w:rFonts w:ascii="Arial" w:hAnsi="Arial" w:cs="Arial"/>
                <w:i/>
                <w:sz w:val="20"/>
                <w:szCs w:val="20"/>
              </w:rPr>
              <w:t>of the</w:t>
            </w:r>
            <w:r w:rsidRPr="00340BEE">
              <w:rPr>
                <w:rFonts w:ascii="Arial" w:hAnsi="Arial" w:cs="Arial"/>
                <w:i/>
                <w:sz w:val="20"/>
                <w:szCs w:val="20"/>
              </w:rPr>
              <w:t xml:space="preserve"> new Tax Reform</w:t>
            </w:r>
            <w:r w:rsidR="00652C67" w:rsidRPr="00340BEE">
              <w:rPr>
                <w:rFonts w:ascii="Arial" w:hAnsi="Arial" w:cs="Arial"/>
                <w:i/>
                <w:sz w:val="20"/>
                <w:szCs w:val="20"/>
              </w:rPr>
              <w:t xml:space="preserve"> will generate a revenue increase of 0.99% of GDP (US$141.22 million). The tax reform will include:</w:t>
            </w:r>
          </w:p>
          <w:p w14:paraId="68CC92A8" w14:textId="77777777" w:rsidR="00DE6675" w:rsidRPr="00340BEE" w:rsidRDefault="00DE6675" w:rsidP="00773CA8">
            <w:pPr>
              <w:pStyle w:val="ListParagraph"/>
              <w:numPr>
                <w:ilvl w:val="0"/>
                <w:numId w:val="7"/>
              </w:numPr>
              <w:ind w:left="630" w:hanging="540"/>
              <w:jc w:val="both"/>
              <w:rPr>
                <w:rFonts w:ascii="Arial" w:hAnsi="Arial" w:cs="Arial"/>
                <w:i/>
                <w:sz w:val="20"/>
                <w:szCs w:val="20"/>
              </w:rPr>
            </w:pPr>
            <w:r w:rsidRPr="00340BEE">
              <w:rPr>
                <w:rFonts w:ascii="Arial" w:hAnsi="Arial" w:cs="Arial"/>
                <w:i/>
                <w:sz w:val="20"/>
                <w:szCs w:val="20"/>
              </w:rPr>
              <w:t xml:space="preserve">Establishes a new Charities Act on Tax Expenditure, </w:t>
            </w:r>
            <w:r w:rsidR="0071533E" w:rsidRPr="00340BEE">
              <w:rPr>
                <w:rFonts w:ascii="Arial" w:hAnsi="Arial" w:cs="Arial"/>
                <w:i/>
                <w:sz w:val="20"/>
                <w:szCs w:val="20"/>
              </w:rPr>
              <w:t>introducing a</w:t>
            </w:r>
            <w:r w:rsidRPr="00340BEE">
              <w:rPr>
                <w:rFonts w:ascii="Arial" w:hAnsi="Arial" w:cs="Arial"/>
                <w:i/>
                <w:sz w:val="20"/>
                <w:szCs w:val="20"/>
              </w:rPr>
              <w:t xml:space="preserve"> 5% cap on </w:t>
            </w:r>
            <w:r w:rsidR="0071533E" w:rsidRPr="00340BEE">
              <w:rPr>
                <w:rFonts w:ascii="Arial" w:hAnsi="Arial" w:cs="Arial"/>
                <w:i/>
                <w:sz w:val="20"/>
                <w:szCs w:val="20"/>
              </w:rPr>
              <w:t>Corporate Income Tax (</w:t>
            </w:r>
            <w:r w:rsidRPr="00340BEE">
              <w:rPr>
                <w:rFonts w:ascii="Arial" w:hAnsi="Arial" w:cs="Arial"/>
                <w:i/>
                <w:sz w:val="20"/>
                <w:szCs w:val="20"/>
              </w:rPr>
              <w:t>CIT</w:t>
            </w:r>
            <w:r w:rsidR="0071533E" w:rsidRPr="00340BEE">
              <w:rPr>
                <w:rFonts w:ascii="Arial" w:hAnsi="Arial" w:cs="Arial"/>
                <w:i/>
                <w:sz w:val="20"/>
                <w:szCs w:val="20"/>
              </w:rPr>
              <w:t>)</w:t>
            </w:r>
            <w:r w:rsidRPr="00340BEE">
              <w:rPr>
                <w:rFonts w:ascii="Arial" w:hAnsi="Arial" w:cs="Arial"/>
                <w:i/>
                <w:sz w:val="20"/>
                <w:szCs w:val="20"/>
              </w:rPr>
              <w:t xml:space="preserve"> and </w:t>
            </w:r>
            <w:r w:rsidR="0071533E" w:rsidRPr="00340BEE">
              <w:rPr>
                <w:rFonts w:ascii="Arial" w:hAnsi="Arial" w:cs="Arial"/>
                <w:i/>
                <w:sz w:val="20"/>
                <w:szCs w:val="20"/>
              </w:rPr>
              <w:t>Personal Income Tax (</w:t>
            </w:r>
            <w:r w:rsidRPr="00340BEE">
              <w:rPr>
                <w:rFonts w:ascii="Arial" w:hAnsi="Arial" w:cs="Arial"/>
                <w:i/>
                <w:sz w:val="20"/>
                <w:szCs w:val="20"/>
              </w:rPr>
              <w:t>PIT</w:t>
            </w:r>
            <w:r w:rsidR="0071533E" w:rsidRPr="00340BEE">
              <w:rPr>
                <w:rFonts w:ascii="Arial" w:hAnsi="Arial" w:cs="Arial"/>
                <w:i/>
                <w:sz w:val="20"/>
                <w:szCs w:val="20"/>
              </w:rPr>
              <w:t>)</w:t>
            </w:r>
            <w:r w:rsidRPr="00340BEE">
              <w:rPr>
                <w:rFonts w:ascii="Arial" w:hAnsi="Arial" w:cs="Arial"/>
                <w:i/>
                <w:sz w:val="20"/>
                <w:szCs w:val="20"/>
              </w:rPr>
              <w:t xml:space="preserve"> Covenanted Donations and Don</w:t>
            </w:r>
            <w:r w:rsidR="00A905B7" w:rsidRPr="00340BEE">
              <w:rPr>
                <w:rFonts w:ascii="Arial" w:hAnsi="Arial" w:cs="Arial"/>
                <w:i/>
                <w:sz w:val="20"/>
                <w:szCs w:val="20"/>
              </w:rPr>
              <w:t>ations to Charities and a JD$ 3,</w:t>
            </w:r>
            <w:r w:rsidRPr="00340BEE">
              <w:rPr>
                <w:rFonts w:ascii="Arial" w:hAnsi="Arial" w:cs="Arial"/>
                <w:i/>
                <w:sz w:val="20"/>
                <w:szCs w:val="20"/>
              </w:rPr>
              <w:t xml:space="preserve">000 million cap on </w:t>
            </w:r>
            <w:r w:rsidR="0071533E" w:rsidRPr="00340BEE">
              <w:rPr>
                <w:rFonts w:ascii="Arial" w:hAnsi="Arial" w:cs="Arial"/>
                <w:i/>
                <w:sz w:val="20"/>
                <w:szCs w:val="20"/>
              </w:rPr>
              <w:t>General Consumption Tax (</w:t>
            </w:r>
            <w:r w:rsidRPr="00340BEE">
              <w:rPr>
                <w:rFonts w:ascii="Arial" w:hAnsi="Arial" w:cs="Arial"/>
                <w:i/>
                <w:sz w:val="20"/>
                <w:szCs w:val="20"/>
              </w:rPr>
              <w:t>GCT</w:t>
            </w:r>
            <w:r w:rsidR="0071533E" w:rsidRPr="00340BEE">
              <w:rPr>
                <w:rFonts w:ascii="Arial" w:hAnsi="Arial" w:cs="Arial"/>
                <w:i/>
                <w:sz w:val="20"/>
                <w:szCs w:val="20"/>
              </w:rPr>
              <w:t>)</w:t>
            </w:r>
            <w:r w:rsidRPr="00340BEE">
              <w:rPr>
                <w:rFonts w:ascii="Arial" w:hAnsi="Arial" w:cs="Arial"/>
                <w:i/>
                <w:sz w:val="20"/>
                <w:szCs w:val="20"/>
              </w:rPr>
              <w:t xml:space="preserve">, </w:t>
            </w:r>
            <w:r w:rsidR="0071533E" w:rsidRPr="00340BEE">
              <w:rPr>
                <w:rFonts w:ascii="Arial" w:hAnsi="Arial" w:cs="Arial"/>
                <w:i/>
                <w:sz w:val="20"/>
                <w:szCs w:val="20"/>
              </w:rPr>
              <w:t>Special Consumption Tax (</w:t>
            </w:r>
            <w:r w:rsidRPr="00340BEE">
              <w:rPr>
                <w:rFonts w:ascii="Arial" w:hAnsi="Arial" w:cs="Arial"/>
                <w:i/>
                <w:sz w:val="20"/>
                <w:szCs w:val="20"/>
              </w:rPr>
              <w:t>SCT</w:t>
            </w:r>
            <w:r w:rsidR="0071533E" w:rsidRPr="00340BEE">
              <w:rPr>
                <w:rFonts w:ascii="Arial" w:hAnsi="Arial" w:cs="Arial"/>
                <w:i/>
                <w:sz w:val="20"/>
                <w:szCs w:val="20"/>
              </w:rPr>
              <w:t>)</w:t>
            </w:r>
            <w:r w:rsidRPr="00340BEE">
              <w:rPr>
                <w:rFonts w:ascii="Arial" w:hAnsi="Arial" w:cs="Arial"/>
                <w:i/>
                <w:sz w:val="20"/>
                <w:szCs w:val="20"/>
              </w:rPr>
              <w:t xml:space="preserve">, Import Duties and </w:t>
            </w:r>
            <w:r w:rsidR="00F471AB" w:rsidRPr="00340BEE">
              <w:rPr>
                <w:rFonts w:ascii="Arial" w:hAnsi="Arial" w:cs="Arial"/>
                <w:i/>
                <w:sz w:val="20"/>
                <w:szCs w:val="20"/>
              </w:rPr>
              <w:t>Customs Users Fess (</w:t>
            </w:r>
            <w:r w:rsidRPr="00340BEE">
              <w:rPr>
                <w:rFonts w:ascii="Arial" w:hAnsi="Arial" w:cs="Arial"/>
                <w:i/>
                <w:sz w:val="20"/>
                <w:szCs w:val="20"/>
              </w:rPr>
              <w:t>CUF</w:t>
            </w:r>
            <w:r w:rsidR="00F471AB" w:rsidRPr="00340BEE">
              <w:rPr>
                <w:rFonts w:ascii="Arial" w:hAnsi="Arial" w:cs="Arial"/>
                <w:i/>
                <w:sz w:val="20"/>
                <w:szCs w:val="20"/>
              </w:rPr>
              <w:t>)</w:t>
            </w:r>
            <w:r w:rsidRPr="00340BEE">
              <w:rPr>
                <w:rFonts w:ascii="Arial" w:hAnsi="Arial" w:cs="Arial"/>
                <w:i/>
                <w:sz w:val="20"/>
                <w:szCs w:val="20"/>
              </w:rPr>
              <w:t xml:space="preserve">; </w:t>
            </w:r>
          </w:p>
          <w:p w14:paraId="0B231BF7" w14:textId="77777777" w:rsidR="00DE6675" w:rsidRPr="00340BEE" w:rsidRDefault="00DE6675" w:rsidP="00773CA8">
            <w:pPr>
              <w:pStyle w:val="ListParagraph"/>
              <w:numPr>
                <w:ilvl w:val="0"/>
                <w:numId w:val="7"/>
              </w:numPr>
              <w:ind w:left="630" w:hanging="540"/>
              <w:jc w:val="both"/>
              <w:rPr>
                <w:rFonts w:ascii="Arial" w:hAnsi="Arial" w:cs="Arial"/>
                <w:i/>
                <w:sz w:val="20"/>
                <w:szCs w:val="20"/>
              </w:rPr>
            </w:pPr>
            <w:r w:rsidRPr="00340BEE">
              <w:rPr>
                <w:rFonts w:ascii="Arial" w:hAnsi="Arial" w:cs="Arial"/>
                <w:i/>
                <w:sz w:val="20"/>
                <w:szCs w:val="20"/>
              </w:rPr>
              <w:lastRenderedPageBreak/>
              <w:t>Establishes the New Incentive Law, eliminating old tax expenditures in different taxes and introduces a new incentive to all sectors on labor costs and capital goods;</w:t>
            </w:r>
          </w:p>
          <w:p w14:paraId="5CF4798B" w14:textId="77777777" w:rsidR="00DE6675" w:rsidRPr="00340BEE" w:rsidRDefault="00DE6675" w:rsidP="00773CA8">
            <w:pPr>
              <w:pStyle w:val="ListParagraph"/>
              <w:numPr>
                <w:ilvl w:val="0"/>
                <w:numId w:val="7"/>
              </w:numPr>
              <w:ind w:left="630" w:hanging="540"/>
              <w:jc w:val="both"/>
              <w:rPr>
                <w:rFonts w:ascii="Arial" w:hAnsi="Arial" w:cs="Arial"/>
                <w:i/>
                <w:sz w:val="20"/>
                <w:szCs w:val="20"/>
              </w:rPr>
            </w:pPr>
            <w:r w:rsidRPr="00340BEE">
              <w:rPr>
                <w:rFonts w:ascii="Arial" w:hAnsi="Arial" w:cs="Arial"/>
                <w:i/>
                <w:sz w:val="20"/>
                <w:szCs w:val="20"/>
              </w:rPr>
              <w:t>Introduces in CIT a cap on the interest payments deductions, a 5% cap on all donations charities, a 5% cap on losses for previous years, eliminates the tax relief incentive with grandfathering provisions, eliminates up to 30% in other tax credits, and eliminates all CIT waivers;</w:t>
            </w:r>
          </w:p>
          <w:p w14:paraId="29E7A6C9" w14:textId="77777777" w:rsidR="00DE6675" w:rsidRPr="00340BEE" w:rsidRDefault="00DE6675" w:rsidP="00773CA8">
            <w:pPr>
              <w:pStyle w:val="ListParagraph"/>
              <w:numPr>
                <w:ilvl w:val="0"/>
                <w:numId w:val="7"/>
              </w:numPr>
              <w:ind w:left="630" w:hanging="540"/>
              <w:jc w:val="both"/>
              <w:rPr>
                <w:rFonts w:ascii="Arial" w:hAnsi="Arial" w:cs="Arial"/>
                <w:i/>
                <w:sz w:val="20"/>
                <w:szCs w:val="20"/>
              </w:rPr>
            </w:pPr>
            <w:r w:rsidRPr="00340BEE">
              <w:rPr>
                <w:rFonts w:ascii="Arial" w:hAnsi="Arial" w:cs="Arial"/>
                <w:i/>
                <w:sz w:val="20"/>
                <w:szCs w:val="20"/>
              </w:rPr>
              <w:t>Introduces in PIT a cap on the interest payments deductions of about 1/3 of the current interest payment, a 5% cap on all donations charities, a 5% cap on losses for previous years, eliminates the tax relief incentive with grandfathering provisions, eliminates up to 30% in other tax credits, and eliminating all PIT waivers;</w:t>
            </w:r>
          </w:p>
          <w:p w14:paraId="36F625F7" w14:textId="77777777" w:rsidR="00DE6675" w:rsidRPr="00340BEE" w:rsidRDefault="00DE6675" w:rsidP="00773CA8">
            <w:pPr>
              <w:pStyle w:val="ListParagraph"/>
              <w:numPr>
                <w:ilvl w:val="0"/>
                <w:numId w:val="7"/>
              </w:numPr>
              <w:ind w:left="630" w:hanging="540"/>
              <w:jc w:val="both"/>
              <w:rPr>
                <w:rFonts w:ascii="Arial" w:hAnsi="Arial" w:cs="Arial"/>
                <w:i/>
                <w:sz w:val="20"/>
                <w:szCs w:val="20"/>
              </w:rPr>
            </w:pPr>
            <w:r w:rsidRPr="00340BEE">
              <w:rPr>
                <w:rFonts w:ascii="Arial" w:hAnsi="Arial" w:cs="Arial"/>
                <w:i/>
                <w:sz w:val="20"/>
                <w:szCs w:val="20"/>
              </w:rPr>
              <w:t>Introduces in Customs Tariffs a new tariff structure, eliminates the discretionary waivers (direct and indirect effects on GCT), and the incentive waivers;</w:t>
            </w:r>
          </w:p>
          <w:p w14:paraId="1C1B505F" w14:textId="77777777" w:rsidR="00DE6675" w:rsidRPr="00340BEE" w:rsidRDefault="00DE6675" w:rsidP="00773CA8">
            <w:pPr>
              <w:pStyle w:val="ListParagraph"/>
              <w:numPr>
                <w:ilvl w:val="0"/>
                <w:numId w:val="7"/>
              </w:numPr>
              <w:ind w:left="630" w:hanging="540"/>
              <w:jc w:val="both"/>
              <w:rPr>
                <w:rFonts w:ascii="Arial" w:hAnsi="Arial" w:cs="Arial"/>
                <w:i/>
                <w:sz w:val="20"/>
                <w:szCs w:val="20"/>
              </w:rPr>
            </w:pPr>
            <w:r w:rsidRPr="00340BEE">
              <w:rPr>
                <w:rFonts w:ascii="Arial" w:hAnsi="Arial" w:cs="Arial"/>
                <w:i/>
                <w:sz w:val="20"/>
                <w:szCs w:val="20"/>
              </w:rPr>
              <w:t xml:space="preserve"> Eliminates in GCT incentives and discretionary waivers;</w:t>
            </w:r>
          </w:p>
          <w:p w14:paraId="5EE7059B" w14:textId="77777777" w:rsidR="00DE6675" w:rsidRPr="00340BEE" w:rsidRDefault="00DE6675" w:rsidP="00773CA8">
            <w:pPr>
              <w:pStyle w:val="ListParagraph"/>
              <w:numPr>
                <w:ilvl w:val="0"/>
                <w:numId w:val="7"/>
              </w:numPr>
              <w:ind w:left="630" w:hanging="540"/>
              <w:jc w:val="both"/>
              <w:rPr>
                <w:rFonts w:ascii="Arial" w:hAnsi="Arial" w:cs="Arial"/>
                <w:i/>
                <w:sz w:val="20"/>
                <w:szCs w:val="20"/>
              </w:rPr>
            </w:pPr>
            <w:r w:rsidRPr="00340BEE">
              <w:rPr>
                <w:rFonts w:ascii="Arial" w:hAnsi="Arial" w:cs="Arial"/>
                <w:i/>
                <w:sz w:val="20"/>
                <w:szCs w:val="20"/>
              </w:rPr>
              <w:t>Eliminates in SCT incentive tax expenditure (Ad Valorem) and discretionary waivers (Specific);</w:t>
            </w:r>
          </w:p>
          <w:p w14:paraId="5FCEF4E2" w14:textId="77777777" w:rsidR="00DE6675" w:rsidRPr="00340BEE" w:rsidRDefault="00DE6675" w:rsidP="00652C67">
            <w:pPr>
              <w:pStyle w:val="ListParagraph"/>
              <w:numPr>
                <w:ilvl w:val="0"/>
                <w:numId w:val="7"/>
              </w:numPr>
              <w:ind w:left="630" w:hanging="540"/>
              <w:jc w:val="both"/>
              <w:rPr>
                <w:rFonts w:ascii="Arial" w:hAnsi="Arial" w:cs="Arial"/>
                <w:i/>
                <w:sz w:val="20"/>
                <w:szCs w:val="20"/>
              </w:rPr>
            </w:pPr>
            <w:r w:rsidRPr="00340BEE">
              <w:rPr>
                <w:rFonts w:ascii="Arial" w:hAnsi="Arial" w:cs="Arial"/>
                <w:i/>
                <w:sz w:val="20"/>
                <w:szCs w:val="20"/>
              </w:rPr>
              <w:t>Eliminates CUF incentives and discretionary waiver;</w:t>
            </w:r>
            <w:r w:rsidR="00647AB5" w:rsidRPr="00340BEE">
              <w:rPr>
                <w:rFonts w:ascii="Arial" w:hAnsi="Arial" w:cs="Arial"/>
                <w:i/>
                <w:sz w:val="20"/>
                <w:szCs w:val="20"/>
              </w:rPr>
              <w:t xml:space="preserve"> </w:t>
            </w:r>
            <w:r w:rsidRPr="00340BEE">
              <w:rPr>
                <w:rFonts w:ascii="Arial" w:hAnsi="Arial" w:cs="Arial"/>
                <w:i/>
                <w:sz w:val="20"/>
                <w:szCs w:val="20"/>
              </w:rPr>
              <w:t>will generate a revenue increase, starting with 0.28% of GDP in FY2013/2014 and reaching its fu</w:t>
            </w:r>
            <w:r w:rsidR="00652C67" w:rsidRPr="00340BEE">
              <w:rPr>
                <w:rFonts w:ascii="Arial" w:hAnsi="Arial" w:cs="Arial"/>
                <w:i/>
                <w:sz w:val="20"/>
                <w:szCs w:val="20"/>
              </w:rPr>
              <w:t>ll potential in FY 2016/17.</w:t>
            </w:r>
          </w:p>
        </w:tc>
      </w:tr>
    </w:tbl>
    <w:p w14:paraId="5F794F8D" w14:textId="77777777" w:rsidR="00C7573A" w:rsidRDefault="00C7573A" w:rsidP="00F93232">
      <w:pPr>
        <w:pStyle w:val="UnnumberedHeading2"/>
        <w:spacing w:before="120" w:after="120" w:line="240" w:lineRule="auto"/>
        <w:rPr>
          <w:rFonts w:ascii="Arial" w:hAnsi="Arial"/>
          <w:sz w:val="20"/>
          <w:szCs w:val="20"/>
          <w:lang w:eastAsia="ja-JP"/>
        </w:rPr>
      </w:pPr>
      <w:bookmarkStart w:id="1" w:name="_Toc359237026"/>
    </w:p>
    <w:p w14:paraId="799062BF" w14:textId="77777777" w:rsidR="00AB1648" w:rsidRPr="00340BEE" w:rsidRDefault="00CC364B" w:rsidP="00F93232">
      <w:pPr>
        <w:pStyle w:val="UnnumberedHeading2"/>
        <w:spacing w:before="120" w:after="120" w:line="240" w:lineRule="auto"/>
        <w:rPr>
          <w:rFonts w:ascii="Arial" w:hAnsi="Arial"/>
          <w:sz w:val="20"/>
          <w:szCs w:val="20"/>
        </w:rPr>
      </w:pPr>
      <w:r w:rsidRPr="00340BEE">
        <w:rPr>
          <w:rFonts w:ascii="Arial" w:hAnsi="Arial"/>
          <w:sz w:val="20"/>
          <w:szCs w:val="20"/>
          <w:lang w:eastAsia="ja-JP"/>
        </w:rPr>
        <w:t xml:space="preserve">Methodology </w:t>
      </w:r>
      <w:r w:rsidR="00AB1648" w:rsidRPr="00340BEE">
        <w:rPr>
          <w:rFonts w:ascii="Arial" w:hAnsi="Arial"/>
          <w:sz w:val="20"/>
          <w:szCs w:val="20"/>
          <w:lang w:eastAsia="ja-JP"/>
        </w:rPr>
        <w:t xml:space="preserve">Used to </w:t>
      </w:r>
      <w:r w:rsidR="00247427" w:rsidRPr="00340BEE">
        <w:rPr>
          <w:rFonts w:ascii="Arial" w:hAnsi="Arial"/>
          <w:sz w:val="20"/>
          <w:szCs w:val="20"/>
        </w:rPr>
        <w:t>Calculate de</w:t>
      </w:r>
      <w:r w:rsidR="00247427" w:rsidRPr="00340BEE">
        <w:rPr>
          <w:rFonts w:ascii="Arial" w:hAnsi="Arial"/>
          <w:sz w:val="20"/>
          <w:szCs w:val="20"/>
          <w:lang w:eastAsia="ja-JP"/>
        </w:rPr>
        <w:t xml:space="preserve"> </w:t>
      </w:r>
      <w:r w:rsidR="00AB1648" w:rsidRPr="00340BEE">
        <w:rPr>
          <w:rFonts w:ascii="Arial" w:hAnsi="Arial"/>
          <w:sz w:val="20"/>
          <w:szCs w:val="20"/>
          <w:lang w:eastAsia="ja-JP"/>
        </w:rPr>
        <w:t>Impact of Tax Reform Proposals:</w:t>
      </w:r>
      <w:bookmarkEnd w:id="1"/>
    </w:p>
    <w:p w14:paraId="33292FED" w14:textId="77777777" w:rsidR="0098404C" w:rsidRPr="00340BEE" w:rsidRDefault="00AB1648" w:rsidP="00340BEE">
      <w:pPr>
        <w:pStyle w:val="Paragraph"/>
        <w:rPr>
          <w:rFonts w:ascii="Arial" w:hAnsi="Arial" w:cs="Arial"/>
          <w:sz w:val="20"/>
        </w:rPr>
      </w:pPr>
      <w:r w:rsidRPr="00340BEE">
        <w:rPr>
          <w:rFonts w:ascii="Arial" w:hAnsi="Arial" w:cs="Arial"/>
          <w:sz w:val="20"/>
        </w:rPr>
        <w:t>T</w:t>
      </w:r>
      <w:r w:rsidR="00CC364B" w:rsidRPr="00340BEE">
        <w:rPr>
          <w:rFonts w:ascii="Arial" w:hAnsi="Arial" w:cs="Arial"/>
          <w:sz w:val="20"/>
        </w:rPr>
        <w:t>he</w:t>
      </w:r>
      <w:r w:rsidRPr="00340BEE">
        <w:rPr>
          <w:rFonts w:ascii="Arial" w:hAnsi="Arial" w:cs="Arial"/>
          <w:sz w:val="20"/>
        </w:rPr>
        <w:t xml:space="preserve"> </w:t>
      </w:r>
      <w:r w:rsidR="00CC364B" w:rsidRPr="00340BEE">
        <w:rPr>
          <w:rFonts w:ascii="Arial" w:hAnsi="Arial" w:cs="Arial"/>
          <w:sz w:val="20"/>
        </w:rPr>
        <w:t xml:space="preserve">methodologies / formulas used to calculate </w:t>
      </w:r>
      <w:r w:rsidRPr="00340BEE">
        <w:rPr>
          <w:rFonts w:ascii="Arial" w:hAnsi="Arial" w:cs="Arial"/>
          <w:sz w:val="20"/>
        </w:rPr>
        <w:t>the impact</w:t>
      </w:r>
      <w:r w:rsidR="00CC364B" w:rsidRPr="00340BEE">
        <w:rPr>
          <w:rFonts w:ascii="Arial" w:hAnsi="Arial" w:cs="Arial"/>
          <w:sz w:val="20"/>
        </w:rPr>
        <w:t>s</w:t>
      </w:r>
      <w:r w:rsidRPr="00340BEE">
        <w:rPr>
          <w:rFonts w:ascii="Arial" w:hAnsi="Arial" w:cs="Arial"/>
          <w:sz w:val="20"/>
        </w:rPr>
        <w:t xml:space="preserve"> of the </w:t>
      </w:r>
      <w:r w:rsidR="00CC364B" w:rsidRPr="00340BEE">
        <w:rPr>
          <w:rFonts w:ascii="Arial" w:hAnsi="Arial" w:cs="Arial"/>
          <w:sz w:val="20"/>
        </w:rPr>
        <w:t xml:space="preserve">eight categories </w:t>
      </w:r>
      <w:r w:rsidR="00557340" w:rsidRPr="00340BEE">
        <w:rPr>
          <w:rFonts w:ascii="Arial" w:hAnsi="Arial" w:cs="Arial"/>
          <w:sz w:val="20"/>
        </w:rPr>
        <w:t xml:space="preserve">of reform </w:t>
      </w:r>
      <w:r w:rsidR="00CC364B" w:rsidRPr="00340BEE">
        <w:rPr>
          <w:rFonts w:ascii="Arial" w:hAnsi="Arial" w:cs="Arial"/>
          <w:sz w:val="20"/>
        </w:rPr>
        <w:t xml:space="preserve">presented in the aforementioned </w:t>
      </w:r>
      <w:r w:rsidR="004F413A" w:rsidRPr="00340BEE">
        <w:rPr>
          <w:rFonts w:ascii="Arial" w:hAnsi="Arial" w:cs="Arial"/>
          <w:sz w:val="20"/>
        </w:rPr>
        <w:t>Table A</w:t>
      </w:r>
      <w:r w:rsidR="00CC364B" w:rsidRPr="00340BEE">
        <w:rPr>
          <w:rFonts w:ascii="Arial" w:hAnsi="Arial" w:cs="Arial"/>
          <w:sz w:val="20"/>
        </w:rPr>
        <w:t xml:space="preserve"> were developed based on the concepts </w:t>
      </w:r>
      <w:r w:rsidR="00893972" w:rsidRPr="00340BEE">
        <w:rPr>
          <w:rFonts w:ascii="Arial" w:hAnsi="Arial" w:cs="Arial"/>
          <w:sz w:val="20"/>
        </w:rPr>
        <w:t xml:space="preserve">used </w:t>
      </w:r>
      <w:r w:rsidR="00D369F0" w:rsidRPr="00340BEE">
        <w:rPr>
          <w:rFonts w:ascii="Arial" w:hAnsi="Arial" w:cs="Arial"/>
          <w:sz w:val="20"/>
        </w:rPr>
        <w:t>in</w:t>
      </w:r>
      <w:r w:rsidR="00CC364B" w:rsidRPr="00340BEE">
        <w:rPr>
          <w:rFonts w:ascii="Arial" w:hAnsi="Arial" w:cs="Arial"/>
          <w:sz w:val="20"/>
        </w:rPr>
        <w:t xml:space="preserve"> three main studies</w:t>
      </w:r>
      <w:r w:rsidRPr="00340BEE">
        <w:rPr>
          <w:rFonts w:ascii="Arial" w:hAnsi="Arial" w:cs="Arial"/>
          <w:sz w:val="20"/>
        </w:rPr>
        <w:t>: (i) Jamaica Dynamic Computable General Equilibrium Model (DCGEM), (ii) Jamaica CIT micro data simulation model, and (iii) Jamaica Custom duties micro data simulation model.</w:t>
      </w:r>
      <w:r w:rsidR="00247427" w:rsidRPr="00340BEE">
        <w:rPr>
          <w:rFonts w:ascii="Arial" w:hAnsi="Arial" w:cs="Arial"/>
          <w:sz w:val="20"/>
        </w:rPr>
        <w:t xml:space="preserve"> </w:t>
      </w:r>
      <w:r w:rsidR="00647FFA" w:rsidRPr="00340BEE">
        <w:rPr>
          <w:rFonts w:ascii="Arial" w:hAnsi="Arial" w:cs="Arial"/>
          <w:sz w:val="20"/>
        </w:rPr>
        <w:t xml:space="preserve">The DCGEM is explained in details in annex </w:t>
      </w:r>
      <w:r w:rsidR="00D14D2C" w:rsidRPr="00340BEE">
        <w:rPr>
          <w:rFonts w:ascii="Arial" w:hAnsi="Arial" w:cs="Arial"/>
          <w:sz w:val="20"/>
        </w:rPr>
        <w:t>I at the end of this document.</w:t>
      </w:r>
      <w:r w:rsidR="00DE3F09" w:rsidRPr="00340BEE">
        <w:rPr>
          <w:rFonts w:ascii="Arial" w:hAnsi="Arial" w:cs="Arial"/>
          <w:sz w:val="20"/>
        </w:rPr>
        <w:t xml:space="preserve"> Approximately 27,000 firms were included in the simulation.</w:t>
      </w:r>
    </w:p>
    <w:p w14:paraId="4E20585C" w14:textId="77777777" w:rsidR="00223A08" w:rsidRPr="00340BEE" w:rsidRDefault="00223A08" w:rsidP="00223A08">
      <w:pPr>
        <w:pStyle w:val="ListParagraph"/>
        <w:spacing w:before="120" w:after="120" w:line="240" w:lineRule="auto"/>
        <w:ind w:left="660"/>
        <w:contextualSpacing w:val="0"/>
        <w:jc w:val="both"/>
        <w:rPr>
          <w:rFonts w:ascii="Arial" w:hAnsi="Arial" w:cs="Arial"/>
          <w:sz w:val="20"/>
          <w:szCs w:val="20"/>
        </w:rPr>
      </w:pPr>
    </w:p>
    <w:p w14:paraId="49EAA347" w14:textId="77777777" w:rsidR="003B51B5" w:rsidRPr="00340BEE" w:rsidRDefault="00DE3F09" w:rsidP="00862F67">
      <w:pPr>
        <w:spacing w:before="120" w:after="120" w:line="240" w:lineRule="auto"/>
        <w:jc w:val="both"/>
        <w:rPr>
          <w:rFonts w:ascii="Arial" w:hAnsi="Arial" w:cs="Arial"/>
          <w:sz w:val="20"/>
          <w:szCs w:val="20"/>
        </w:rPr>
      </w:pPr>
      <w:r w:rsidRPr="00340BEE">
        <w:rPr>
          <w:rFonts w:ascii="Arial" w:hAnsi="Arial" w:cs="Arial"/>
          <w:noProof/>
          <w:sz w:val="20"/>
          <w:szCs w:val="20"/>
          <w:lang w:val="es-ES" w:eastAsia="es-ES"/>
        </w:rPr>
        <w:drawing>
          <wp:inline distT="0" distB="0" distL="0" distR="0" wp14:anchorId="28674DDD" wp14:editId="1E22D255">
            <wp:extent cx="6228715" cy="2238233"/>
            <wp:effectExtent l="0" t="0" r="635" b="0"/>
            <wp:docPr id="6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28715" cy="2238233"/>
                    </a:xfrm>
                    <a:prstGeom prst="rect">
                      <a:avLst/>
                    </a:prstGeom>
                    <a:noFill/>
                    <a:ln>
                      <a:noFill/>
                    </a:ln>
                  </pic:spPr>
                </pic:pic>
              </a:graphicData>
            </a:graphic>
          </wp:inline>
        </w:drawing>
      </w:r>
    </w:p>
    <w:p w14:paraId="51142DC8" w14:textId="27C13E0B" w:rsidR="00A67C58" w:rsidRPr="00C7573A" w:rsidRDefault="00F646C2" w:rsidP="00C7573A">
      <w:pPr>
        <w:pStyle w:val="Paragraph"/>
        <w:rPr>
          <w:rFonts w:ascii="Arial" w:hAnsi="Arial" w:cs="Arial"/>
          <w:sz w:val="20"/>
        </w:rPr>
      </w:pPr>
      <w:r w:rsidRPr="00340BEE">
        <w:rPr>
          <w:rFonts w:ascii="Arial" w:hAnsi="Arial" w:cs="Arial"/>
          <w:sz w:val="20"/>
        </w:rPr>
        <w:t>The overall impact of these tax policy reform pr</w:t>
      </w:r>
      <w:r w:rsidR="003B51B5" w:rsidRPr="00340BEE">
        <w:rPr>
          <w:rFonts w:ascii="Arial" w:hAnsi="Arial" w:cs="Arial"/>
          <w:sz w:val="20"/>
        </w:rPr>
        <w:t>oposals are estimated at JD$ 12,</w:t>
      </w:r>
      <w:r w:rsidRPr="00340BEE">
        <w:rPr>
          <w:rFonts w:ascii="Arial" w:hAnsi="Arial" w:cs="Arial"/>
          <w:sz w:val="20"/>
        </w:rPr>
        <w:t xml:space="preserve">453 </w:t>
      </w:r>
      <w:r w:rsidR="003B51B5" w:rsidRPr="00340BEE">
        <w:rPr>
          <w:rFonts w:ascii="Arial" w:hAnsi="Arial" w:cs="Arial"/>
          <w:sz w:val="20"/>
        </w:rPr>
        <w:t>million, corresponding to US$ 141.2</w:t>
      </w:r>
      <w:r w:rsidRPr="00340BEE">
        <w:rPr>
          <w:rFonts w:ascii="Arial" w:hAnsi="Arial" w:cs="Arial"/>
          <w:sz w:val="20"/>
        </w:rPr>
        <w:t xml:space="preserve"> million in FY 2016/17. Details of the calculations, corresponding to each category, are provided in the body of the report. Regarding the reforms’ implementation schedule, according to the Revenue Impact of Tax Reform Proposals</w:t>
      </w:r>
      <w:r w:rsidRPr="00340BEE" w:rsidDel="00CC364B">
        <w:rPr>
          <w:rFonts w:ascii="Arial" w:hAnsi="Arial" w:cs="Arial"/>
          <w:sz w:val="20"/>
        </w:rPr>
        <w:t xml:space="preserve"> </w:t>
      </w:r>
      <w:r w:rsidRPr="00340BEE">
        <w:rPr>
          <w:rFonts w:ascii="Arial" w:hAnsi="Arial" w:cs="Arial"/>
          <w:sz w:val="20"/>
        </w:rPr>
        <w:t>table (See Table A below), the reforms will be implemented progressively in a period of four years, starting in FY 2013/14 and reaching its full implementation in FY 2016/17.</w:t>
      </w:r>
    </w:p>
    <w:p w14:paraId="0E2D219C" w14:textId="77777777" w:rsidR="005A5180" w:rsidRPr="00340BEE" w:rsidRDefault="006B4472" w:rsidP="00862F67">
      <w:pPr>
        <w:pStyle w:val="UnnumberedHeading2"/>
        <w:keepNext w:val="0"/>
        <w:spacing w:before="120" w:after="120" w:line="240" w:lineRule="auto"/>
        <w:rPr>
          <w:rFonts w:ascii="Arial" w:hAnsi="Arial"/>
          <w:sz w:val="20"/>
          <w:szCs w:val="20"/>
          <w:lang w:eastAsia="ja-JP"/>
        </w:rPr>
      </w:pPr>
      <w:r w:rsidRPr="00340BEE">
        <w:rPr>
          <w:rFonts w:ascii="Arial" w:hAnsi="Arial"/>
          <w:sz w:val="20"/>
          <w:szCs w:val="20"/>
          <w:lang w:eastAsia="ja-JP"/>
        </w:rPr>
        <w:t>Description</w:t>
      </w:r>
      <w:r w:rsidR="005A5180" w:rsidRPr="00340BEE">
        <w:rPr>
          <w:rFonts w:ascii="Arial" w:hAnsi="Arial"/>
          <w:sz w:val="20"/>
          <w:szCs w:val="20"/>
          <w:lang w:eastAsia="ja-JP"/>
        </w:rPr>
        <w:t xml:space="preserve"> of all Revenue Impact of Tax Reform Proposals Categories:</w:t>
      </w:r>
    </w:p>
    <w:p w14:paraId="746F09E0" w14:textId="77777777" w:rsidR="00DE3F09" w:rsidRPr="00340BEE" w:rsidRDefault="00DE3F09" w:rsidP="00862F67">
      <w:pPr>
        <w:pStyle w:val="UnnumberedHeading2"/>
        <w:keepNext w:val="0"/>
        <w:spacing w:before="120" w:after="120" w:line="240" w:lineRule="auto"/>
        <w:rPr>
          <w:rFonts w:ascii="Arial" w:hAnsi="Arial"/>
          <w:sz w:val="20"/>
          <w:szCs w:val="20"/>
          <w:lang w:eastAsia="ja-JP"/>
        </w:rPr>
      </w:pPr>
      <w:r w:rsidRPr="00340BEE">
        <w:rPr>
          <w:rFonts w:ascii="Arial" w:hAnsi="Arial"/>
          <w:sz w:val="20"/>
          <w:szCs w:val="20"/>
          <w:lang w:eastAsia="ja-JP"/>
        </w:rPr>
        <w:t>General Rules</w:t>
      </w:r>
    </w:p>
    <w:p w14:paraId="62DADD05" w14:textId="77777777" w:rsidR="00DE3F09" w:rsidRPr="00340BEE" w:rsidRDefault="00DE3F09" w:rsidP="00773CA8">
      <w:pPr>
        <w:pStyle w:val="UnnumberedHeading2"/>
        <w:keepNext w:val="0"/>
        <w:numPr>
          <w:ilvl w:val="0"/>
          <w:numId w:val="8"/>
        </w:numPr>
        <w:spacing w:before="120" w:after="120" w:line="240" w:lineRule="auto"/>
        <w:jc w:val="both"/>
        <w:rPr>
          <w:rFonts w:ascii="Arial" w:hAnsi="Arial"/>
          <w:b w:val="0"/>
          <w:bCs w:val="0"/>
          <w:sz w:val="20"/>
          <w:szCs w:val="20"/>
          <w:lang w:eastAsia="ja-JP"/>
        </w:rPr>
      </w:pPr>
      <w:r w:rsidRPr="00340BEE">
        <w:rPr>
          <w:rFonts w:ascii="Arial" w:hAnsi="Arial"/>
          <w:b w:val="0"/>
          <w:sz w:val="20"/>
          <w:szCs w:val="20"/>
          <w:lang w:eastAsia="ja-JP"/>
        </w:rPr>
        <w:lastRenderedPageBreak/>
        <w:t xml:space="preserve">The </w:t>
      </w:r>
      <w:r w:rsidR="006B4472" w:rsidRPr="00340BEE">
        <w:rPr>
          <w:rFonts w:ascii="Arial" w:hAnsi="Arial"/>
          <w:b w:val="0"/>
          <w:sz w:val="20"/>
          <w:szCs w:val="20"/>
          <w:lang w:eastAsia="ja-JP"/>
        </w:rPr>
        <w:t xml:space="preserve">Estimation </w:t>
      </w:r>
      <w:r w:rsidRPr="00340BEE">
        <w:rPr>
          <w:rFonts w:ascii="Arial" w:hAnsi="Arial"/>
          <w:b w:val="0"/>
          <w:sz w:val="20"/>
          <w:szCs w:val="20"/>
          <w:lang w:eastAsia="ja-JP"/>
        </w:rPr>
        <w:t xml:space="preserve">was carried out considering </w:t>
      </w:r>
      <w:r w:rsidR="009E6B36" w:rsidRPr="00340BEE">
        <w:rPr>
          <w:rFonts w:ascii="Arial" w:hAnsi="Arial"/>
          <w:b w:val="0"/>
          <w:sz w:val="20"/>
          <w:szCs w:val="20"/>
          <w:lang w:eastAsia="ja-JP"/>
        </w:rPr>
        <w:t>6,172</w:t>
      </w:r>
      <w:r w:rsidRPr="00340BEE">
        <w:rPr>
          <w:rFonts w:ascii="Arial" w:hAnsi="Arial"/>
          <w:b w:val="0"/>
          <w:sz w:val="20"/>
          <w:szCs w:val="20"/>
          <w:lang w:eastAsia="ja-JP"/>
        </w:rPr>
        <w:t xml:space="preserve"> Jamaican firms and in some cases </w:t>
      </w:r>
      <w:r w:rsidR="003C2CC2" w:rsidRPr="00340BEE">
        <w:rPr>
          <w:rFonts w:ascii="Arial" w:hAnsi="Arial"/>
          <w:b w:val="0"/>
          <w:sz w:val="20"/>
          <w:szCs w:val="20"/>
          <w:lang w:eastAsia="ja-JP"/>
        </w:rPr>
        <w:t xml:space="preserve">the </w:t>
      </w:r>
      <w:r w:rsidR="006B4472" w:rsidRPr="00340BEE">
        <w:rPr>
          <w:rFonts w:ascii="Arial" w:hAnsi="Arial"/>
          <w:b w:val="0"/>
          <w:sz w:val="20"/>
          <w:szCs w:val="20"/>
          <w:lang w:eastAsia="ja-JP"/>
        </w:rPr>
        <w:t xml:space="preserve">calculation </w:t>
      </w:r>
      <w:r w:rsidRPr="00340BEE">
        <w:rPr>
          <w:rFonts w:ascii="Arial" w:hAnsi="Arial"/>
          <w:b w:val="0"/>
          <w:sz w:val="20"/>
          <w:szCs w:val="20"/>
          <w:lang w:eastAsia="ja-JP"/>
        </w:rPr>
        <w:t xml:space="preserve">cannot be </w:t>
      </w:r>
      <w:r w:rsidR="00720A3E" w:rsidRPr="00340BEE">
        <w:rPr>
          <w:rFonts w:ascii="Arial" w:hAnsi="Arial"/>
          <w:b w:val="0"/>
          <w:sz w:val="20"/>
          <w:szCs w:val="20"/>
          <w:lang w:eastAsia="ja-JP"/>
        </w:rPr>
        <w:t xml:space="preserve">100% </w:t>
      </w:r>
      <w:r w:rsidRPr="00340BEE">
        <w:rPr>
          <w:rFonts w:ascii="Arial" w:hAnsi="Arial"/>
          <w:b w:val="0"/>
          <w:sz w:val="20"/>
          <w:szCs w:val="20"/>
          <w:lang w:eastAsia="ja-JP"/>
        </w:rPr>
        <w:t xml:space="preserve">reproduced in a simple spreadsheet. In these cases </w:t>
      </w:r>
      <w:r w:rsidR="00C56628" w:rsidRPr="00340BEE">
        <w:rPr>
          <w:rFonts w:ascii="Arial" w:hAnsi="Arial"/>
          <w:b w:val="0"/>
          <w:sz w:val="20"/>
          <w:szCs w:val="20"/>
          <w:lang w:eastAsia="ja-JP"/>
        </w:rPr>
        <w:t xml:space="preserve">the information was </w:t>
      </w:r>
      <w:r w:rsidR="009E6B36" w:rsidRPr="00340BEE">
        <w:rPr>
          <w:rFonts w:ascii="Arial" w:hAnsi="Arial"/>
          <w:b w:val="0"/>
          <w:sz w:val="20"/>
          <w:szCs w:val="20"/>
          <w:lang w:eastAsia="ja-JP"/>
        </w:rPr>
        <w:t xml:space="preserve">imported </w:t>
      </w:r>
      <w:r w:rsidR="006B4472" w:rsidRPr="00340BEE">
        <w:rPr>
          <w:rFonts w:ascii="Arial" w:hAnsi="Arial"/>
          <w:b w:val="0"/>
          <w:sz w:val="20"/>
          <w:szCs w:val="20"/>
          <w:lang w:eastAsia="ja-JP"/>
        </w:rPr>
        <w:t xml:space="preserve">directly </w:t>
      </w:r>
      <w:r w:rsidR="009E6B36" w:rsidRPr="00340BEE">
        <w:rPr>
          <w:rFonts w:ascii="Arial" w:hAnsi="Arial"/>
          <w:b w:val="0"/>
          <w:sz w:val="20"/>
          <w:szCs w:val="20"/>
          <w:lang w:eastAsia="ja-JP"/>
        </w:rPr>
        <w:t xml:space="preserve">from the </w:t>
      </w:r>
      <w:r w:rsidR="009E6B36" w:rsidRPr="00340BEE">
        <w:rPr>
          <w:rFonts w:ascii="Arial" w:hAnsi="Arial"/>
          <w:b w:val="0"/>
          <w:bCs w:val="0"/>
          <w:sz w:val="20"/>
          <w:szCs w:val="20"/>
        </w:rPr>
        <w:t>Jamaica CIT</w:t>
      </w:r>
      <w:r w:rsidR="00B438B0" w:rsidRPr="00340BEE">
        <w:rPr>
          <w:rFonts w:ascii="Arial" w:hAnsi="Arial"/>
          <w:b w:val="0"/>
          <w:bCs w:val="0"/>
          <w:sz w:val="20"/>
          <w:szCs w:val="20"/>
        </w:rPr>
        <w:t>/PIT/Customs</w:t>
      </w:r>
      <w:r w:rsidR="009E6B36" w:rsidRPr="00340BEE">
        <w:rPr>
          <w:rFonts w:ascii="Arial" w:hAnsi="Arial"/>
          <w:b w:val="0"/>
          <w:bCs w:val="0"/>
          <w:sz w:val="20"/>
          <w:szCs w:val="20"/>
        </w:rPr>
        <w:t xml:space="preserve"> micro data simulation model</w:t>
      </w:r>
      <w:r w:rsidR="00B438B0" w:rsidRPr="00340BEE">
        <w:rPr>
          <w:rFonts w:ascii="Arial" w:hAnsi="Arial"/>
          <w:b w:val="0"/>
          <w:bCs w:val="0"/>
          <w:sz w:val="20"/>
          <w:szCs w:val="20"/>
        </w:rPr>
        <w:t>s</w:t>
      </w:r>
      <w:r w:rsidR="00C56628" w:rsidRPr="00340BEE">
        <w:rPr>
          <w:rFonts w:ascii="Arial" w:hAnsi="Arial"/>
          <w:b w:val="0"/>
          <w:sz w:val="20"/>
          <w:szCs w:val="20"/>
          <w:lang w:eastAsia="ja-JP"/>
        </w:rPr>
        <w:t>.</w:t>
      </w:r>
      <w:r w:rsidR="00720A3E" w:rsidRPr="00340BEE">
        <w:rPr>
          <w:rFonts w:ascii="Arial" w:hAnsi="Arial"/>
          <w:b w:val="0"/>
          <w:sz w:val="20"/>
          <w:szCs w:val="20"/>
          <w:lang w:eastAsia="ja-JP"/>
        </w:rPr>
        <w:t xml:space="preserve"> </w:t>
      </w:r>
    </w:p>
    <w:p w14:paraId="015DF265" w14:textId="77777777" w:rsidR="006B4472" w:rsidRPr="00340BEE" w:rsidRDefault="00C56628" w:rsidP="00773CA8">
      <w:pPr>
        <w:pStyle w:val="UnnumberedHeading2"/>
        <w:keepNext w:val="0"/>
        <w:numPr>
          <w:ilvl w:val="0"/>
          <w:numId w:val="8"/>
        </w:numPr>
        <w:spacing w:before="120" w:after="120" w:line="240" w:lineRule="auto"/>
        <w:jc w:val="both"/>
        <w:rPr>
          <w:rFonts w:ascii="Arial" w:hAnsi="Arial"/>
          <w:b w:val="0"/>
          <w:bCs w:val="0"/>
          <w:sz w:val="20"/>
          <w:szCs w:val="20"/>
          <w:lang w:eastAsia="ja-JP"/>
        </w:rPr>
      </w:pPr>
      <w:r w:rsidRPr="00340BEE">
        <w:rPr>
          <w:rFonts w:ascii="Arial" w:hAnsi="Arial"/>
          <w:b w:val="0"/>
          <w:sz w:val="20"/>
          <w:szCs w:val="20"/>
          <w:lang w:eastAsia="ja-JP"/>
        </w:rPr>
        <w:t xml:space="preserve">The Net Income corresponds to the Total of Incomes of </w:t>
      </w:r>
      <w:r w:rsidR="009E6B36" w:rsidRPr="00340BEE">
        <w:rPr>
          <w:rFonts w:ascii="Arial" w:hAnsi="Arial"/>
          <w:b w:val="0"/>
          <w:sz w:val="20"/>
          <w:szCs w:val="20"/>
          <w:lang w:eastAsia="ja-JP"/>
        </w:rPr>
        <w:t>the</w:t>
      </w:r>
      <w:r w:rsidRPr="00340BEE">
        <w:rPr>
          <w:rFonts w:ascii="Arial" w:hAnsi="Arial"/>
          <w:b w:val="0"/>
          <w:sz w:val="20"/>
          <w:szCs w:val="20"/>
          <w:lang w:eastAsia="ja-JP"/>
        </w:rPr>
        <w:t xml:space="preserve"> </w:t>
      </w:r>
      <w:r w:rsidR="009E6B36" w:rsidRPr="00340BEE">
        <w:rPr>
          <w:rFonts w:ascii="Arial" w:hAnsi="Arial"/>
          <w:b w:val="0"/>
          <w:sz w:val="20"/>
          <w:szCs w:val="20"/>
          <w:lang w:eastAsia="ja-JP"/>
        </w:rPr>
        <w:t>6,172</w:t>
      </w:r>
      <w:r w:rsidRPr="00340BEE">
        <w:rPr>
          <w:rFonts w:ascii="Arial" w:hAnsi="Arial"/>
          <w:b w:val="0"/>
          <w:sz w:val="20"/>
          <w:szCs w:val="20"/>
          <w:lang w:eastAsia="ja-JP"/>
        </w:rPr>
        <w:t xml:space="preserve"> </w:t>
      </w:r>
      <w:r w:rsidR="00C04A91" w:rsidRPr="00340BEE">
        <w:rPr>
          <w:rFonts w:ascii="Arial" w:hAnsi="Arial"/>
          <w:b w:val="0"/>
          <w:sz w:val="20"/>
          <w:szCs w:val="20"/>
          <w:lang w:eastAsia="ja-JP"/>
        </w:rPr>
        <w:t xml:space="preserve">Jamaican </w:t>
      </w:r>
      <w:r w:rsidRPr="00340BEE">
        <w:rPr>
          <w:rFonts w:ascii="Arial" w:hAnsi="Arial"/>
          <w:b w:val="0"/>
          <w:sz w:val="20"/>
          <w:szCs w:val="20"/>
          <w:lang w:eastAsia="ja-JP"/>
        </w:rPr>
        <w:t xml:space="preserve">firms subtracting </w:t>
      </w:r>
      <w:r w:rsidR="00C04A91" w:rsidRPr="00340BEE">
        <w:rPr>
          <w:rFonts w:ascii="Arial" w:hAnsi="Arial"/>
          <w:b w:val="0"/>
          <w:sz w:val="20"/>
          <w:szCs w:val="20"/>
          <w:lang w:eastAsia="ja-JP"/>
        </w:rPr>
        <w:t xml:space="preserve">the </w:t>
      </w:r>
      <w:r w:rsidR="000F6184" w:rsidRPr="00340BEE">
        <w:rPr>
          <w:rFonts w:ascii="Arial" w:hAnsi="Arial"/>
          <w:b w:val="0"/>
          <w:sz w:val="20"/>
          <w:szCs w:val="20"/>
          <w:lang w:eastAsia="ja-JP"/>
        </w:rPr>
        <w:t xml:space="preserve">corresponding </w:t>
      </w:r>
      <w:r w:rsidR="003C2CC2" w:rsidRPr="00340BEE">
        <w:rPr>
          <w:rFonts w:ascii="Arial" w:hAnsi="Arial"/>
          <w:b w:val="0"/>
          <w:sz w:val="20"/>
          <w:szCs w:val="20"/>
          <w:lang w:eastAsia="ja-JP"/>
        </w:rPr>
        <w:t>deductions</w:t>
      </w:r>
      <w:r w:rsidR="009E6B36" w:rsidRPr="00340BEE">
        <w:rPr>
          <w:rFonts w:ascii="Arial" w:hAnsi="Arial"/>
          <w:b w:val="0"/>
          <w:sz w:val="20"/>
          <w:szCs w:val="20"/>
          <w:lang w:eastAsia="ja-JP"/>
        </w:rPr>
        <w:t xml:space="preserve"> as described </w:t>
      </w:r>
      <w:r w:rsidR="00A67C58" w:rsidRPr="00340BEE">
        <w:rPr>
          <w:rFonts w:ascii="Arial" w:hAnsi="Arial"/>
          <w:b w:val="0"/>
          <w:sz w:val="20"/>
          <w:szCs w:val="20"/>
          <w:lang w:eastAsia="ja-JP"/>
        </w:rPr>
        <w:t>below</w:t>
      </w:r>
      <w:r w:rsidR="009E6B36" w:rsidRPr="00340BEE">
        <w:rPr>
          <w:rFonts w:ascii="Arial" w:hAnsi="Arial"/>
          <w:b w:val="0"/>
          <w:sz w:val="20"/>
          <w:szCs w:val="20"/>
          <w:lang w:eastAsia="ja-JP"/>
        </w:rPr>
        <w:t>:</w:t>
      </w:r>
    </w:p>
    <w:p w14:paraId="0C28BD8C" w14:textId="77777777" w:rsidR="006B4472" w:rsidRPr="00340BEE" w:rsidRDefault="000F6184" w:rsidP="00862F67">
      <w:pPr>
        <w:pStyle w:val="UnnumberedHeading2"/>
        <w:keepNext w:val="0"/>
        <w:spacing w:before="120" w:after="120" w:line="240" w:lineRule="auto"/>
        <w:ind w:left="450"/>
        <w:jc w:val="both"/>
        <w:rPr>
          <w:rFonts w:ascii="Arial" w:hAnsi="Arial"/>
          <w:b w:val="0"/>
          <w:sz w:val="20"/>
          <w:szCs w:val="20"/>
          <w:lang w:eastAsia="ja-JP"/>
        </w:rPr>
      </w:pPr>
      <w:r w:rsidRPr="00340BEE">
        <w:rPr>
          <w:rFonts w:ascii="Arial" w:hAnsi="Arial"/>
          <w:noProof/>
          <w:sz w:val="20"/>
          <w:szCs w:val="20"/>
          <w:lang w:val="es-ES" w:eastAsia="es-ES"/>
        </w:rPr>
        <w:drawing>
          <wp:inline distT="0" distB="0" distL="0" distR="0" wp14:anchorId="38EBBF73" wp14:editId="471C7DF0">
            <wp:extent cx="5943600" cy="1781175"/>
            <wp:effectExtent l="0" t="0" r="0" b="9525"/>
            <wp:docPr id="66"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1781175"/>
                    </a:xfrm>
                    <a:prstGeom prst="rect">
                      <a:avLst/>
                    </a:prstGeom>
                  </pic:spPr>
                </pic:pic>
              </a:graphicData>
            </a:graphic>
          </wp:inline>
        </w:drawing>
      </w:r>
      <w:r w:rsidRPr="00340BEE">
        <w:rPr>
          <w:rFonts w:ascii="Arial" w:hAnsi="Arial"/>
          <w:noProof/>
          <w:sz w:val="20"/>
          <w:szCs w:val="20"/>
          <w:lang w:val="es-ES" w:eastAsia="es-ES"/>
        </w:rPr>
        <w:drawing>
          <wp:inline distT="0" distB="0" distL="0" distR="0" wp14:anchorId="2B182DE4" wp14:editId="59A5452A">
            <wp:extent cx="5943600" cy="1528445"/>
            <wp:effectExtent l="0" t="0" r="0" b="0"/>
            <wp:docPr id="67" name="Image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1528445"/>
                    </a:xfrm>
                    <a:prstGeom prst="rect">
                      <a:avLst/>
                    </a:prstGeom>
                  </pic:spPr>
                </pic:pic>
              </a:graphicData>
            </a:graphic>
          </wp:inline>
        </w:drawing>
      </w:r>
    </w:p>
    <w:p w14:paraId="11FC67D3" w14:textId="77777777" w:rsidR="006B4472" w:rsidRPr="00340BEE" w:rsidRDefault="006B4472" w:rsidP="00862F67">
      <w:pPr>
        <w:pStyle w:val="UnnumberedHeading2"/>
        <w:keepNext w:val="0"/>
        <w:spacing w:before="120" w:after="120" w:line="240" w:lineRule="auto"/>
        <w:ind w:left="450"/>
        <w:jc w:val="both"/>
        <w:rPr>
          <w:rFonts w:ascii="Arial" w:hAnsi="Arial"/>
          <w:b w:val="0"/>
          <w:sz w:val="20"/>
          <w:szCs w:val="20"/>
          <w:lang w:eastAsia="ja-JP"/>
        </w:rPr>
      </w:pPr>
    </w:p>
    <w:p w14:paraId="1B27BEF7" w14:textId="77777777" w:rsidR="00C56628" w:rsidRPr="00340BEE" w:rsidRDefault="00C56628" w:rsidP="00773CA8">
      <w:pPr>
        <w:pStyle w:val="UnnumberedHeading2"/>
        <w:keepNext w:val="0"/>
        <w:widowControl w:val="0"/>
        <w:numPr>
          <w:ilvl w:val="0"/>
          <w:numId w:val="8"/>
        </w:numPr>
        <w:spacing w:before="120" w:after="120" w:line="240" w:lineRule="auto"/>
        <w:jc w:val="both"/>
        <w:rPr>
          <w:rFonts w:ascii="Arial" w:hAnsi="Arial"/>
          <w:b w:val="0"/>
          <w:bCs w:val="0"/>
          <w:sz w:val="20"/>
          <w:szCs w:val="20"/>
          <w:lang w:eastAsia="ja-JP"/>
        </w:rPr>
      </w:pPr>
      <w:r w:rsidRPr="00340BEE">
        <w:rPr>
          <w:rFonts w:ascii="Arial" w:hAnsi="Arial"/>
          <w:b w:val="0"/>
          <w:sz w:val="20"/>
          <w:szCs w:val="20"/>
          <w:lang w:eastAsia="ja-JP"/>
        </w:rPr>
        <w:t xml:space="preserve">Tax Expenditure </w:t>
      </w:r>
      <w:r w:rsidR="009E6B36" w:rsidRPr="00340BEE">
        <w:rPr>
          <w:rFonts w:ascii="Arial" w:hAnsi="Arial"/>
          <w:b w:val="0"/>
          <w:sz w:val="20"/>
          <w:szCs w:val="20"/>
          <w:lang w:eastAsia="ja-JP"/>
        </w:rPr>
        <w:t xml:space="preserve">presented </w:t>
      </w:r>
      <w:r w:rsidR="00B438B0" w:rsidRPr="00340BEE">
        <w:rPr>
          <w:rFonts w:ascii="Arial" w:hAnsi="Arial"/>
          <w:b w:val="0"/>
          <w:sz w:val="20"/>
          <w:szCs w:val="20"/>
          <w:lang w:eastAsia="ja-JP"/>
        </w:rPr>
        <w:t>are</w:t>
      </w:r>
      <w:r w:rsidR="00C04A91" w:rsidRPr="00340BEE">
        <w:rPr>
          <w:rFonts w:ascii="Arial" w:hAnsi="Arial"/>
          <w:b w:val="0"/>
          <w:sz w:val="20"/>
          <w:szCs w:val="20"/>
          <w:lang w:eastAsia="ja-JP"/>
        </w:rPr>
        <w:t>: (i)</w:t>
      </w:r>
      <w:r w:rsidRPr="00340BEE">
        <w:rPr>
          <w:rFonts w:ascii="Arial" w:hAnsi="Arial"/>
          <w:b w:val="0"/>
          <w:sz w:val="20"/>
          <w:szCs w:val="20"/>
          <w:lang w:eastAsia="ja-JP"/>
        </w:rPr>
        <w:t xml:space="preserve"> Statutory (determined by Law), </w:t>
      </w:r>
      <w:r w:rsidR="00C04A91" w:rsidRPr="00340BEE">
        <w:rPr>
          <w:rFonts w:ascii="Arial" w:hAnsi="Arial"/>
          <w:b w:val="0"/>
          <w:sz w:val="20"/>
          <w:szCs w:val="20"/>
          <w:lang w:eastAsia="ja-JP"/>
        </w:rPr>
        <w:t xml:space="preserve">(ii) </w:t>
      </w:r>
      <w:r w:rsidRPr="00340BEE">
        <w:rPr>
          <w:rFonts w:ascii="Arial" w:hAnsi="Arial"/>
          <w:b w:val="0"/>
          <w:sz w:val="20"/>
          <w:szCs w:val="20"/>
          <w:lang w:eastAsia="ja-JP"/>
        </w:rPr>
        <w:t xml:space="preserve">Discretionary (determined by for example the MoF for a specific purpose), and </w:t>
      </w:r>
      <w:r w:rsidR="00C04A91" w:rsidRPr="00340BEE">
        <w:rPr>
          <w:rFonts w:ascii="Arial" w:hAnsi="Arial"/>
          <w:b w:val="0"/>
          <w:sz w:val="20"/>
          <w:szCs w:val="20"/>
          <w:lang w:eastAsia="ja-JP"/>
        </w:rPr>
        <w:t xml:space="preserve">(iii) </w:t>
      </w:r>
      <w:r w:rsidRPr="00340BEE">
        <w:rPr>
          <w:rFonts w:ascii="Arial" w:hAnsi="Arial"/>
          <w:b w:val="0"/>
          <w:sz w:val="20"/>
          <w:szCs w:val="20"/>
          <w:lang w:eastAsia="ja-JP"/>
        </w:rPr>
        <w:t xml:space="preserve">Incentives. </w:t>
      </w:r>
    </w:p>
    <w:p w14:paraId="5ED5D97D" w14:textId="77777777" w:rsidR="00C04A91" w:rsidRPr="00340BEE" w:rsidRDefault="00C56628" w:rsidP="00773CA8">
      <w:pPr>
        <w:pStyle w:val="UnnumberedHeading2"/>
        <w:keepNext w:val="0"/>
        <w:widowControl w:val="0"/>
        <w:numPr>
          <w:ilvl w:val="0"/>
          <w:numId w:val="8"/>
        </w:numPr>
        <w:spacing w:before="120" w:after="120" w:line="240" w:lineRule="auto"/>
        <w:jc w:val="both"/>
        <w:rPr>
          <w:rFonts w:ascii="Arial" w:hAnsi="Arial"/>
          <w:b w:val="0"/>
          <w:bCs w:val="0"/>
          <w:sz w:val="20"/>
          <w:szCs w:val="20"/>
          <w:lang w:eastAsia="ja-JP"/>
        </w:rPr>
      </w:pPr>
      <w:r w:rsidRPr="00340BEE">
        <w:rPr>
          <w:rFonts w:ascii="Arial" w:hAnsi="Arial"/>
          <w:b w:val="0"/>
          <w:sz w:val="20"/>
          <w:szCs w:val="20"/>
          <w:lang w:eastAsia="ja-JP"/>
        </w:rPr>
        <w:t>Cap is a ceiling</w:t>
      </w:r>
      <w:r w:rsidR="001331FB" w:rsidRPr="00340BEE">
        <w:rPr>
          <w:rFonts w:ascii="Arial" w:hAnsi="Arial"/>
          <w:b w:val="0"/>
          <w:sz w:val="20"/>
          <w:szCs w:val="20"/>
          <w:lang w:eastAsia="ja-JP"/>
        </w:rPr>
        <w:t xml:space="preserve"> (</w:t>
      </w:r>
      <w:r w:rsidR="00720A3E" w:rsidRPr="00340BEE">
        <w:rPr>
          <w:rFonts w:ascii="Arial" w:hAnsi="Arial"/>
          <w:b w:val="0"/>
          <w:sz w:val="20"/>
          <w:szCs w:val="20"/>
          <w:lang w:eastAsia="ja-JP"/>
        </w:rPr>
        <w:t xml:space="preserve">amount or </w:t>
      </w:r>
      <w:r w:rsidR="001331FB" w:rsidRPr="00340BEE">
        <w:rPr>
          <w:rFonts w:ascii="Arial" w:hAnsi="Arial"/>
          <w:b w:val="0"/>
          <w:sz w:val="20"/>
          <w:szCs w:val="20"/>
          <w:lang w:eastAsia="ja-JP"/>
        </w:rPr>
        <w:t>%)</w:t>
      </w:r>
      <w:r w:rsidRPr="00340BEE">
        <w:rPr>
          <w:rFonts w:ascii="Arial" w:hAnsi="Arial"/>
          <w:b w:val="0"/>
          <w:sz w:val="20"/>
          <w:szCs w:val="20"/>
          <w:lang w:eastAsia="ja-JP"/>
        </w:rPr>
        <w:t xml:space="preserve"> introduced in a specific tax expenditure to limit the scope of an incentive.</w:t>
      </w:r>
      <w:r w:rsidR="00CE1CB4" w:rsidRPr="00340BEE">
        <w:rPr>
          <w:rFonts w:ascii="Arial" w:hAnsi="Arial"/>
          <w:b w:val="0"/>
          <w:sz w:val="20"/>
          <w:szCs w:val="20"/>
          <w:lang w:eastAsia="ja-JP"/>
        </w:rPr>
        <w:t xml:space="preserve"> For the calculation it will be used the old and the new caps.</w:t>
      </w:r>
    </w:p>
    <w:p w14:paraId="4D058B1B" w14:textId="77777777" w:rsidR="00CE1CB4" w:rsidRPr="00340BEE" w:rsidRDefault="00CE1CB4" w:rsidP="00773CA8">
      <w:pPr>
        <w:pStyle w:val="UnnumberedHeading2"/>
        <w:keepNext w:val="0"/>
        <w:widowControl w:val="0"/>
        <w:numPr>
          <w:ilvl w:val="0"/>
          <w:numId w:val="8"/>
        </w:numPr>
        <w:spacing w:before="120" w:after="120" w:line="240" w:lineRule="auto"/>
        <w:jc w:val="both"/>
        <w:rPr>
          <w:rFonts w:ascii="Arial" w:hAnsi="Arial"/>
          <w:b w:val="0"/>
          <w:bCs w:val="0"/>
          <w:sz w:val="20"/>
          <w:szCs w:val="20"/>
          <w:lang w:eastAsia="ja-JP"/>
        </w:rPr>
      </w:pPr>
      <w:r w:rsidRPr="00340BEE">
        <w:rPr>
          <w:rFonts w:ascii="Arial" w:hAnsi="Arial"/>
          <w:b w:val="0"/>
          <w:sz w:val="20"/>
          <w:szCs w:val="20"/>
          <w:lang w:eastAsia="ja-JP"/>
        </w:rPr>
        <w:t>Surplus is the amount resulted from the difference between the tax expenditure with the old and the new cap.</w:t>
      </w:r>
    </w:p>
    <w:p w14:paraId="68B6622C" w14:textId="77777777" w:rsidR="00973932" w:rsidRPr="00340BEE" w:rsidRDefault="00C04A91" w:rsidP="00773CA8">
      <w:pPr>
        <w:pStyle w:val="UnnumberedHeading2"/>
        <w:keepNext w:val="0"/>
        <w:widowControl w:val="0"/>
        <w:numPr>
          <w:ilvl w:val="0"/>
          <w:numId w:val="8"/>
        </w:numPr>
        <w:spacing w:before="120" w:after="120" w:line="240" w:lineRule="auto"/>
        <w:jc w:val="both"/>
        <w:rPr>
          <w:rFonts w:ascii="Arial" w:hAnsi="Arial"/>
          <w:b w:val="0"/>
          <w:bCs w:val="0"/>
          <w:sz w:val="20"/>
          <w:szCs w:val="20"/>
          <w:lang w:eastAsia="ja-JP"/>
        </w:rPr>
      </w:pPr>
      <w:r w:rsidRPr="00340BEE">
        <w:rPr>
          <w:rFonts w:ascii="Arial" w:hAnsi="Arial"/>
          <w:b w:val="0"/>
          <w:sz w:val="20"/>
          <w:szCs w:val="20"/>
          <w:lang w:eastAsia="ja-JP"/>
        </w:rPr>
        <w:t xml:space="preserve">Tax base is the group of </w:t>
      </w:r>
      <w:r w:rsidR="001331FB" w:rsidRPr="00340BEE">
        <w:rPr>
          <w:rFonts w:ascii="Arial" w:hAnsi="Arial"/>
          <w:b w:val="0"/>
          <w:sz w:val="20"/>
          <w:szCs w:val="20"/>
          <w:lang w:eastAsia="ja-JP"/>
        </w:rPr>
        <w:t>amounts</w:t>
      </w:r>
      <w:r w:rsidRPr="00340BEE">
        <w:rPr>
          <w:rFonts w:ascii="Arial" w:hAnsi="Arial"/>
          <w:b w:val="0"/>
          <w:sz w:val="20"/>
          <w:szCs w:val="20"/>
          <w:lang w:eastAsia="ja-JP"/>
        </w:rPr>
        <w:t xml:space="preserve"> (Total Income, Net Income and Tax expenditure) used from </w:t>
      </w:r>
      <w:r w:rsidR="001331FB" w:rsidRPr="00340BEE">
        <w:rPr>
          <w:rFonts w:ascii="Arial" w:hAnsi="Arial"/>
          <w:b w:val="0"/>
          <w:sz w:val="20"/>
          <w:szCs w:val="20"/>
          <w:lang w:eastAsia="ja-JP"/>
        </w:rPr>
        <w:t>Year 2011</w:t>
      </w:r>
      <w:r w:rsidR="00B438B0" w:rsidRPr="00340BEE">
        <w:rPr>
          <w:rFonts w:ascii="Arial" w:hAnsi="Arial"/>
          <w:b w:val="0"/>
          <w:sz w:val="20"/>
          <w:szCs w:val="20"/>
          <w:lang w:eastAsia="ja-JP"/>
        </w:rPr>
        <w:t xml:space="preserve"> for estimation purpose</w:t>
      </w:r>
      <w:r w:rsidRPr="00340BEE">
        <w:rPr>
          <w:rFonts w:ascii="Arial" w:hAnsi="Arial"/>
          <w:b w:val="0"/>
          <w:sz w:val="20"/>
          <w:szCs w:val="20"/>
          <w:lang w:eastAsia="ja-JP"/>
        </w:rPr>
        <w:t xml:space="preserve">, which are adjusted to the next years according to the variation of the GDP and the exchange rate. </w:t>
      </w:r>
      <w:r w:rsidR="001331FB" w:rsidRPr="00340BEE">
        <w:rPr>
          <w:rFonts w:ascii="Arial" w:hAnsi="Arial"/>
          <w:b w:val="0"/>
          <w:sz w:val="20"/>
          <w:szCs w:val="20"/>
          <w:lang w:eastAsia="ja-JP"/>
        </w:rPr>
        <w:t xml:space="preserve">Beyond 2014, the GDP and exchange rate </w:t>
      </w:r>
      <w:r w:rsidR="00B438B0" w:rsidRPr="00340BEE">
        <w:rPr>
          <w:rFonts w:ascii="Arial" w:hAnsi="Arial"/>
          <w:b w:val="0"/>
          <w:sz w:val="20"/>
          <w:szCs w:val="20"/>
          <w:lang w:eastAsia="ja-JP"/>
        </w:rPr>
        <w:t>are</w:t>
      </w:r>
      <w:r w:rsidR="001331FB" w:rsidRPr="00340BEE">
        <w:rPr>
          <w:rFonts w:ascii="Arial" w:hAnsi="Arial"/>
          <w:b w:val="0"/>
          <w:sz w:val="20"/>
          <w:szCs w:val="20"/>
          <w:lang w:eastAsia="ja-JP"/>
        </w:rPr>
        <w:t xml:space="preserve"> provided by IMF Article IV 2014.</w:t>
      </w:r>
      <w:r w:rsidRPr="00340BEE">
        <w:rPr>
          <w:rFonts w:ascii="Arial" w:hAnsi="Arial"/>
          <w:b w:val="0"/>
          <w:sz w:val="20"/>
          <w:szCs w:val="20"/>
          <w:lang w:eastAsia="ja-JP"/>
        </w:rPr>
        <w:t xml:space="preserve"> </w:t>
      </w:r>
    </w:p>
    <w:p w14:paraId="37E12A3F" w14:textId="77777777" w:rsidR="00C56628" w:rsidRPr="00340BEE" w:rsidRDefault="00973932" w:rsidP="00773CA8">
      <w:pPr>
        <w:pStyle w:val="UnnumberedHeading2"/>
        <w:numPr>
          <w:ilvl w:val="0"/>
          <w:numId w:val="8"/>
        </w:numPr>
        <w:spacing w:before="120" w:after="120" w:line="240" w:lineRule="auto"/>
        <w:jc w:val="both"/>
        <w:rPr>
          <w:rFonts w:ascii="Arial" w:hAnsi="Arial"/>
          <w:b w:val="0"/>
          <w:bCs w:val="0"/>
          <w:sz w:val="20"/>
          <w:szCs w:val="20"/>
          <w:lang w:eastAsia="ja-JP"/>
        </w:rPr>
      </w:pPr>
      <w:r w:rsidRPr="00340BEE">
        <w:rPr>
          <w:rFonts w:ascii="Arial" w:hAnsi="Arial"/>
          <w:b w:val="0"/>
          <w:sz w:val="20"/>
          <w:szCs w:val="20"/>
          <w:lang w:eastAsia="ja-JP"/>
        </w:rPr>
        <w:t xml:space="preserve">For the Charities and Incentives Act, the rules for calculation are defined in the corresponding regulations, some with very complex </w:t>
      </w:r>
      <w:r w:rsidR="000F6184" w:rsidRPr="00340BEE">
        <w:rPr>
          <w:rFonts w:ascii="Arial" w:hAnsi="Arial"/>
          <w:b w:val="0"/>
          <w:sz w:val="20"/>
          <w:szCs w:val="20"/>
          <w:lang w:eastAsia="ja-JP"/>
        </w:rPr>
        <w:t xml:space="preserve">sequence and are aplyed in </w:t>
      </w:r>
      <w:r w:rsidR="000F6184" w:rsidRPr="00340BEE">
        <w:rPr>
          <w:rFonts w:ascii="Arial" w:hAnsi="Arial"/>
          <w:b w:val="0"/>
          <w:bCs w:val="0"/>
          <w:sz w:val="20"/>
          <w:szCs w:val="20"/>
        </w:rPr>
        <w:t xml:space="preserve">(i) Jamaica Dynamic Computable General Equilibrium Model (DCGEM), (ii) Jamaica CIT micro data simulation model, and (iii) Jamaica Custom duties micro data simulation </w:t>
      </w:r>
      <w:r w:rsidR="009F5820" w:rsidRPr="00340BEE">
        <w:rPr>
          <w:rFonts w:ascii="Arial" w:hAnsi="Arial"/>
          <w:b w:val="0"/>
          <w:bCs w:val="0"/>
          <w:sz w:val="20"/>
          <w:szCs w:val="20"/>
        </w:rPr>
        <w:t>model</w:t>
      </w:r>
      <w:r w:rsidR="009F5820" w:rsidRPr="00340BEE">
        <w:rPr>
          <w:rFonts w:ascii="Arial" w:hAnsi="Arial"/>
          <w:b w:val="0"/>
          <w:sz w:val="20"/>
          <w:szCs w:val="20"/>
          <w:lang w:eastAsia="ja-JP"/>
        </w:rPr>
        <w:t>.</w:t>
      </w:r>
      <w:r w:rsidR="00C56628" w:rsidRPr="00340BEE">
        <w:rPr>
          <w:rFonts w:ascii="Arial" w:hAnsi="Arial"/>
          <w:b w:val="0"/>
          <w:sz w:val="20"/>
          <w:szCs w:val="20"/>
          <w:lang w:eastAsia="ja-JP"/>
        </w:rPr>
        <w:t xml:space="preserve">  </w:t>
      </w:r>
    </w:p>
    <w:p w14:paraId="305A8C27" w14:textId="77777777" w:rsidR="00F471AB" w:rsidRPr="00340BEE" w:rsidRDefault="00F471AB" w:rsidP="00F471AB">
      <w:pPr>
        <w:pStyle w:val="UnnumberedHeading2"/>
        <w:spacing w:before="120" w:after="120" w:line="240" w:lineRule="auto"/>
        <w:rPr>
          <w:rFonts w:ascii="Arial" w:hAnsi="Arial"/>
          <w:sz w:val="20"/>
          <w:szCs w:val="20"/>
          <w:lang w:eastAsia="ja-JP"/>
        </w:rPr>
      </w:pPr>
      <w:r w:rsidRPr="00340BEE">
        <w:rPr>
          <w:rFonts w:ascii="Arial" w:hAnsi="Arial"/>
          <w:sz w:val="20"/>
          <w:szCs w:val="20"/>
          <w:lang w:eastAsia="ja-JP"/>
        </w:rPr>
        <w:t>Charities Act</w:t>
      </w:r>
    </w:p>
    <w:tbl>
      <w:tblPr>
        <w:tblStyle w:val="TableGrid"/>
        <w:tblW w:w="0" w:type="auto"/>
        <w:tblInd w:w="468" w:type="dxa"/>
        <w:tblLook w:val="04A0" w:firstRow="1" w:lastRow="0" w:firstColumn="1" w:lastColumn="0" w:noHBand="0" w:noVBand="1"/>
      </w:tblPr>
      <w:tblGrid>
        <w:gridCol w:w="8388"/>
      </w:tblGrid>
      <w:tr w:rsidR="001B7F96" w:rsidRPr="00340BEE" w14:paraId="79C66AC5" w14:textId="77777777" w:rsidTr="00F471AB">
        <w:tc>
          <w:tcPr>
            <w:tcW w:w="9332" w:type="dxa"/>
          </w:tcPr>
          <w:p w14:paraId="1CBF810C" w14:textId="77777777" w:rsidR="001B7F96" w:rsidRPr="00340BEE" w:rsidRDefault="002F2C58" w:rsidP="003B51B5">
            <w:pPr>
              <w:pStyle w:val="ListParagraph"/>
              <w:spacing w:before="120" w:after="120"/>
              <w:ind w:left="0"/>
              <w:contextualSpacing w:val="0"/>
              <w:jc w:val="both"/>
              <w:rPr>
                <w:rFonts w:ascii="Arial" w:hAnsi="Arial" w:cs="Arial"/>
                <w:b/>
                <w:i/>
                <w:sz w:val="20"/>
                <w:szCs w:val="20"/>
                <w:lang w:eastAsia="ja-JP"/>
              </w:rPr>
            </w:pPr>
            <w:bookmarkStart w:id="2" w:name="_Toc359237036"/>
            <w:bookmarkStart w:id="3" w:name="_Toc359237039"/>
            <w:r w:rsidRPr="00340BEE">
              <w:rPr>
                <w:rFonts w:ascii="Arial" w:hAnsi="Arial" w:cs="Arial"/>
                <w:b/>
                <w:sz w:val="20"/>
                <w:szCs w:val="20"/>
                <w:lang w:eastAsia="ja-JP"/>
              </w:rPr>
              <w:t>Charities</w:t>
            </w:r>
            <w:bookmarkEnd w:id="2"/>
            <w:r w:rsidRPr="00340BEE">
              <w:rPr>
                <w:rFonts w:ascii="Arial" w:hAnsi="Arial" w:cs="Arial"/>
                <w:b/>
                <w:sz w:val="20"/>
                <w:szCs w:val="20"/>
                <w:lang w:eastAsia="ja-JP"/>
              </w:rPr>
              <w:t xml:space="preserve"> Act</w:t>
            </w:r>
            <w:r w:rsidRPr="00340BEE">
              <w:rPr>
                <w:rFonts w:ascii="Arial" w:hAnsi="Arial" w:cs="Arial"/>
                <w:b/>
                <w:i/>
                <w:sz w:val="20"/>
                <w:szCs w:val="20"/>
              </w:rPr>
              <w:t xml:space="preserve"> -</w:t>
            </w:r>
            <w:r w:rsidRPr="00340BEE">
              <w:rPr>
                <w:rFonts w:ascii="Arial" w:hAnsi="Arial" w:cs="Arial"/>
                <w:i/>
                <w:sz w:val="20"/>
                <w:szCs w:val="20"/>
              </w:rPr>
              <w:t xml:space="preserve"> </w:t>
            </w:r>
            <w:r w:rsidR="00F646C2" w:rsidRPr="00340BEE">
              <w:rPr>
                <w:rFonts w:ascii="Arial" w:hAnsi="Arial" w:cs="Arial"/>
                <w:i/>
                <w:sz w:val="20"/>
                <w:szCs w:val="20"/>
              </w:rPr>
              <w:t>By adjusting annually the tax base according to the variation of the GDP and the exchange rate,</w:t>
            </w:r>
            <w:r w:rsidR="00F646C2" w:rsidRPr="00340BEE">
              <w:rPr>
                <w:rFonts w:ascii="Arial" w:hAnsi="Arial" w:cs="Arial"/>
                <w:i/>
                <w:sz w:val="20"/>
                <w:szCs w:val="20"/>
                <w:lang w:eastAsia="ja-JP"/>
              </w:rPr>
              <w:t xml:space="preserve"> </w:t>
            </w:r>
            <w:r w:rsidR="0087080A" w:rsidRPr="00340BEE">
              <w:rPr>
                <w:rFonts w:ascii="Arial" w:hAnsi="Arial" w:cs="Arial"/>
                <w:i/>
                <w:sz w:val="20"/>
                <w:szCs w:val="20"/>
                <w:lang w:eastAsia="ja-JP"/>
              </w:rPr>
              <w:t>the introduction of: (i) a 5% cap on CIT and PIT Covenanted Donations and Donations</w:t>
            </w:r>
            <w:r w:rsidR="003B51B5" w:rsidRPr="00340BEE">
              <w:rPr>
                <w:rFonts w:ascii="Arial" w:hAnsi="Arial" w:cs="Arial"/>
                <w:i/>
                <w:sz w:val="20"/>
                <w:szCs w:val="20"/>
                <w:lang w:eastAsia="ja-JP"/>
              </w:rPr>
              <w:t xml:space="preserve"> to Charities; and (ii) a JD$ 3,</w:t>
            </w:r>
            <w:r w:rsidR="0087080A" w:rsidRPr="00340BEE">
              <w:rPr>
                <w:rFonts w:ascii="Arial" w:hAnsi="Arial" w:cs="Arial"/>
                <w:i/>
                <w:sz w:val="20"/>
                <w:szCs w:val="20"/>
                <w:lang w:eastAsia="ja-JP"/>
              </w:rPr>
              <w:t xml:space="preserve">000 million cap on GCT, SCT, Import Duties and CUF will generate a revenue increase of </w:t>
            </w:r>
            <w:r w:rsidR="00A652A3" w:rsidRPr="00340BEE">
              <w:rPr>
                <w:rFonts w:ascii="Arial" w:hAnsi="Arial" w:cs="Arial"/>
                <w:i/>
                <w:sz w:val="20"/>
                <w:szCs w:val="20"/>
                <w:lang w:eastAsia="ja-JP"/>
              </w:rPr>
              <w:t>JD$</w:t>
            </w:r>
            <w:r w:rsidR="003B51B5" w:rsidRPr="00340BEE">
              <w:rPr>
                <w:rFonts w:ascii="Arial" w:hAnsi="Arial" w:cs="Arial"/>
                <w:i/>
                <w:sz w:val="20"/>
                <w:szCs w:val="20"/>
                <w:lang w:eastAsia="ja-JP"/>
              </w:rPr>
              <w:t>188.</w:t>
            </w:r>
            <w:r w:rsidR="0087080A" w:rsidRPr="00340BEE">
              <w:rPr>
                <w:rFonts w:ascii="Arial" w:hAnsi="Arial" w:cs="Arial"/>
                <w:i/>
                <w:sz w:val="20"/>
                <w:szCs w:val="20"/>
                <w:lang w:eastAsia="ja-JP"/>
              </w:rPr>
              <w:t>6</w:t>
            </w:r>
            <w:r w:rsidR="00A652A3" w:rsidRPr="00340BEE">
              <w:rPr>
                <w:rFonts w:ascii="Arial" w:hAnsi="Arial" w:cs="Arial"/>
                <w:i/>
                <w:sz w:val="20"/>
                <w:szCs w:val="20"/>
                <w:lang w:eastAsia="ja-JP"/>
              </w:rPr>
              <w:t xml:space="preserve"> million.</w:t>
            </w:r>
            <w:r w:rsidR="00A652A3" w:rsidRPr="00340BEE">
              <w:rPr>
                <w:rFonts w:ascii="Arial" w:hAnsi="Arial" w:cs="Arial"/>
                <w:b/>
                <w:i/>
                <w:sz w:val="20"/>
                <w:szCs w:val="20"/>
                <w:lang w:eastAsia="ja-JP"/>
              </w:rPr>
              <w:t xml:space="preserve">  </w:t>
            </w:r>
            <w:r w:rsidR="001B7F96" w:rsidRPr="00340BEE">
              <w:rPr>
                <w:rFonts w:ascii="Arial" w:hAnsi="Arial" w:cs="Arial"/>
                <w:b/>
                <w:i/>
                <w:sz w:val="20"/>
                <w:szCs w:val="20"/>
                <w:lang w:eastAsia="ja-JP"/>
              </w:rPr>
              <w:t xml:space="preserve"> </w:t>
            </w:r>
          </w:p>
        </w:tc>
      </w:tr>
    </w:tbl>
    <w:bookmarkEnd w:id="3"/>
    <w:p w14:paraId="4BFAF75C" w14:textId="77777777" w:rsidR="00F471AB" w:rsidRPr="00340BEE" w:rsidRDefault="00223A08" w:rsidP="00F471AB">
      <w:pPr>
        <w:pStyle w:val="ListParagraph"/>
        <w:spacing w:before="120" w:after="120" w:line="240" w:lineRule="auto"/>
        <w:ind w:left="660"/>
        <w:contextualSpacing w:val="0"/>
        <w:jc w:val="center"/>
        <w:rPr>
          <w:rFonts w:ascii="Arial" w:hAnsi="Arial" w:cs="Arial"/>
          <w:b/>
          <w:sz w:val="20"/>
          <w:szCs w:val="20"/>
        </w:rPr>
      </w:pPr>
      <w:r w:rsidRPr="00340BEE">
        <w:rPr>
          <w:rFonts w:ascii="Arial" w:hAnsi="Arial" w:cs="Arial"/>
          <w:b/>
          <w:sz w:val="20"/>
          <w:szCs w:val="20"/>
        </w:rPr>
        <w:lastRenderedPageBreak/>
        <w:t xml:space="preserve">Rules and </w:t>
      </w:r>
      <w:r w:rsidR="00F471AB" w:rsidRPr="00340BEE">
        <w:rPr>
          <w:rFonts w:ascii="Arial" w:hAnsi="Arial" w:cs="Arial"/>
          <w:b/>
          <w:sz w:val="20"/>
          <w:szCs w:val="20"/>
        </w:rPr>
        <w:t>Calculation</w:t>
      </w:r>
    </w:p>
    <w:p w14:paraId="75F05E8F" w14:textId="77777777" w:rsidR="00F471AB" w:rsidRPr="00340BEE" w:rsidRDefault="00F471AB" w:rsidP="00340BEE">
      <w:pPr>
        <w:pStyle w:val="Paragraph"/>
        <w:rPr>
          <w:rFonts w:ascii="Arial" w:hAnsi="Arial" w:cs="Arial"/>
          <w:sz w:val="20"/>
        </w:rPr>
      </w:pPr>
      <w:r w:rsidRPr="00340BEE">
        <w:rPr>
          <w:rFonts w:ascii="Arial" w:hAnsi="Arial" w:cs="Arial"/>
          <w:sz w:val="20"/>
        </w:rPr>
        <w:t xml:space="preserve">According to Table 1, all 2011 tax expenditure information was collected from the document </w:t>
      </w:r>
      <w:hyperlink r:id="rId14" w:history="1">
        <w:r w:rsidRPr="00340BEE">
          <w:rPr>
            <w:rStyle w:val="Hyperlink"/>
            <w:rFonts w:ascii="Arial" w:hAnsi="Arial" w:cs="Arial"/>
            <w:sz w:val="20"/>
          </w:rPr>
          <w:t>Tax Expenditures Estimates 2009 - 2011</w:t>
        </w:r>
      </w:hyperlink>
      <w:r w:rsidRPr="00340BEE">
        <w:rPr>
          <w:rFonts w:ascii="Arial" w:hAnsi="Arial" w:cs="Arial"/>
          <w:sz w:val="20"/>
        </w:rPr>
        <w:t xml:space="preserve">. </w:t>
      </w:r>
    </w:p>
    <w:p w14:paraId="2168817F" w14:textId="77777777" w:rsidR="00F471AB" w:rsidRPr="00340BEE" w:rsidRDefault="00223A08" w:rsidP="00773CA8">
      <w:pPr>
        <w:pStyle w:val="ListParagraph"/>
        <w:numPr>
          <w:ilvl w:val="1"/>
          <w:numId w:val="4"/>
        </w:numPr>
        <w:spacing w:before="120" w:after="120" w:line="240" w:lineRule="auto"/>
        <w:ind w:left="1170" w:hanging="450"/>
        <w:contextualSpacing w:val="0"/>
        <w:jc w:val="both"/>
        <w:rPr>
          <w:rFonts w:ascii="Arial" w:hAnsi="Arial" w:cs="Arial"/>
          <w:sz w:val="20"/>
          <w:szCs w:val="20"/>
        </w:rPr>
      </w:pPr>
      <w:r w:rsidRPr="00340BEE">
        <w:rPr>
          <w:rFonts w:ascii="Arial" w:hAnsi="Arial" w:cs="Arial"/>
          <w:b/>
          <w:i/>
          <w:sz w:val="20"/>
          <w:szCs w:val="20"/>
        </w:rPr>
        <w:t>Introduction of a</w:t>
      </w:r>
      <w:r w:rsidR="00F471AB" w:rsidRPr="00340BEE">
        <w:rPr>
          <w:rFonts w:ascii="Arial" w:hAnsi="Arial" w:cs="Arial"/>
          <w:b/>
          <w:i/>
          <w:sz w:val="20"/>
          <w:szCs w:val="20"/>
        </w:rPr>
        <w:t xml:space="preserve"> 5% Cap</w:t>
      </w:r>
      <w:r w:rsidR="00F471AB" w:rsidRPr="00340BEE">
        <w:rPr>
          <w:rFonts w:ascii="Arial" w:hAnsi="Arial" w:cs="Arial"/>
          <w:sz w:val="20"/>
          <w:szCs w:val="20"/>
        </w:rPr>
        <w:t xml:space="preserve"> </w:t>
      </w:r>
      <w:r w:rsidRPr="00340BEE">
        <w:rPr>
          <w:rFonts w:ascii="Arial" w:hAnsi="Arial" w:cs="Arial"/>
          <w:sz w:val="20"/>
          <w:szCs w:val="20"/>
        </w:rPr>
        <w:t>on charities and donation</w:t>
      </w:r>
      <w:r w:rsidR="00F471AB" w:rsidRPr="00340BEE">
        <w:rPr>
          <w:rFonts w:ascii="Arial" w:hAnsi="Arial" w:cs="Arial"/>
          <w:sz w:val="20"/>
          <w:szCs w:val="20"/>
        </w:rPr>
        <w:t xml:space="preserve"> is calculated applying to each tax expenditure</w:t>
      </w:r>
      <w:r w:rsidR="00BC5984" w:rsidRPr="00340BEE">
        <w:rPr>
          <w:rFonts w:ascii="Arial" w:hAnsi="Arial" w:cs="Arial"/>
          <w:sz w:val="20"/>
          <w:szCs w:val="20"/>
        </w:rPr>
        <w:t xml:space="preserve"> (CIT, CIT other bodies, and CIT)</w:t>
      </w:r>
      <w:r w:rsidR="00F471AB" w:rsidRPr="00340BEE">
        <w:rPr>
          <w:rFonts w:ascii="Arial" w:hAnsi="Arial" w:cs="Arial"/>
          <w:sz w:val="20"/>
          <w:szCs w:val="20"/>
        </w:rPr>
        <w:t xml:space="preserve">, the difference between the old cap (8%) and the new cap (5%) = 3%. </w:t>
      </w:r>
      <w:r w:rsidR="00BC5984" w:rsidRPr="00340BEE">
        <w:rPr>
          <w:rFonts w:ascii="Arial" w:hAnsi="Arial" w:cs="Arial"/>
          <w:sz w:val="20"/>
          <w:szCs w:val="20"/>
        </w:rPr>
        <w:t>T</w:t>
      </w:r>
      <w:r w:rsidR="00F471AB" w:rsidRPr="00340BEE">
        <w:rPr>
          <w:rFonts w:ascii="Arial" w:hAnsi="Arial" w:cs="Arial"/>
          <w:sz w:val="20"/>
          <w:szCs w:val="20"/>
        </w:rPr>
        <w:t>he additional revenue to be collected = JD$ 14.28 (JD$ 11.60 + JD$ 1.46 +JD$ 1,21).</w:t>
      </w:r>
    </w:p>
    <w:p w14:paraId="413CAE31" w14:textId="77777777" w:rsidR="00F471AB" w:rsidRPr="00340BEE" w:rsidRDefault="00223A08" w:rsidP="00773CA8">
      <w:pPr>
        <w:pStyle w:val="ListParagraph"/>
        <w:numPr>
          <w:ilvl w:val="1"/>
          <w:numId w:val="4"/>
        </w:numPr>
        <w:spacing w:before="120" w:after="120" w:line="240" w:lineRule="auto"/>
        <w:ind w:left="1170" w:hanging="450"/>
        <w:contextualSpacing w:val="0"/>
        <w:jc w:val="both"/>
        <w:rPr>
          <w:rFonts w:ascii="Arial" w:eastAsiaTheme="minorHAnsi" w:hAnsi="Arial" w:cs="Arial"/>
          <w:sz w:val="20"/>
          <w:szCs w:val="20"/>
        </w:rPr>
      </w:pPr>
      <w:r w:rsidRPr="00340BEE">
        <w:rPr>
          <w:rFonts w:ascii="Arial" w:hAnsi="Arial" w:cs="Arial"/>
          <w:b/>
          <w:i/>
          <w:sz w:val="20"/>
          <w:szCs w:val="20"/>
        </w:rPr>
        <w:t xml:space="preserve">Introduction of a JD$ </w:t>
      </w:r>
      <w:r w:rsidR="00BC5984" w:rsidRPr="00340BEE">
        <w:rPr>
          <w:rFonts w:ascii="Arial" w:hAnsi="Arial" w:cs="Arial"/>
          <w:b/>
          <w:i/>
          <w:sz w:val="20"/>
          <w:szCs w:val="20"/>
        </w:rPr>
        <w:t xml:space="preserve">250 </w:t>
      </w:r>
      <w:r w:rsidRPr="00340BEE">
        <w:rPr>
          <w:rFonts w:ascii="Arial" w:hAnsi="Arial" w:cs="Arial"/>
          <w:b/>
          <w:i/>
          <w:sz w:val="20"/>
          <w:szCs w:val="20"/>
        </w:rPr>
        <w:t>million monthly cap</w:t>
      </w:r>
      <w:r w:rsidRPr="00340BEE">
        <w:rPr>
          <w:rFonts w:ascii="Arial" w:hAnsi="Arial" w:cs="Arial"/>
          <w:sz w:val="20"/>
          <w:szCs w:val="20"/>
        </w:rPr>
        <w:t xml:space="preserve"> </w:t>
      </w:r>
      <w:r w:rsidR="00BC5984" w:rsidRPr="00340BEE">
        <w:rPr>
          <w:rFonts w:ascii="Arial" w:hAnsi="Arial" w:cs="Arial"/>
          <w:sz w:val="20"/>
          <w:szCs w:val="20"/>
        </w:rPr>
        <w:t xml:space="preserve">on charities is calculated applying </w:t>
      </w:r>
      <w:r w:rsidR="00511055" w:rsidRPr="00340BEE">
        <w:rPr>
          <w:rFonts w:ascii="Arial" w:hAnsi="Arial" w:cs="Arial"/>
          <w:sz w:val="20"/>
          <w:szCs w:val="20"/>
        </w:rPr>
        <w:t>the yearly cap (JD$ 3,000 million = JD$250 million *12) on</w:t>
      </w:r>
      <w:r w:rsidR="00BC5984" w:rsidRPr="00340BEE">
        <w:rPr>
          <w:rFonts w:ascii="Arial" w:hAnsi="Arial" w:cs="Arial"/>
          <w:sz w:val="20"/>
          <w:szCs w:val="20"/>
        </w:rPr>
        <w:t xml:space="preserve"> </w:t>
      </w:r>
      <w:r w:rsidR="00511055" w:rsidRPr="00340BEE">
        <w:rPr>
          <w:rFonts w:ascii="Arial" w:hAnsi="Arial" w:cs="Arial"/>
          <w:sz w:val="20"/>
          <w:szCs w:val="20"/>
        </w:rPr>
        <w:t xml:space="preserve">the total of the tax expenditures regarding </w:t>
      </w:r>
      <w:r w:rsidR="00BC5984" w:rsidRPr="00340BEE">
        <w:rPr>
          <w:rFonts w:ascii="Arial" w:hAnsi="Arial" w:cs="Arial"/>
          <w:sz w:val="20"/>
          <w:szCs w:val="20"/>
        </w:rPr>
        <w:t xml:space="preserve">GCT, SCT, Specific, Import Duties, and CUF </w:t>
      </w:r>
      <w:r w:rsidR="00F471AB" w:rsidRPr="00340BEE">
        <w:rPr>
          <w:rFonts w:ascii="Arial" w:hAnsi="Arial" w:cs="Arial"/>
          <w:sz w:val="20"/>
          <w:szCs w:val="20"/>
        </w:rPr>
        <w:t>= JD$4,737.88</w:t>
      </w:r>
      <w:r w:rsidR="00BC5984" w:rsidRPr="00340BEE">
        <w:rPr>
          <w:rFonts w:ascii="Arial" w:hAnsi="Arial" w:cs="Arial"/>
          <w:sz w:val="20"/>
          <w:szCs w:val="20"/>
        </w:rPr>
        <w:t xml:space="preserve"> (JD$ 1,910.06 +JD$ 129.69 + JD$ 43.85 + JD$ 2,449.92 + JD$ 204.37)</w:t>
      </w:r>
      <w:r w:rsidR="00F471AB" w:rsidRPr="00340BEE">
        <w:rPr>
          <w:rFonts w:ascii="Arial" w:hAnsi="Arial" w:cs="Arial"/>
          <w:sz w:val="20"/>
          <w:szCs w:val="20"/>
        </w:rPr>
        <w:t xml:space="preserve">. </w:t>
      </w:r>
      <w:r w:rsidR="00BC5984" w:rsidRPr="00340BEE">
        <w:rPr>
          <w:rFonts w:ascii="Arial" w:hAnsi="Arial" w:cs="Arial"/>
          <w:sz w:val="20"/>
          <w:szCs w:val="20"/>
        </w:rPr>
        <w:t>From this</w:t>
      </w:r>
      <w:r w:rsidR="00F471AB" w:rsidRPr="00340BEE">
        <w:rPr>
          <w:rFonts w:ascii="Arial" w:hAnsi="Arial" w:cs="Arial"/>
          <w:sz w:val="20"/>
          <w:szCs w:val="20"/>
        </w:rPr>
        <w:t xml:space="preserve"> total is subtracted </w:t>
      </w:r>
      <w:r w:rsidR="00511055" w:rsidRPr="00340BEE">
        <w:rPr>
          <w:rFonts w:ascii="Arial" w:hAnsi="Arial" w:cs="Arial"/>
          <w:sz w:val="20"/>
          <w:szCs w:val="20"/>
        </w:rPr>
        <w:t>the</w:t>
      </w:r>
      <w:r w:rsidR="00BC5984" w:rsidRPr="00340BEE">
        <w:rPr>
          <w:rFonts w:ascii="Arial" w:hAnsi="Arial" w:cs="Arial"/>
          <w:sz w:val="20"/>
          <w:szCs w:val="20"/>
        </w:rPr>
        <w:t xml:space="preserve"> </w:t>
      </w:r>
      <w:r w:rsidR="00F471AB" w:rsidRPr="00340BEE">
        <w:rPr>
          <w:rFonts w:ascii="Arial" w:hAnsi="Arial" w:cs="Arial"/>
          <w:sz w:val="20"/>
          <w:szCs w:val="20"/>
        </w:rPr>
        <w:t>JD$ 3.000 million</w:t>
      </w:r>
      <w:r w:rsidR="00BC5984" w:rsidRPr="00340BEE">
        <w:rPr>
          <w:rFonts w:ascii="Arial" w:hAnsi="Arial" w:cs="Arial"/>
          <w:sz w:val="20"/>
          <w:szCs w:val="20"/>
        </w:rPr>
        <w:t xml:space="preserve"> cap = </w:t>
      </w:r>
      <w:r w:rsidR="00F471AB" w:rsidRPr="00340BEE">
        <w:rPr>
          <w:rFonts w:ascii="Arial" w:hAnsi="Arial" w:cs="Arial"/>
          <w:sz w:val="20"/>
          <w:szCs w:val="20"/>
        </w:rPr>
        <w:t>JD$1,737.88. It is important to explain that the objective of the Charity Act was not to </w:t>
      </w:r>
      <w:r w:rsidR="00F471AB" w:rsidRPr="00340BEE">
        <w:rPr>
          <w:rFonts w:ascii="Arial" w:hAnsi="Arial" w:cs="Arial"/>
          <w:sz w:val="20"/>
          <w:szCs w:val="20"/>
          <w:shd w:val="clear" w:color="auto" w:fill="FFFFFF"/>
        </w:rPr>
        <w:t>eliminate</w:t>
      </w:r>
      <w:r w:rsidR="00F471AB" w:rsidRPr="00340BEE">
        <w:rPr>
          <w:rFonts w:ascii="Arial" w:hAnsi="Arial" w:cs="Arial"/>
          <w:sz w:val="20"/>
          <w:szCs w:val="20"/>
        </w:rPr>
        <w:t xml:space="preserve"> the charities</w:t>
      </w:r>
      <w:r w:rsidR="00511055" w:rsidRPr="00340BEE">
        <w:rPr>
          <w:rFonts w:ascii="Arial" w:hAnsi="Arial" w:cs="Arial"/>
          <w:sz w:val="20"/>
          <w:szCs w:val="20"/>
        </w:rPr>
        <w:t xml:space="preserve"> and donations</w:t>
      </w:r>
      <w:r w:rsidR="00F471AB" w:rsidRPr="00340BEE">
        <w:rPr>
          <w:rFonts w:ascii="Arial" w:hAnsi="Arial" w:cs="Arial"/>
          <w:sz w:val="20"/>
          <w:szCs w:val="20"/>
        </w:rPr>
        <w:t xml:space="preserve"> waivers. The purpose was to set an annual ceiling of JD$3.000</w:t>
      </w:r>
      <w:r w:rsidR="00511055" w:rsidRPr="00340BEE">
        <w:rPr>
          <w:rFonts w:ascii="Arial" w:hAnsi="Arial" w:cs="Arial"/>
          <w:sz w:val="20"/>
          <w:szCs w:val="20"/>
        </w:rPr>
        <w:t xml:space="preserve"> million</w:t>
      </w:r>
      <w:r w:rsidR="00F471AB" w:rsidRPr="00340BEE">
        <w:rPr>
          <w:rFonts w:ascii="Arial" w:hAnsi="Arial" w:cs="Arial"/>
          <w:sz w:val="20"/>
          <w:szCs w:val="20"/>
        </w:rPr>
        <w:t xml:space="preserve">, and the entities that were not contemplated in a specific year could be included in a list for next years’ waivers. The real objective of the Charities Act was to determine which entities did not comply with the requirements to receive a discretionary waiver charity.  A preliminary joint study IDB and GoJ estimated that a maximum of 10% of the entities did not comply with the waivers requirements. In this context, a 10% </w:t>
      </w:r>
      <w:hyperlink w:tgtFrame="_blank" w:history="1">
        <w:r w:rsidR="00F471AB" w:rsidRPr="00340BEE">
          <w:rPr>
            <w:rStyle w:val="Hyperlink"/>
            <w:rFonts w:ascii="Arial" w:hAnsi="Arial" w:cs="Arial"/>
            <w:color w:val="auto"/>
            <w:sz w:val="20"/>
            <w:szCs w:val="20"/>
            <w:u w:val="none"/>
          </w:rPr>
          <w:t>spillover</w:t>
        </w:r>
      </w:hyperlink>
      <w:r w:rsidR="00F471AB" w:rsidRPr="00340BEE">
        <w:rPr>
          <w:rStyle w:val="Hyperlink"/>
          <w:rFonts w:ascii="Arial" w:hAnsi="Arial" w:cs="Arial"/>
          <w:color w:val="auto"/>
          <w:sz w:val="20"/>
          <w:szCs w:val="20"/>
          <w:u w:val="none"/>
        </w:rPr>
        <w:t xml:space="preserve"> </w:t>
      </w:r>
      <w:r w:rsidR="00F471AB" w:rsidRPr="00340BEE">
        <w:rPr>
          <w:rFonts w:ascii="Arial" w:hAnsi="Arial" w:cs="Arial"/>
          <w:sz w:val="20"/>
          <w:szCs w:val="20"/>
        </w:rPr>
        <w:t>was applied to the amount above the cap</w:t>
      </w:r>
      <w:r w:rsidR="00511055" w:rsidRPr="00340BEE">
        <w:rPr>
          <w:rFonts w:ascii="Arial" w:hAnsi="Arial" w:cs="Arial"/>
          <w:sz w:val="20"/>
          <w:szCs w:val="20"/>
        </w:rPr>
        <w:t xml:space="preserve"> =</w:t>
      </w:r>
      <w:r w:rsidR="00F471AB" w:rsidRPr="00340BEE">
        <w:rPr>
          <w:rFonts w:ascii="Arial" w:hAnsi="Arial" w:cs="Arial"/>
          <w:sz w:val="20"/>
          <w:szCs w:val="20"/>
        </w:rPr>
        <w:t xml:space="preserve"> JD$ 173.79 (10% of </w:t>
      </w:r>
      <w:r w:rsidR="00511055" w:rsidRPr="00340BEE">
        <w:rPr>
          <w:rFonts w:ascii="Arial" w:hAnsi="Arial" w:cs="Arial"/>
          <w:sz w:val="20"/>
          <w:szCs w:val="20"/>
        </w:rPr>
        <w:t>JD$ 1,737.88).</w:t>
      </w:r>
    </w:p>
    <w:p w14:paraId="4FF36B76" w14:textId="77777777" w:rsidR="007E0CBF" w:rsidRPr="00340BEE" w:rsidRDefault="00F471AB" w:rsidP="00773CA8">
      <w:pPr>
        <w:pStyle w:val="ListParagraph"/>
        <w:numPr>
          <w:ilvl w:val="1"/>
          <w:numId w:val="4"/>
        </w:numPr>
        <w:spacing w:before="120" w:after="120" w:line="240" w:lineRule="auto"/>
        <w:ind w:left="1170" w:hanging="450"/>
        <w:contextualSpacing w:val="0"/>
        <w:jc w:val="both"/>
        <w:rPr>
          <w:rFonts w:ascii="Arial" w:hAnsi="Arial" w:cs="Arial"/>
          <w:b/>
          <w:sz w:val="20"/>
          <w:szCs w:val="20"/>
        </w:rPr>
      </w:pPr>
      <w:r w:rsidRPr="00340BEE">
        <w:rPr>
          <w:rFonts w:ascii="Arial" w:hAnsi="Arial" w:cs="Arial"/>
          <w:sz w:val="20"/>
          <w:szCs w:val="20"/>
        </w:rPr>
        <w:t xml:space="preserve"> </w:t>
      </w:r>
      <w:r w:rsidRPr="00340BEE">
        <w:rPr>
          <w:rFonts w:ascii="Arial" w:hAnsi="Arial" w:cs="Arial"/>
          <w:b/>
          <w:i/>
          <w:sz w:val="20"/>
          <w:szCs w:val="20"/>
        </w:rPr>
        <w:t>The total additional revenue to be collected</w:t>
      </w:r>
      <w:r w:rsidRPr="00340BEE">
        <w:rPr>
          <w:rFonts w:ascii="Arial" w:hAnsi="Arial" w:cs="Arial"/>
          <w:sz w:val="20"/>
          <w:szCs w:val="20"/>
        </w:rPr>
        <w:t xml:space="preserve"> = JD$188.06 (JD$ 14.28 + JD$ 173.79).</w:t>
      </w:r>
      <w:r w:rsidR="0020087E" w:rsidRPr="00340BEE" w:rsidDel="0020087E">
        <w:rPr>
          <w:rFonts w:ascii="Arial" w:hAnsi="Arial" w:cs="Arial"/>
          <w:noProof/>
          <w:sz w:val="20"/>
          <w:szCs w:val="20"/>
        </w:rPr>
        <w:t xml:space="preserve"> </w:t>
      </w:r>
      <w:bookmarkStart w:id="4" w:name="_Toc357853274"/>
      <w:bookmarkStart w:id="5" w:name="_Ref358051430"/>
      <w:bookmarkStart w:id="6" w:name="_Toc358032136"/>
    </w:p>
    <w:p w14:paraId="486E69A7" w14:textId="77777777" w:rsidR="001B5D32" w:rsidRPr="00340BEE" w:rsidRDefault="00223A08" w:rsidP="00F471AB">
      <w:pPr>
        <w:spacing w:before="120" w:after="120" w:line="240" w:lineRule="auto"/>
        <w:jc w:val="both"/>
        <w:rPr>
          <w:rFonts w:ascii="Arial" w:hAnsi="Arial" w:cs="Arial"/>
          <w:sz w:val="20"/>
          <w:szCs w:val="20"/>
        </w:rPr>
      </w:pPr>
      <w:r w:rsidRPr="00340BEE">
        <w:rPr>
          <w:rFonts w:ascii="Arial" w:hAnsi="Arial" w:cs="Arial"/>
          <w:noProof/>
          <w:sz w:val="20"/>
          <w:szCs w:val="20"/>
          <w:lang w:val="es-ES" w:eastAsia="es-ES"/>
        </w:rPr>
        <w:lastRenderedPageBreak/>
        <w:drawing>
          <wp:inline distT="0" distB="0" distL="0" distR="0" wp14:anchorId="345B4515" wp14:editId="2C7614E4">
            <wp:extent cx="6228534" cy="6093725"/>
            <wp:effectExtent l="0" t="0" r="127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33892" cy="6098967"/>
                    </a:xfrm>
                    <a:prstGeom prst="rect">
                      <a:avLst/>
                    </a:prstGeom>
                    <a:noFill/>
                    <a:ln>
                      <a:noFill/>
                    </a:ln>
                  </pic:spPr>
                </pic:pic>
              </a:graphicData>
            </a:graphic>
          </wp:inline>
        </w:drawing>
      </w:r>
    </w:p>
    <w:bookmarkEnd w:id="4"/>
    <w:bookmarkEnd w:id="5"/>
    <w:bookmarkEnd w:id="6"/>
    <w:p w14:paraId="4D49CF68" w14:textId="77777777" w:rsidR="00F471AB" w:rsidRPr="00340BEE" w:rsidRDefault="00F471AB" w:rsidP="00F471AB">
      <w:pPr>
        <w:pStyle w:val="UnnumberedHeading2"/>
        <w:spacing w:before="120" w:after="120" w:line="240" w:lineRule="auto"/>
        <w:rPr>
          <w:rFonts w:ascii="Arial" w:hAnsi="Arial"/>
          <w:sz w:val="20"/>
          <w:szCs w:val="20"/>
        </w:rPr>
      </w:pPr>
      <w:r w:rsidRPr="00340BEE">
        <w:rPr>
          <w:rFonts w:ascii="Arial" w:hAnsi="Arial"/>
          <w:sz w:val="20"/>
          <w:szCs w:val="20"/>
        </w:rPr>
        <w:t>Tax Incentive Law</w:t>
      </w:r>
    </w:p>
    <w:tbl>
      <w:tblPr>
        <w:tblStyle w:val="TableGrid"/>
        <w:tblW w:w="0" w:type="auto"/>
        <w:tblInd w:w="86" w:type="dxa"/>
        <w:tblLook w:val="04A0" w:firstRow="1" w:lastRow="0" w:firstColumn="1" w:lastColumn="0" w:noHBand="0" w:noVBand="1"/>
      </w:tblPr>
      <w:tblGrid>
        <w:gridCol w:w="8770"/>
      </w:tblGrid>
      <w:tr w:rsidR="002F2C58" w:rsidRPr="00340BEE" w14:paraId="4C23AF23" w14:textId="77777777" w:rsidTr="00F471AB">
        <w:tc>
          <w:tcPr>
            <w:tcW w:w="9714" w:type="dxa"/>
          </w:tcPr>
          <w:p w14:paraId="23A6AC10" w14:textId="77777777" w:rsidR="002F2C58" w:rsidRPr="00340BEE" w:rsidRDefault="002F2C58" w:rsidP="00F471AB">
            <w:pPr>
              <w:pStyle w:val="UnnumberedHeading2"/>
              <w:keepNext w:val="0"/>
              <w:widowControl w:val="0"/>
              <w:spacing w:before="120" w:after="120" w:line="240" w:lineRule="auto"/>
              <w:jc w:val="left"/>
              <w:rPr>
                <w:rFonts w:ascii="Arial" w:hAnsi="Arial"/>
                <w:i/>
                <w:sz w:val="20"/>
                <w:szCs w:val="20"/>
              </w:rPr>
            </w:pPr>
            <w:r w:rsidRPr="00340BEE">
              <w:rPr>
                <w:rFonts w:ascii="Arial" w:hAnsi="Arial"/>
                <w:i/>
                <w:sz w:val="20"/>
                <w:szCs w:val="20"/>
              </w:rPr>
              <w:t xml:space="preserve">Tax Incentive Law - </w:t>
            </w:r>
            <w:r w:rsidRPr="00340BEE">
              <w:rPr>
                <w:rFonts w:ascii="Arial" w:hAnsi="Arial"/>
                <w:b w:val="0"/>
                <w:i/>
                <w:sz w:val="20"/>
                <w:szCs w:val="20"/>
              </w:rPr>
              <w:t xml:space="preserve">By adjusting annually the tax base according to the variation </w:t>
            </w:r>
            <w:r w:rsidR="005F08E9" w:rsidRPr="00340BEE">
              <w:rPr>
                <w:rFonts w:ascii="Arial" w:hAnsi="Arial"/>
                <w:b w:val="0"/>
                <w:i/>
                <w:sz w:val="20"/>
                <w:szCs w:val="20"/>
              </w:rPr>
              <w:t>of the GDP and the exchange rate,</w:t>
            </w:r>
            <w:r w:rsidRPr="00340BEE">
              <w:rPr>
                <w:rFonts w:ascii="Arial" w:hAnsi="Arial"/>
                <w:b w:val="0"/>
                <w:i/>
                <w:sz w:val="20"/>
                <w:szCs w:val="20"/>
              </w:rPr>
              <w:t xml:space="preserve"> the elimination of the old tax incentives on CIT, PIT, GCT, SCT, Import Duties and CUF, and </w:t>
            </w:r>
            <w:r w:rsidR="00A90A45" w:rsidRPr="00340BEE">
              <w:rPr>
                <w:rFonts w:ascii="Arial" w:hAnsi="Arial"/>
                <w:b w:val="0"/>
                <w:i/>
                <w:sz w:val="20"/>
                <w:szCs w:val="20"/>
              </w:rPr>
              <w:t>introduction of</w:t>
            </w:r>
            <w:r w:rsidRPr="00340BEE">
              <w:rPr>
                <w:rFonts w:ascii="Arial" w:hAnsi="Arial"/>
                <w:b w:val="0"/>
                <w:i/>
                <w:sz w:val="20"/>
                <w:szCs w:val="20"/>
              </w:rPr>
              <w:t xml:space="preserve"> a new incentive to all sector labor costs and capital goods will ge</w:t>
            </w:r>
            <w:r w:rsidR="003B51B5" w:rsidRPr="00340BEE">
              <w:rPr>
                <w:rFonts w:ascii="Arial" w:hAnsi="Arial"/>
                <w:b w:val="0"/>
                <w:i/>
                <w:sz w:val="20"/>
                <w:szCs w:val="20"/>
              </w:rPr>
              <w:t>nerate an extra revenue of JD$2,315.</w:t>
            </w:r>
            <w:r w:rsidRPr="00340BEE">
              <w:rPr>
                <w:rFonts w:ascii="Arial" w:hAnsi="Arial"/>
                <w:b w:val="0"/>
                <w:i/>
                <w:sz w:val="20"/>
                <w:szCs w:val="20"/>
              </w:rPr>
              <w:t>93 million.</w:t>
            </w:r>
          </w:p>
        </w:tc>
      </w:tr>
    </w:tbl>
    <w:p w14:paraId="1002BCF1" w14:textId="77777777" w:rsidR="0056338A" w:rsidRPr="00340BEE" w:rsidRDefault="0056338A" w:rsidP="00511055">
      <w:pPr>
        <w:spacing w:before="120" w:after="120" w:line="240" w:lineRule="auto"/>
        <w:jc w:val="both"/>
        <w:rPr>
          <w:rFonts w:ascii="Arial" w:hAnsi="Arial" w:cs="Arial"/>
          <w:sz w:val="20"/>
          <w:szCs w:val="20"/>
        </w:rPr>
      </w:pPr>
    </w:p>
    <w:p w14:paraId="54171A41" w14:textId="77777777" w:rsidR="00894374" w:rsidRPr="00340BEE" w:rsidRDefault="00511055" w:rsidP="00894374">
      <w:pPr>
        <w:pStyle w:val="ListParagraph"/>
        <w:spacing w:before="120" w:after="120" w:line="240" w:lineRule="auto"/>
        <w:ind w:left="690"/>
        <w:contextualSpacing w:val="0"/>
        <w:jc w:val="center"/>
        <w:rPr>
          <w:rFonts w:ascii="Arial" w:hAnsi="Arial" w:cs="Arial"/>
          <w:b/>
          <w:sz w:val="20"/>
          <w:szCs w:val="20"/>
        </w:rPr>
      </w:pPr>
      <w:bookmarkStart w:id="7" w:name="_Toc357853233"/>
      <w:bookmarkStart w:id="8" w:name="_Toc359237043"/>
      <w:r w:rsidRPr="00340BEE">
        <w:rPr>
          <w:rFonts w:ascii="Arial" w:hAnsi="Arial" w:cs="Arial"/>
          <w:b/>
          <w:sz w:val="20"/>
          <w:szCs w:val="20"/>
        </w:rPr>
        <w:t xml:space="preserve">Rules and </w:t>
      </w:r>
      <w:r w:rsidR="00894374" w:rsidRPr="00340BEE">
        <w:rPr>
          <w:rFonts w:ascii="Arial" w:hAnsi="Arial" w:cs="Arial"/>
          <w:b/>
          <w:sz w:val="20"/>
          <w:szCs w:val="20"/>
        </w:rPr>
        <w:t>Calculation</w:t>
      </w:r>
    </w:p>
    <w:p w14:paraId="15570C01" w14:textId="77777777" w:rsidR="00894374" w:rsidRPr="00340BEE" w:rsidRDefault="00894374" w:rsidP="00894374">
      <w:pPr>
        <w:pStyle w:val="ListParagraph"/>
        <w:numPr>
          <w:ilvl w:val="1"/>
          <w:numId w:val="1"/>
        </w:numPr>
        <w:spacing w:before="120" w:after="120" w:line="240" w:lineRule="auto"/>
        <w:ind w:hanging="660"/>
        <w:contextualSpacing w:val="0"/>
        <w:jc w:val="both"/>
        <w:rPr>
          <w:rFonts w:ascii="Arial" w:hAnsi="Arial" w:cs="Arial"/>
          <w:b/>
          <w:sz w:val="20"/>
          <w:szCs w:val="20"/>
        </w:rPr>
      </w:pPr>
      <w:r w:rsidRPr="00340BEE">
        <w:rPr>
          <w:rFonts w:ascii="Arial" w:hAnsi="Arial" w:cs="Arial"/>
          <w:sz w:val="20"/>
          <w:szCs w:val="20"/>
        </w:rPr>
        <w:t xml:space="preserve">According to Table 2, all 2011 tax expenditure information was collected from the document </w:t>
      </w:r>
      <w:hyperlink r:id="rId16" w:history="1">
        <w:r w:rsidRPr="00340BEE">
          <w:rPr>
            <w:rStyle w:val="Hyperlink"/>
            <w:rFonts w:ascii="Arial" w:hAnsi="Arial" w:cs="Arial"/>
            <w:sz w:val="20"/>
            <w:szCs w:val="20"/>
          </w:rPr>
          <w:t>Tax Expenditures Estimates 2009 - 2011</w:t>
        </w:r>
      </w:hyperlink>
      <w:r w:rsidRPr="00340BEE">
        <w:rPr>
          <w:rFonts w:ascii="Arial" w:hAnsi="Arial" w:cs="Arial"/>
          <w:sz w:val="20"/>
          <w:szCs w:val="20"/>
        </w:rPr>
        <w:t>.</w:t>
      </w:r>
    </w:p>
    <w:p w14:paraId="6F93A9DB" w14:textId="77777777" w:rsidR="00340BEE" w:rsidRDefault="00340BEE" w:rsidP="00894374">
      <w:pPr>
        <w:pStyle w:val="ListParagraph"/>
        <w:spacing w:before="120" w:after="120" w:line="240" w:lineRule="auto"/>
        <w:ind w:left="690"/>
        <w:contextualSpacing w:val="0"/>
        <w:jc w:val="center"/>
        <w:rPr>
          <w:rFonts w:ascii="Arial" w:hAnsi="Arial" w:cs="Arial"/>
          <w:b/>
          <w:sz w:val="20"/>
          <w:szCs w:val="20"/>
        </w:rPr>
      </w:pPr>
    </w:p>
    <w:p w14:paraId="4774346A" w14:textId="77777777" w:rsidR="00894374" w:rsidRPr="00340BEE" w:rsidRDefault="00FE2213" w:rsidP="00894374">
      <w:pPr>
        <w:pStyle w:val="ListParagraph"/>
        <w:spacing w:before="120" w:after="120" w:line="240" w:lineRule="auto"/>
        <w:ind w:left="690"/>
        <w:contextualSpacing w:val="0"/>
        <w:jc w:val="center"/>
        <w:rPr>
          <w:rFonts w:ascii="Arial" w:hAnsi="Arial" w:cs="Arial"/>
          <w:b/>
          <w:sz w:val="20"/>
          <w:szCs w:val="20"/>
        </w:rPr>
      </w:pPr>
      <w:r w:rsidRPr="00340BEE">
        <w:rPr>
          <w:rFonts w:ascii="Arial" w:hAnsi="Arial" w:cs="Arial"/>
          <w:b/>
          <w:sz w:val="20"/>
          <w:szCs w:val="20"/>
        </w:rPr>
        <w:lastRenderedPageBreak/>
        <w:t>Tax i</w:t>
      </w:r>
      <w:r w:rsidR="00894374" w:rsidRPr="00340BEE">
        <w:rPr>
          <w:rFonts w:ascii="Arial" w:hAnsi="Arial" w:cs="Arial"/>
          <w:b/>
          <w:sz w:val="20"/>
          <w:szCs w:val="20"/>
        </w:rPr>
        <w:t>ncentives</w:t>
      </w:r>
    </w:p>
    <w:p w14:paraId="500BAD3C" w14:textId="77777777" w:rsidR="00133AFA" w:rsidRPr="00340BEE" w:rsidRDefault="00894374" w:rsidP="00773CA8">
      <w:pPr>
        <w:pStyle w:val="ListParagraph"/>
        <w:numPr>
          <w:ilvl w:val="0"/>
          <w:numId w:val="11"/>
        </w:numPr>
        <w:spacing w:before="120" w:after="120" w:line="240" w:lineRule="auto"/>
        <w:contextualSpacing w:val="0"/>
        <w:jc w:val="both"/>
        <w:rPr>
          <w:rFonts w:ascii="Arial" w:hAnsi="Arial" w:cs="Arial"/>
          <w:b/>
          <w:sz w:val="20"/>
          <w:szCs w:val="20"/>
        </w:rPr>
      </w:pPr>
      <w:r w:rsidRPr="00340BEE">
        <w:rPr>
          <w:rFonts w:ascii="Arial" w:hAnsi="Arial" w:cs="Arial"/>
          <w:sz w:val="20"/>
          <w:szCs w:val="20"/>
        </w:rPr>
        <w:t>The gross incentive old employee is calculated based on 50%</w:t>
      </w:r>
      <w:r w:rsidR="000E4D4C" w:rsidRPr="00340BEE">
        <w:rPr>
          <w:rStyle w:val="FootnoteReference"/>
          <w:rFonts w:ascii="Arial" w:hAnsi="Arial" w:cs="Arial"/>
          <w:sz w:val="20"/>
          <w:szCs w:val="20"/>
        </w:rPr>
        <w:footnoteReference w:id="2"/>
      </w:r>
      <w:r w:rsidRPr="00340BEE">
        <w:rPr>
          <w:rFonts w:ascii="Arial" w:hAnsi="Arial" w:cs="Arial"/>
          <w:sz w:val="20"/>
          <w:szCs w:val="20"/>
        </w:rPr>
        <w:t xml:space="preserve"> of half of the NIS contribution</w:t>
      </w:r>
      <w:r w:rsidR="000E4D4C" w:rsidRPr="00340BEE">
        <w:rPr>
          <w:rStyle w:val="FootnoteReference"/>
          <w:rFonts w:ascii="Arial" w:hAnsi="Arial" w:cs="Arial"/>
          <w:sz w:val="20"/>
          <w:szCs w:val="20"/>
        </w:rPr>
        <w:footnoteReference w:id="3"/>
      </w:r>
      <w:r w:rsidRPr="00340BEE">
        <w:rPr>
          <w:rFonts w:ascii="Arial" w:hAnsi="Arial" w:cs="Arial"/>
          <w:sz w:val="20"/>
          <w:szCs w:val="20"/>
        </w:rPr>
        <w:t xml:space="preserve"> = JD$2,931.94 (JD$111,727.77/2*50%). </w:t>
      </w:r>
    </w:p>
    <w:p w14:paraId="6B01B1C2" w14:textId="77777777" w:rsidR="00894374" w:rsidRPr="00340BEE" w:rsidRDefault="00894374" w:rsidP="00773CA8">
      <w:pPr>
        <w:pStyle w:val="ListParagraph"/>
        <w:numPr>
          <w:ilvl w:val="0"/>
          <w:numId w:val="11"/>
        </w:numPr>
        <w:spacing w:before="120" w:after="120" w:line="240" w:lineRule="auto"/>
        <w:contextualSpacing w:val="0"/>
        <w:jc w:val="both"/>
        <w:rPr>
          <w:rFonts w:ascii="Arial" w:hAnsi="Arial" w:cs="Arial"/>
          <w:b/>
          <w:sz w:val="20"/>
          <w:szCs w:val="20"/>
        </w:rPr>
      </w:pPr>
      <w:r w:rsidRPr="00340BEE">
        <w:rPr>
          <w:rFonts w:ascii="Arial" w:hAnsi="Arial" w:cs="Arial"/>
          <w:sz w:val="20"/>
          <w:szCs w:val="20"/>
        </w:rPr>
        <w:t>The incentive new employees is 5%</w:t>
      </w:r>
      <w:r w:rsidR="000E4D4C" w:rsidRPr="00340BEE">
        <w:rPr>
          <w:rStyle w:val="FootnoteReference"/>
          <w:rFonts w:ascii="Arial" w:hAnsi="Arial" w:cs="Arial"/>
          <w:sz w:val="20"/>
          <w:szCs w:val="20"/>
        </w:rPr>
        <w:footnoteReference w:id="4"/>
      </w:r>
      <w:r w:rsidRPr="00340BEE">
        <w:rPr>
          <w:rFonts w:ascii="Arial" w:hAnsi="Arial" w:cs="Arial"/>
          <w:sz w:val="20"/>
          <w:szCs w:val="20"/>
        </w:rPr>
        <w:t xml:space="preserve"> of the gross incentive old employees = JD$ 146.60 (JD$2,931.94 * 5%). </w:t>
      </w:r>
    </w:p>
    <w:p w14:paraId="3B0D4CF3" w14:textId="77777777" w:rsidR="00894374" w:rsidRPr="00340BEE" w:rsidRDefault="00894374" w:rsidP="00773CA8">
      <w:pPr>
        <w:pStyle w:val="ListParagraph"/>
        <w:numPr>
          <w:ilvl w:val="0"/>
          <w:numId w:val="11"/>
        </w:numPr>
        <w:spacing w:before="120" w:after="120" w:line="240" w:lineRule="auto"/>
        <w:contextualSpacing w:val="0"/>
        <w:jc w:val="both"/>
        <w:rPr>
          <w:rFonts w:ascii="Arial" w:hAnsi="Arial" w:cs="Arial"/>
          <w:b/>
          <w:sz w:val="20"/>
          <w:szCs w:val="20"/>
        </w:rPr>
      </w:pPr>
      <w:r w:rsidRPr="00340BEE">
        <w:rPr>
          <w:rFonts w:ascii="Arial" w:hAnsi="Arial" w:cs="Arial"/>
          <w:sz w:val="20"/>
          <w:szCs w:val="20"/>
        </w:rPr>
        <w:t>The capital goods incentive is calculated based on 20%</w:t>
      </w:r>
      <w:r w:rsidR="000E4D4C" w:rsidRPr="00340BEE">
        <w:rPr>
          <w:rStyle w:val="FootnoteReference"/>
          <w:rFonts w:ascii="Arial" w:hAnsi="Arial" w:cs="Arial"/>
          <w:sz w:val="20"/>
          <w:szCs w:val="20"/>
        </w:rPr>
        <w:footnoteReference w:id="5"/>
      </w:r>
      <w:r w:rsidRPr="00340BEE">
        <w:rPr>
          <w:rFonts w:ascii="Arial" w:hAnsi="Arial" w:cs="Arial"/>
          <w:sz w:val="20"/>
          <w:szCs w:val="20"/>
        </w:rPr>
        <w:t xml:space="preserve"> of the tax on capital goods</w:t>
      </w:r>
      <w:r w:rsidR="000E4D4C" w:rsidRPr="00340BEE">
        <w:rPr>
          <w:rStyle w:val="FootnoteReference"/>
          <w:rFonts w:ascii="Arial" w:hAnsi="Arial" w:cs="Arial"/>
          <w:sz w:val="20"/>
          <w:szCs w:val="20"/>
        </w:rPr>
        <w:footnoteReference w:id="6"/>
      </w:r>
      <w:r w:rsidRPr="00340BEE">
        <w:rPr>
          <w:rFonts w:ascii="Arial" w:hAnsi="Arial" w:cs="Arial"/>
          <w:sz w:val="20"/>
          <w:szCs w:val="20"/>
        </w:rPr>
        <w:t xml:space="preserve"> = JD$ 3,425.68 (JD$ 17,128.40 * 20%). </w:t>
      </w:r>
    </w:p>
    <w:p w14:paraId="084DC84B" w14:textId="77777777" w:rsidR="00894374" w:rsidRPr="00340BEE" w:rsidRDefault="00894374" w:rsidP="00773CA8">
      <w:pPr>
        <w:pStyle w:val="ListParagraph"/>
        <w:numPr>
          <w:ilvl w:val="0"/>
          <w:numId w:val="11"/>
        </w:numPr>
        <w:spacing w:before="120" w:after="120" w:line="240" w:lineRule="auto"/>
        <w:contextualSpacing w:val="0"/>
        <w:jc w:val="both"/>
        <w:rPr>
          <w:rFonts w:ascii="Arial" w:hAnsi="Arial" w:cs="Arial"/>
          <w:b/>
          <w:sz w:val="20"/>
          <w:szCs w:val="20"/>
        </w:rPr>
      </w:pPr>
      <w:r w:rsidRPr="00340BEE">
        <w:rPr>
          <w:rFonts w:ascii="Arial" w:hAnsi="Arial" w:cs="Arial"/>
          <w:sz w:val="20"/>
          <w:szCs w:val="20"/>
        </w:rPr>
        <w:t>The Total incentives = gross incentive old employee + incentive new employees + capital goods incentive = JD$ 6,504.22 (JD$2,931.94 + JD$ 146.60 + JD$ 3,425.68).</w:t>
      </w:r>
    </w:p>
    <w:p w14:paraId="2B0999B3" w14:textId="77777777" w:rsidR="00894374" w:rsidRPr="00340BEE" w:rsidRDefault="00894374" w:rsidP="00894374">
      <w:pPr>
        <w:pStyle w:val="ListParagraph"/>
        <w:spacing w:before="120" w:after="120" w:line="240" w:lineRule="auto"/>
        <w:ind w:left="1050"/>
        <w:contextualSpacing w:val="0"/>
        <w:jc w:val="center"/>
        <w:rPr>
          <w:rFonts w:ascii="Arial" w:hAnsi="Arial" w:cs="Arial"/>
          <w:b/>
          <w:i/>
          <w:sz w:val="20"/>
          <w:szCs w:val="20"/>
        </w:rPr>
      </w:pPr>
      <w:r w:rsidRPr="00340BEE">
        <w:rPr>
          <w:rFonts w:ascii="Arial" w:hAnsi="Arial" w:cs="Arial"/>
          <w:b/>
          <w:i/>
          <w:sz w:val="20"/>
          <w:szCs w:val="20"/>
        </w:rPr>
        <w:t>Reductions</w:t>
      </w:r>
      <w:r w:rsidR="00FE2213" w:rsidRPr="00340BEE">
        <w:rPr>
          <w:rFonts w:ascii="Arial" w:hAnsi="Arial" w:cs="Arial"/>
          <w:b/>
          <w:i/>
          <w:sz w:val="20"/>
          <w:szCs w:val="20"/>
        </w:rPr>
        <w:t xml:space="preserve"> of benefits</w:t>
      </w:r>
    </w:p>
    <w:p w14:paraId="2A5A2133" w14:textId="77777777" w:rsidR="00133AFA" w:rsidRPr="00340BEE" w:rsidRDefault="00894374" w:rsidP="00773CA8">
      <w:pPr>
        <w:pStyle w:val="ListParagraph"/>
        <w:numPr>
          <w:ilvl w:val="0"/>
          <w:numId w:val="11"/>
        </w:numPr>
        <w:spacing w:before="120" w:after="120" w:line="240" w:lineRule="auto"/>
        <w:contextualSpacing w:val="0"/>
        <w:jc w:val="both"/>
        <w:rPr>
          <w:rFonts w:ascii="Arial" w:hAnsi="Arial" w:cs="Arial"/>
          <w:b/>
          <w:sz w:val="20"/>
          <w:szCs w:val="20"/>
        </w:rPr>
      </w:pPr>
      <w:r w:rsidRPr="00340BEE">
        <w:rPr>
          <w:rFonts w:ascii="Arial" w:hAnsi="Arial" w:cs="Arial"/>
          <w:sz w:val="20"/>
          <w:szCs w:val="20"/>
        </w:rPr>
        <w:t>Gran fathering old regime is calculated based on 50%</w:t>
      </w:r>
      <w:r w:rsidR="000E4D4C" w:rsidRPr="00340BEE">
        <w:rPr>
          <w:rStyle w:val="FootnoteReference"/>
          <w:rFonts w:ascii="Arial" w:hAnsi="Arial" w:cs="Arial"/>
          <w:sz w:val="20"/>
          <w:szCs w:val="20"/>
        </w:rPr>
        <w:footnoteReference w:id="7"/>
      </w:r>
      <w:r w:rsidRPr="00340BEE">
        <w:rPr>
          <w:rFonts w:ascii="Arial" w:hAnsi="Arial" w:cs="Arial"/>
          <w:sz w:val="20"/>
          <w:szCs w:val="20"/>
        </w:rPr>
        <w:t xml:space="preserve"> of tax credit old regime = JD$ 5,410.01 (JD$ 10,820.02 * 50%). </w:t>
      </w:r>
    </w:p>
    <w:p w14:paraId="5EB86BB4" w14:textId="77777777" w:rsidR="00133AFA" w:rsidRPr="00340BEE" w:rsidRDefault="00894374" w:rsidP="00773CA8">
      <w:pPr>
        <w:pStyle w:val="ListParagraph"/>
        <w:numPr>
          <w:ilvl w:val="0"/>
          <w:numId w:val="11"/>
        </w:numPr>
        <w:spacing w:before="120" w:after="120" w:line="240" w:lineRule="auto"/>
        <w:contextualSpacing w:val="0"/>
        <w:jc w:val="both"/>
        <w:rPr>
          <w:rFonts w:ascii="Arial" w:hAnsi="Arial" w:cs="Arial"/>
          <w:b/>
          <w:sz w:val="20"/>
          <w:szCs w:val="20"/>
        </w:rPr>
      </w:pPr>
      <w:r w:rsidRPr="00340BEE">
        <w:rPr>
          <w:rFonts w:ascii="Arial" w:hAnsi="Arial" w:cs="Arial"/>
          <w:sz w:val="20"/>
          <w:szCs w:val="20"/>
        </w:rPr>
        <w:t xml:space="preserve">Tax expenditure reduction is also calculated based on 50% of tax credit old regime = JD$ 5,410.01 (JD$ 10,820.02 * 50%). </w:t>
      </w:r>
    </w:p>
    <w:p w14:paraId="6408D1D9" w14:textId="77777777" w:rsidR="00894374" w:rsidRPr="00340BEE" w:rsidRDefault="00894374" w:rsidP="00773CA8">
      <w:pPr>
        <w:pStyle w:val="ListParagraph"/>
        <w:numPr>
          <w:ilvl w:val="0"/>
          <w:numId w:val="11"/>
        </w:numPr>
        <w:spacing w:before="120" w:after="120" w:line="240" w:lineRule="auto"/>
        <w:contextualSpacing w:val="0"/>
        <w:jc w:val="both"/>
        <w:rPr>
          <w:rFonts w:ascii="Arial" w:hAnsi="Arial" w:cs="Arial"/>
          <w:b/>
          <w:sz w:val="20"/>
          <w:szCs w:val="20"/>
        </w:rPr>
      </w:pPr>
      <w:r w:rsidRPr="00340BEE">
        <w:rPr>
          <w:rFonts w:ascii="Arial" w:hAnsi="Arial" w:cs="Arial"/>
          <w:sz w:val="20"/>
          <w:szCs w:val="20"/>
        </w:rPr>
        <w:t>Offset not using new incentive is calculated based on 30%</w:t>
      </w:r>
      <w:r w:rsidR="00EA6A03" w:rsidRPr="00340BEE">
        <w:rPr>
          <w:rStyle w:val="FootnoteReference"/>
          <w:rFonts w:ascii="Arial" w:hAnsi="Arial" w:cs="Arial"/>
          <w:sz w:val="20"/>
          <w:szCs w:val="20"/>
        </w:rPr>
        <w:footnoteReference w:id="8"/>
      </w:r>
      <w:r w:rsidRPr="00340BEE">
        <w:rPr>
          <w:rFonts w:ascii="Arial" w:hAnsi="Arial" w:cs="Arial"/>
          <w:sz w:val="20"/>
          <w:szCs w:val="20"/>
        </w:rPr>
        <w:t xml:space="preserve"> of Tax expenditure reduction = JD$ 1,623.00 (JD$ 5,410.01 * 30%). </w:t>
      </w:r>
    </w:p>
    <w:p w14:paraId="41675C88" w14:textId="77777777" w:rsidR="00894374" w:rsidRPr="00340BEE" w:rsidRDefault="006A0D7E" w:rsidP="00894374">
      <w:pPr>
        <w:pStyle w:val="ListParagraph"/>
        <w:spacing w:before="120" w:after="120" w:line="240" w:lineRule="auto"/>
        <w:ind w:left="1050"/>
        <w:contextualSpacing w:val="0"/>
        <w:jc w:val="center"/>
        <w:rPr>
          <w:rFonts w:ascii="Arial" w:hAnsi="Arial" w:cs="Arial"/>
          <w:b/>
          <w:i/>
          <w:sz w:val="20"/>
          <w:szCs w:val="20"/>
        </w:rPr>
      </w:pPr>
      <w:r w:rsidRPr="00340BEE">
        <w:rPr>
          <w:rFonts w:ascii="Arial" w:hAnsi="Arial" w:cs="Arial"/>
          <w:b/>
          <w:i/>
          <w:sz w:val="20"/>
          <w:szCs w:val="20"/>
        </w:rPr>
        <w:t>C</w:t>
      </w:r>
      <w:r w:rsidR="00894374" w:rsidRPr="00340BEE">
        <w:rPr>
          <w:rFonts w:ascii="Arial" w:hAnsi="Arial" w:cs="Arial"/>
          <w:b/>
          <w:i/>
          <w:sz w:val="20"/>
          <w:szCs w:val="20"/>
        </w:rPr>
        <w:t xml:space="preserve">ap </w:t>
      </w:r>
      <w:r w:rsidR="00FE2213" w:rsidRPr="00340BEE">
        <w:rPr>
          <w:rFonts w:ascii="Arial" w:hAnsi="Arial" w:cs="Arial"/>
          <w:b/>
          <w:i/>
          <w:sz w:val="20"/>
          <w:szCs w:val="20"/>
        </w:rPr>
        <w:t xml:space="preserve">on </w:t>
      </w:r>
      <w:r w:rsidR="00894374" w:rsidRPr="00340BEE">
        <w:rPr>
          <w:rFonts w:ascii="Arial" w:hAnsi="Arial" w:cs="Arial"/>
          <w:b/>
          <w:i/>
          <w:sz w:val="20"/>
          <w:szCs w:val="20"/>
        </w:rPr>
        <w:t>C</w:t>
      </w:r>
      <w:r w:rsidR="00FE2213" w:rsidRPr="00340BEE">
        <w:rPr>
          <w:rFonts w:ascii="Arial" w:hAnsi="Arial" w:cs="Arial"/>
          <w:b/>
          <w:i/>
          <w:sz w:val="20"/>
          <w:szCs w:val="20"/>
        </w:rPr>
        <w:t>IT deductions</w:t>
      </w:r>
    </w:p>
    <w:p w14:paraId="35559A0F" w14:textId="77777777" w:rsidR="00894374" w:rsidRPr="00340BEE" w:rsidRDefault="006A0D7E" w:rsidP="00773CA8">
      <w:pPr>
        <w:pStyle w:val="ListParagraph"/>
        <w:numPr>
          <w:ilvl w:val="0"/>
          <w:numId w:val="11"/>
        </w:numPr>
        <w:spacing w:before="120" w:after="120" w:line="240" w:lineRule="auto"/>
        <w:contextualSpacing w:val="0"/>
        <w:jc w:val="both"/>
        <w:rPr>
          <w:rFonts w:ascii="Arial" w:hAnsi="Arial" w:cs="Arial"/>
          <w:b/>
          <w:sz w:val="20"/>
          <w:szCs w:val="20"/>
        </w:rPr>
      </w:pPr>
      <w:r w:rsidRPr="00340BEE">
        <w:rPr>
          <w:rFonts w:ascii="Arial" w:hAnsi="Arial" w:cs="Arial"/>
          <w:sz w:val="20"/>
          <w:szCs w:val="20"/>
        </w:rPr>
        <w:t>C</w:t>
      </w:r>
      <w:r w:rsidR="00894374" w:rsidRPr="00340BEE">
        <w:rPr>
          <w:rFonts w:ascii="Arial" w:hAnsi="Arial" w:cs="Arial"/>
          <w:sz w:val="20"/>
          <w:szCs w:val="20"/>
        </w:rPr>
        <w:t xml:space="preserve">ap </w:t>
      </w:r>
      <w:r w:rsidR="00FE2213" w:rsidRPr="00340BEE">
        <w:rPr>
          <w:rFonts w:ascii="Arial" w:hAnsi="Arial" w:cs="Arial"/>
          <w:sz w:val="20"/>
          <w:szCs w:val="20"/>
        </w:rPr>
        <w:t>CIT</w:t>
      </w:r>
      <w:r w:rsidR="00894374" w:rsidRPr="00340BEE">
        <w:rPr>
          <w:rFonts w:ascii="Arial" w:hAnsi="Arial" w:cs="Arial"/>
          <w:sz w:val="20"/>
          <w:szCs w:val="20"/>
        </w:rPr>
        <w:t xml:space="preserve"> is calculated based on 15% of the sum of total incentive and tax expenditure reduction = JD$1,787.13 ([JD$ 6,504.22+ JD$ 5,410.01] * 15%).</w:t>
      </w:r>
    </w:p>
    <w:p w14:paraId="30040452" w14:textId="77777777" w:rsidR="00894374" w:rsidRPr="00340BEE" w:rsidRDefault="00894374" w:rsidP="00894374">
      <w:pPr>
        <w:pStyle w:val="ListParagraph"/>
        <w:spacing w:before="120" w:after="120" w:line="240" w:lineRule="auto"/>
        <w:ind w:left="1050"/>
        <w:contextualSpacing w:val="0"/>
        <w:jc w:val="center"/>
        <w:rPr>
          <w:rFonts w:ascii="Arial" w:hAnsi="Arial" w:cs="Arial"/>
          <w:b/>
          <w:i/>
          <w:sz w:val="20"/>
          <w:szCs w:val="20"/>
        </w:rPr>
      </w:pPr>
      <w:r w:rsidRPr="00340BEE">
        <w:rPr>
          <w:rFonts w:ascii="Arial" w:hAnsi="Arial" w:cs="Arial"/>
          <w:b/>
          <w:i/>
          <w:sz w:val="20"/>
          <w:szCs w:val="20"/>
        </w:rPr>
        <w:t>Net Revenue I</w:t>
      </w:r>
      <w:r w:rsidR="00E407AB" w:rsidRPr="00340BEE">
        <w:rPr>
          <w:rFonts w:ascii="Arial" w:hAnsi="Arial" w:cs="Arial"/>
          <w:b/>
          <w:i/>
          <w:sz w:val="20"/>
          <w:szCs w:val="20"/>
        </w:rPr>
        <w:t>mpact</w:t>
      </w:r>
    </w:p>
    <w:p w14:paraId="25269395" w14:textId="77777777" w:rsidR="00894374" w:rsidRPr="00340BEE" w:rsidRDefault="00894374" w:rsidP="00773CA8">
      <w:pPr>
        <w:pStyle w:val="ListParagraph"/>
        <w:numPr>
          <w:ilvl w:val="0"/>
          <w:numId w:val="11"/>
        </w:numPr>
        <w:spacing w:before="120" w:after="120" w:line="240" w:lineRule="auto"/>
        <w:contextualSpacing w:val="0"/>
        <w:jc w:val="both"/>
        <w:rPr>
          <w:rFonts w:ascii="Arial" w:hAnsi="Arial" w:cs="Arial"/>
          <w:b/>
          <w:sz w:val="20"/>
          <w:szCs w:val="20"/>
        </w:rPr>
      </w:pPr>
      <w:r w:rsidRPr="00340BEE">
        <w:rPr>
          <w:rFonts w:ascii="Arial" w:hAnsi="Arial" w:cs="Arial"/>
          <w:sz w:val="20"/>
          <w:szCs w:val="20"/>
        </w:rPr>
        <w:t>Net revenue is the offset not using new incentives + cap on C</w:t>
      </w:r>
      <w:r w:rsidR="00FE2213" w:rsidRPr="00340BEE">
        <w:rPr>
          <w:rFonts w:ascii="Arial" w:hAnsi="Arial" w:cs="Arial"/>
          <w:sz w:val="20"/>
          <w:szCs w:val="20"/>
        </w:rPr>
        <w:t>IT</w:t>
      </w:r>
      <w:r w:rsidRPr="00340BEE">
        <w:rPr>
          <w:rFonts w:ascii="Arial" w:hAnsi="Arial" w:cs="Arial"/>
          <w:sz w:val="20"/>
          <w:szCs w:val="20"/>
        </w:rPr>
        <w:t xml:space="preserve"> +Tax expenditure reduction - Total of incentives = JD$ 2,315.93 (JD$ 1,623.00 + JD$1,787.13 + JD$ 5,410.01 - JD$ 6,504.22)</w:t>
      </w:r>
    </w:p>
    <w:p w14:paraId="53F89425" w14:textId="77777777" w:rsidR="005F08E9" w:rsidRPr="00340BEE" w:rsidRDefault="00AD3F03" w:rsidP="00A90A45">
      <w:pPr>
        <w:pStyle w:val="UnnumberedHeading2"/>
        <w:keepNext w:val="0"/>
        <w:spacing w:before="120" w:after="120" w:line="240" w:lineRule="auto"/>
        <w:contextualSpacing/>
        <w:jc w:val="both"/>
        <w:rPr>
          <w:rFonts w:ascii="Arial" w:hAnsi="Arial"/>
          <w:b w:val="0"/>
          <w:sz w:val="20"/>
          <w:szCs w:val="20"/>
        </w:rPr>
      </w:pPr>
      <w:r w:rsidRPr="00340BEE">
        <w:rPr>
          <w:rFonts w:ascii="Arial" w:hAnsi="Arial"/>
          <w:b w:val="0"/>
          <w:sz w:val="20"/>
          <w:szCs w:val="20"/>
        </w:rPr>
        <w:lastRenderedPageBreak/>
        <w:t xml:space="preserve"> </w:t>
      </w:r>
      <w:r w:rsidR="00894374" w:rsidRPr="00340BEE">
        <w:rPr>
          <w:rFonts w:ascii="Arial" w:hAnsi="Arial"/>
          <w:noProof/>
          <w:sz w:val="20"/>
          <w:szCs w:val="20"/>
          <w:lang w:val="es-ES" w:eastAsia="es-ES"/>
        </w:rPr>
        <w:drawing>
          <wp:inline distT="0" distB="0" distL="0" distR="0" wp14:anchorId="490C35A3" wp14:editId="74727AA4">
            <wp:extent cx="6229350" cy="4319626"/>
            <wp:effectExtent l="0" t="0" r="0" b="508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29350" cy="4319626"/>
                    </a:xfrm>
                    <a:prstGeom prst="rect">
                      <a:avLst/>
                    </a:prstGeom>
                    <a:noFill/>
                    <a:ln>
                      <a:noFill/>
                    </a:ln>
                  </pic:spPr>
                </pic:pic>
              </a:graphicData>
            </a:graphic>
          </wp:inline>
        </w:drawing>
      </w:r>
    </w:p>
    <w:p w14:paraId="02582131" w14:textId="77777777" w:rsidR="00894374" w:rsidRPr="00340BEE" w:rsidRDefault="00894374" w:rsidP="00A90A45">
      <w:pPr>
        <w:pStyle w:val="UnnumberedHeading2"/>
        <w:keepNext w:val="0"/>
        <w:spacing w:before="120" w:after="120" w:line="240" w:lineRule="auto"/>
        <w:contextualSpacing/>
        <w:jc w:val="both"/>
        <w:rPr>
          <w:rFonts w:ascii="Arial" w:hAnsi="Arial"/>
          <w:b w:val="0"/>
          <w:sz w:val="20"/>
          <w:szCs w:val="20"/>
        </w:rPr>
      </w:pPr>
    </w:p>
    <w:p w14:paraId="09FE0ECD" w14:textId="77777777" w:rsidR="00894374" w:rsidRPr="00340BEE" w:rsidRDefault="00894374" w:rsidP="00894374">
      <w:pPr>
        <w:pStyle w:val="UnnumberedHeading2"/>
        <w:spacing w:before="120" w:after="120" w:line="240" w:lineRule="auto"/>
        <w:rPr>
          <w:rFonts w:ascii="Arial" w:hAnsi="Arial"/>
          <w:sz w:val="20"/>
          <w:szCs w:val="20"/>
        </w:rPr>
      </w:pPr>
      <w:r w:rsidRPr="00340BEE">
        <w:rPr>
          <w:rFonts w:ascii="Arial" w:hAnsi="Arial"/>
          <w:sz w:val="20"/>
          <w:szCs w:val="20"/>
        </w:rPr>
        <w:t>Corporate Income Tax (CIT)</w:t>
      </w:r>
    </w:p>
    <w:p w14:paraId="728A7237" w14:textId="77777777" w:rsidR="00894374" w:rsidRPr="00340BEE" w:rsidRDefault="00894374" w:rsidP="00A90A45">
      <w:pPr>
        <w:pStyle w:val="UnnumberedHeading2"/>
        <w:keepNext w:val="0"/>
        <w:spacing w:before="120" w:after="120" w:line="240" w:lineRule="auto"/>
        <w:contextualSpacing/>
        <w:jc w:val="both"/>
        <w:rPr>
          <w:rFonts w:ascii="Arial" w:hAnsi="Arial"/>
          <w:b w:val="0"/>
          <w:sz w:val="20"/>
          <w:szCs w:val="20"/>
        </w:rPr>
      </w:pPr>
    </w:p>
    <w:tbl>
      <w:tblPr>
        <w:tblStyle w:val="TableGrid"/>
        <w:tblW w:w="0" w:type="auto"/>
        <w:tblLook w:val="04A0" w:firstRow="1" w:lastRow="0" w:firstColumn="1" w:lastColumn="0" w:noHBand="0" w:noVBand="1"/>
      </w:tblPr>
      <w:tblGrid>
        <w:gridCol w:w="8856"/>
      </w:tblGrid>
      <w:tr w:rsidR="00722422" w:rsidRPr="00340BEE" w14:paraId="47813AFD" w14:textId="77777777" w:rsidTr="00DE6675">
        <w:trPr>
          <w:trHeight w:val="422"/>
        </w:trPr>
        <w:tc>
          <w:tcPr>
            <w:tcW w:w="9756" w:type="dxa"/>
          </w:tcPr>
          <w:p w14:paraId="444C8B1A" w14:textId="77777777" w:rsidR="00722422" w:rsidRPr="00340BEE" w:rsidRDefault="00D44CCF" w:rsidP="001C47C6">
            <w:pPr>
              <w:pStyle w:val="UnnumberedHeading2"/>
              <w:spacing w:before="120" w:after="120" w:line="240" w:lineRule="auto"/>
              <w:jc w:val="both"/>
              <w:rPr>
                <w:rFonts w:ascii="Arial" w:hAnsi="Arial"/>
                <w:b w:val="0"/>
                <w:i/>
                <w:sz w:val="20"/>
                <w:szCs w:val="20"/>
                <w:lang w:eastAsia="ja-JP"/>
              </w:rPr>
            </w:pPr>
            <w:bookmarkStart w:id="9" w:name="_Toc359237045"/>
            <w:bookmarkStart w:id="10" w:name="_Toc357853238"/>
            <w:bookmarkStart w:id="11" w:name="_Toc359237048"/>
            <w:bookmarkEnd w:id="7"/>
            <w:bookmarkEnd w:id="8"/>
            <w:r w:rsidRPr="00340BEE">
              <w:rPr>
                <w:rFonts w:ascii="Arial" w:hAnsi="Arial"/>
                <w:sz w:val="20"/>
                <w:szCs w:val="20"/>
              </w:rPr>
              <w:t>Consumption</w:t>
            </w:r>
            <w:r w:rsidR="005F08E9" w:rsidRPr="00340BEE">
              <w:rPr>
                <w:rFonts w:ascii="Arial" w:hAnsi="Arial"/>
                <w:sz w:val="20"/>
                <w:szCs w:val="20"/>
              </w:rPr>
              <w:t xml:space="preserve"> Income Tax (CIT)</w:t>
            </w:r>
            <w:bookmarkEnd w:id="9"/>
            <w:r w:rsidR="005F08E9" w:rsidRPr="00340BEE">
              <w:rPr>
                <w:rFonts w:ascii="Arial" w:hAnsi="Arial"/>
                <w:sz w:val="20"/>
                <w:szCs w:val="20"/>
              </w:rPr>
              <w:t xml:space="preserve"> - </w:t>
            </w:r>
            <w:r w:rsidR="005F08E9" w:rsidRPr="00340BEE">
              <w:rPr>
                <w:rFonts w:ascii="Arial" w:hAnsi="Arial"/>
                <w:b w:val="0"/>
                <w:i/>
                <w:sz w:val="20"/>
                <w:szCs w:val="20"/>
              </w:rPr>
              <w:t>By adjusting annually the tax base according to the variation of the GDP and the exchange rate, the introduction</w:t>
            </w:r>
            <w:r w:rsidR="005F08E9" w:rsidRPr="00340BEE">
              <w:rPr>
                <w:rFonts w:ascii="Arial" w:hAnsi="Arial"/>
                <w:b w:val="0"/>
                <w:i/>
                <w:sz w:val="20"/>
                <w:szCs w:val="20"/>
                <w:lang w:eastAsia="ja-JP"/>
              </w:rPr>
              <w:t xml:space="preserve"> in CIT of: (i) a cap on the interest payments deductions of about 1/3 of the current interest payment; (ii) a 5% cap on all donations charities; (iii) a 5% cap on losses for previous years; (iv) eliminating the tax relief incentive with grandfathering provisions; (v) eliminating up to 30% in other tax credits; and (vi) eliminating all CIT waivers will gene</w:t>
            </w:r>
            <w:r w:rsidR="003B51B5" w:rsidRPr="00340BEE">
              <w:rPr>
                <w:rFonts w:ascii="Arial" w:hAnsi="Arial"/>
                <w:b w:val="0"/>
                <w:i/>
                <w:sz w:val="20"/>
                <w:szCs w:val="20"/>
                <w:lang w:eastAsia="ja-JP"/>
              </w:rPr>
              <w:t>rate a revenue increase of JD$3,681.</w:t>
            </w:r>
            <w:r w:rsidR="005F08E9" w:rsidRPr="00340BEE">
              <w:rPr>
                <w:rFonts w:ascii="Arial" w:hAnsi="Arial"/>
                <w:b w:val="0"/>
                <w:i/>
                <w:sz w:val="20"/>
                <w:szCs w:val="20"/>
                <w:lang w:eastAsia="ja-JP"/>
              </w:rPr>
              <w:t>0</w:t>
            </w:r>
            <w:r w:rsidR="001C47C6" w:rsidRPr="00340BEE">
              <w:rPr>
                <w:rFonts w:ascii="Arial" w:hAnsi="Arial"/>
                <w:b w:val="0"/>
                <w:i/>
                <w:sz w:val="20"/>
                <w:szCs w:val="20"/>
                <w:lang w:eastAsia="ja-JP"/>
              </w:rPr>
              <w:t>2</w:t>
            </w:r>
            <w:r w:rsidR="005F08E9" w:rsidRPr="00340BEE">
              <w:rPr>
                <w:rFonts w:ascii="Arial" w:hAnsi="Arial"/>
                <w:b w:val="0"/>
                <w:i/>
                <w:sz w:val="20"/>
                <w:szCs w:val="20"/>
                <w:lang w:eastAsia="ja-JP"/>
              </w:rPr>
              <w:t xml:space="preserve"> million.</w:t>
            </w:r>
          </w:p>
        </w:tc>
      </w:tr>
    </w:tbl>
    <w:p w14:paraId="43C0CDE2" w14:textId="77777777" w:rsidR="00894374" w:rsidRPr="00340BEE" w:rsidRDefault="00841D48" w:rsidP="00894374">
      <w:pPr>
        <w:pStyle w:val="ListParagraph"/>
        <w:spacing w:before="120" w:after="120" w:line="240" w:lineRule="auto"/>
        <w:ind w:left="690"/>
        <w:contextualSpacing w:val="0"/>
        <w:jc w:val="center"/>
        <w:rPr>
          <w:rFonts w:ascii="Arial" w:hAnsi="Arial" w:cs="Arial"/>
          <w:b/>
          <w:sz w:val="20"/>
          <w:szCs w:val="20"/>
        </w:rPr>
      </w:pPr>
      <w:r w:rsidRPr="00340BEE">
        <w:rPr>
          <w:rFonts w:ascii="Arial" w:hAnsi="Arial" w:cs="Arial"/>
          <w:b/>
          <w:sz w:val="20"/>
          <w:szCs w:val="20"/>
        </w:rPr>
        <w:t xml:space="preserve">Rules and </w:t>
      </w:r>
      <w:r w:rsidR="00894374" w:rsidRPr="00340BEE">
        <w:rPr>
          <w:rFonts w:ascii="Arial" w:hAnsi="Arial" w:cs="Arial"/>
          <w:b/>
          <w:sz w:val="20"/>
          <w:szCs w:val="20"/>
        </w:rPr>
        <w:t>Calculation</w:t>
      </w:r>
    </w:p>
    <w:p w14:paraId="56A72600" w14:textId="77777777" w:rsidR="00894374" w:rsidRPr="00340BEE" w:rsidRDefault="00894374" w:rsidP="00340BEE">
      <w:pPr>
        <w:pStyle w:val="Paragraph"/>
        <w:rPr>
          <w:rFonts w:ascii="Arial" w:hAnsi="Arial" w:cs="Arial"/>
          <w:b/>
          <w:sz w:val="20"/>
        </w:rPr>
      </w:pPr>
      <w:r w:rsidRPr="00340BEE">
        <w:rPr>
          <w:rFonts w:ascii="Arial" w:hAnsi="Arial" w:cs="Arial"/>
          <w:sz w:val="20"/>
        </w:rPr>
        <w:t xml:space="preserve">According to Table 4, all 2011 tax expenditure information was collected from the document </w:t>
      </w:r>
      <w:hyperlink r:id="rId18" w:history="1">
        <w:r w:rsidRPr="00340BEE">
          <w:rPr>
            <w:rStyle w:val="Hyperlink"/>
            <w:rFonts w:ascii="Arial" w:hAnsi="Arial" w:cs="Arial"/>
            <w:sz w:val="20"/>
          </w:rPr>
          <w:t>Tax Expenditures Estimates 2009 - 2011</w:t>
        </w:r>
      </w:hyperlink>
      <w:r w:rsidRPr="00340BEE">
        <w:rPr>
          <w:rFonts w:ascii="Arial" w:hAnsi="Arial" w:cs="Arial"/>
          <w:sz w:val="20"/>
        </w:rPr>
        <w:t>.</w:t>
      </w:r>
    </w:p>
    <w:p w14:paraId="6569B21A" w14:textId="77777777" w:rsidR="00894374" w:rsidRPr="00340BEE" w:rsidRDefault="00894374" w:rsidP="00894374">
      <w:pPr>
        <w:pStyle w:val="ListParagraph"/>
        <w:spacing w:before="120" w:after="120" w:line="240" w:lineRule="auto"/>
        <w:ind w:left="690"/>
        <w:contextualSpacing w:val="0"/>
        <w:jc w:val="center"/>
        <w:rPr>
          <w:rFonts w:ascii="Arial" w:hAnsi="Arial" w:cs="Arial"/>
          <w:b/>
          <w:sz w:val="20"/>
          <w:szCs w:val="20"/>
        </w:rPr>
      </w:pPr>
      <w:r w:rsidRPr="00340BEE">
        <w:rPr>
          <w:rFonts w:ascii="Arial" w:hAnsi="Arial" w:cs="Arial"/>
          <w:b/>
          <w:sz w:val="20"/>
          <w:szCs w:val="20"/>
        </w:rPr>
        <w:t>Caps</w:t>
      </w:r>
      <w:r w:rsidR="00FE2213" w:rsidRPr="00340BEE">
        <w:rPr>
          <w:rFonts w:ascii="Arial" w:hAnsi="Arial" w:cs="Arial"/>
          <w:b/>
          <w:sz w:val="20"/>
          <w:szCs w:val="20"/>
        </w:rPr>
        <w:t xml:space="preserve"> on deductions</w:t>
      </w:r>
    </w:p>
    <w:p w14:paraId="22E28310" w14:textId="77777777" w:rsidR="00894374" w:rsidRPr="00340BEE" w:rsidRDefault="00894374" w:rsidP="00773CA8">
      <w:pPr>
        <w:pStyle w:val="ListParagraph"/>
        <w:numPr>
          <w:ilvl w:val="0"/>
          <w:numId w:val="12"/>
        </w:numPr>
        <w:spacing w:before="120" w:after="120" w:line="240" w:lineRule="auto"/>
        <w:contextualSpacing w:val="0"/>
        <w:jc w:val="both"/>
        <w:rPr>
          <w:rFonts w:ascii="Arial" w:hAnsi="Arial" w:cs="Arial"/>
          <w:b/>
          <w:sz w:val="20"/>
          <w:szCs w:val="20"/>
        </w:rPr>
      </w:pPr>
      <w:r w:rsidRPr="00340BEE">
        <w:rPr>
          <w:rFonts w:ascii="Arial" w:hAnsi="Arial" w:cs="Arial"/>
          <w:sz w:val="20"/>
          <w:szCs w:val="20"/>
        </w:rPr>
        <w:t>Cap on interest payment is calculated based on 1/3</w:t>
      </w:r>
      <w:r w:rsidR="00EA6A03" w:rsidRPr="00340BEE">
        <w:rPr>
          <w:rStyle w:val="FootnoteReference"/>
          <w:rFonts w:ascii="Arial" w:hAnsi="Arial" w:cs="Arial"/>
          <w:sz w:val="20"/>
          <w:szCs w:val="20"/>
        </w:rPr>
        <w:footnoteReference w:id="9"/>
      </w:r>
      <w:r w:rsidRPr="00340BEE">
        <w:rPr>
          <w:rFonts w:ascii="Arial" w:hAnsi="Arial" w:cs="Arial"/>
          <w:sz w:val="20"/>
          <w:szCs w:val="20"/>
        </w:rPr>
        <w:t xml:space="preserve"> of 10% of the total interest payments</w:t>
      </w:r>
      <w:r w:rsidR="00EA6A03" w:rsidRPr="00340BEE">
        <w:rPr>
          <w:rStyle w:val="FootnoteReference"/>
          <w:rFonts w:ascii="Arial" w:hAnsi="Arial" w:cs="Arial"/>
          <w:sz w:val="20"/>
          <w:szCs w:val="20"/>
        </w:rPr>
        <w:footnoteReference w:id="10"/>
      </w:r>
      <w:r w:rsidRPr="00340BEE">
        <w:rPr>
          <w:rFonts w:ascii="Arial" w:hAnsi="Arial" w:cs="Arial"/>
          <w:sz w:val="20"/>
          <w:szCs w:val="20"/>
        </w:rPr>
        <w:t xml:space="preserve"> = JD$ 1,666.67 (JD$ 50,000 * 10% / 3).</w:t>
      </w:r>
    </w:p>
    <w:p w14:paraId="66CABAB4" w14:textId="77777777" w:rsidR="00894374" w:rsidRPr="00340BEE" w:rsidRDefault="00894374" w:rsidP="00773CA8">
      <w:pPr>
        <w:pStyle w:val="ListParagraph"/>
        <w:numPr>
          <w:ilvl w:val="0"/>
          <w:numId w:val="12"/>
        </w:numPr>
        <w:spacing w:before="120" w:after="120" w:line="240" w:lineRule="auto"/>
        <w:contextualSpacing w:val="0"/>
        <w:jc w:val="both"/>
        <w:rPr>
          <w:rFonts w:ascii="Arial" w:hAnsi="Arial" w:cs="Arial"/>
          <w:b/>
          <w:sz w:val="20"/>
          <w:szCs w:val="20"/>
        </w:rPr>
      </w:pPr>
      <w:r w:rsidRPr="00340BEE">
        <w:rPr>
          <w:rFonts w:ascii="Arial" w:hAnsi="Arial" w:cs="Arial"/>
          <w:sz w:val="20"/>
          <w:szCs w:val="20"/>
        </w:rPr>
        <w:t>Cap on donations and charities is calculated based on 3% (old cup 8% - new cup 3%) on the total of covenanted Donation + Donation Charities = JD$ 13.06 ([JD$ 350.27 + JD$85.15] * [8% -5%]).</w:t>
      </w:r>
    </w:p>
    <w:p w14:paraId="0A696695" w14:textId="77777777" w:rsidR="00894374" w:rsidRPr="00340BEE" w:rsidRDefault="00894374" w:rsidP="00773CA8">
      <w:pPr>
        <w:pStyle w:val="ListParagraph"/>
        <w:numPr>
          <w:ilvl w:val="0"/>
          <w:numId w:val="12"/>
        </w:numPr>
        <w:spacing w:before="120" w:after="120" w:line="240" w:lineRule="auto"/>
        <w:contextualSpacing w:val="0"/>
        <w:jc w:val="both"/>
        <w:rPr>
          <w:rFonts w:ascii="Arial" w:hAnsi="Arial" w:cs="Arial"/>
          <w:b/>
          <w:sz w:val="20"/>
          <w:szCs w:val="20"/>
        </w:rPr>
      </w:pPr>
      <w:r w:rsidRPr="00340BEE">
        <w:rPr>
          <w:rFonts w:ascii="Arial" w:hAnsi="Arial" w:cs="Arial"/>
          <w:sz w:val="20"/>
          <w:szCs w:val="20"/>
        </w:rPr>
        <w:lastRenderedPageBreak/>
        <w:t>Cap on losses for previous years is calculated based on 1/3</w:t>
      </w:r>
      <w:r w:rsidR="00EA6A03" w:rsidRPr="00340BEE">
        <w:rPr>
          <w:rStyle w:val="FootnoteReference"/>
          <w:rFonts w:ascii="Arial" w:hAnsi="Arial" w:cs="Arial"/>
          <w:sz w:val="20"/>
          <w:szCs w:val="20"/>
        </w:rPr>
        <w:footnoteReference w:id="11"/>
      </w:r>
      <w:r w:rsidRPr="00340BEE">
        <w:rPr>
          <w:rFonts w:ascii="Arial" w:hAnsi="Arial" w:cs="Arial"/>
          <w:sz w:val="20"/>
          <w:szCs w:val="20"/>
        </w:rPr>
        <w:t xml:space="preserve"> of 5% on total losses for previous years = JD$ 2,800 (JD$ 168,000 * 5% /3).</w:t>
      </w:r>
    </w:p>
    <w:p w14:paraId="089117C8" w14:textId="77777777" w:rsidR="00894374" w:rsidRPr="00340BEE" w:rsidRDefault="00894374" w:rsidP="00894374">
      <w:pPr>
        <w:pStyle w:val="ListParagraph"/>
        <w:spacing w:before="120" w:after="120" w:line="240" w:lineRule="auto"/>
        <w:ind w:left="1050"/>
        <w:contextualSpacing w:val="0"/>
        <w:jc w:val="center"/>
        <w:rPr>
          <w:rFonts w:ascii="Arial" w:hAnsi="Arial" w:cs="Arial"/>
          <w:b/>
          <w:sz w:val="20"/>
          <w:szCs w:val="20"/>
        </w:rPr>
      </w:pPr>
      <w:r w:rsidRPr="00340BEE">
        <w:rPr>
          <w:rFonts w:ascii="Arial" w:hAnsi="Arial" w:cs="Arial"/>
          <w:b/>
          <w:sz w:val="20"/>
          <w:szCs w:val="20"/>
        </w:rPr>
        <w:t>Eliminations</w:t>
      </w:r>
      <w:r w:rsidR="00FE2213" w:rsidRPr="00340BEE">
        <w:rPr>
          <w:rFonts w:ascii="Arial" w:hAnsi="Arial" w:cs="Arial"/>
          <w:b/>
          <w:sz w:val="20"/>
          <w:szCs w:val="20"/>
        </w:rPr>
        <w:t xml:space="preserve"> of benefits</w:t>
      </w:r>
    </w:p>
    <w:p w14:paraId="414A093B" w14:textId="77777777" w:rsidR="00894374" w:rsidRPr="00340BEE" w:rsidRDefault="00894374" w:rsidP="00773CA8">
      <w:pPr>
        <w:pStyle w:val="ListParagraph"/>
        <w:numPr>
          <w:ilvl w:val="0"/>
          <w:numId w:val="12"/>
        </w:numPr>
        <w:spacing w:before="120" w:after="120" w:line="240" w:lineRule="auto"/>
        <w:contextualSpacing w:val="0"/>
        <w:jc w:val="both"/>
        <w:rPr>
          <w:rFonts w:ascii="Arial" w:hAnsi="Arial" w:cs="Arial"/>
          <w:b/>
          <w:sz w:val="20"/>
          <w:szCs w:val="20"/>
        </w:rPr>
      </w:pPr>
      <w:r w:rsidRPr="00340BEE">
        <w:rPr>
          <w:rFonts w:ascii="Arial" w:hAnsi="Arial" w:cs="Arial"/>
          <w:sz w:val="20"/>
          <w:szCs w:val="20"/>
        </w:rPr>
        <w:t>Elimination of tax relief incentive is calculated based on the total of relief incentives - grand fathering + offset new incentives = JD$ 1,338.68 (JD$ 2,136.43 – JD$ 1,068.22 + JD$320.46).</w:t>
      </w:r>
    </w:p>
    <w:p w14:paraId="5050F167" w14:textId="77777777" w:rsidR="00894374" w:rsidRPr="00340BEE" w:rsidRDefault="00894374" w:rsidP="00773CA8">
      <w:pPr>
        <w:pStyle w:val="ListParagraph"/>
        <w:numPr>
          <w:ilvl w:val="0"/>
          <w:numId w:val="12"/>
        </w:numPr>
        <w:spacing w:before="120" w:after="120" w:line="240" w:lineRule="auto"/>
        <w:contextualSpacing w:val="0"/>
        <w:jc w:val="both"/>
        <w:rPr>
          <w:rFonts w:ascii="Arial" w:hAnsi="Arial" w:cs="Arial"/>
          <w:b/>
          <w:sz w:val="20"/>
          <w:szCs w:val="20"/>
        </w:rPr>
      </w:pPr>
      <w:r w:rsidRPr="00340BEE">
        <w:rPr>
          <w:rFonts w:ascii="Arial" w:hAnsi="Arial" w:cs="Arial"/>
          <w:sz w:val="20"/>
          <w:szCs w:val="20"/>
        </w:rPr>
        <w:t>Elimination of other tax credits is calculated based on 30% of total other tax + grand fathering + offset new incentives = JD$ 1.399.21 ([JD$ 3,205.52 * 30%] +JD$ 480.83 + JD$ 43.27).</w:t>
      </w:r>
    </w:p>
    <w:p w14:paraId="4C49D582" w14:textId="77777777" w:rsidR="00894374" w:rsidRPr="00340BEE" w:rsidRDefault="00894374" w:rsidP="00773CA8">
      <w:pPr>
        <w:pStyle w:val="ListParagraph"/>
        <w:numPr>
          <w:ilvl w:val="0"/>
          <w:numId w:val="12"/>
        </w:numPr>
        <w:spacing w:before="120" w:after="120" w:line="240" w:lineRule="auto"/>
        <w:contextualSpacing w:val="0"/>
        <w:jc w:val="both"/>
        <w:rPr>
          <w:rFonts w:ascii="Arial" w:hAnsi="Arial" w:cs="Arial"/>
          <w:b/>
          <w:sz w:val="20"/>
          <w:szCs w:val="20"/>
        </w:rPr>
      </w:pPr>
      <w:r w:rsidRPr="00340BEE">
        <w:rPr>
          <w:rFonts w:ascii="Arial" w:hAnsi="Arial" w:cs="Arial"/>
          <w:sz w:val="20"/>
          <w:szCs w:val="20"/>
        </w:rPr>
        <w:t>Elimination of CIT Waivers is calculated based on the elimination of all waivers = JD$ 42.50.</w:t>
      </w:r>
    </w:p>
    <w:p w14:paraId="4790B4F1" w14:textId="77777777" w:rsidR="00894374" w:rsidRPr="00340BEE" w:rsidRDefault="00E407AB" w:rsidP="00894374">
      <w:pPr>
        <w:pStyle w:val="ListParagraph"/>
        <w:spacing w:before="120" w:after="120" w:line="240" w:lineRule="auto"/>
        <w:ind w:left="1050"/>
        <w:contextualSpacing w:val="0"/>
        <w:jc w:val="center"/>
        <w:rPr>
          <w:rFonts w:ascii="Arial" w:hAnsi="Arial" w:cs="Arial"/>
          <w:b/>
          <w:sz w:val="20"/>
          <w:szCs w:val="20"/>
        </w:rPr>
      </w:pPr>
      <w:r w:rsidRPr="00340BEE">
        <w:rPr>
          <w:rFonts w:ascii="Arial" w:hAnsi="Arial" w:cs="Arial"/>
          <w:b/>
          <w:sz w:val="20"/>
          <w:szCs w:val="20"/>
        </w:rPr>
        <w:t xml:space="preserve">Impact on </w:t>
      </w:r>
      <w:r w:rsidR="00BD3EC8" w:rsidRPr="00340BEE">
        <w:rPr>
          <w:rFonts w:ascii="Arial" w:hAnsi="Arial" w:cs="Arial"/>
          <w:b/>
          <w:sz w:val="20"/>
          <w:szCs w:val="20"/>
        </w:rPr>
        <w:t>revenue</w:t>
      </w:r>
    </w:p>
    <w:p w14:paraId="157A5DCA" w14:textId="77777777" w:rsidR="00894374" w:rsidRPr="00340BEE" w:rsidRDefault="00894374" w:rsidP="00773CA8">
      <w:pPr>
        <w:pStyle w:val="ListParagraph"/>
        <w:numPr>
          <w:ilvl w:val="0"/>
          <w:numId w:val="12"/>
        </w:numPr>
        <w:spacing w:before="120" w:after="120" w:line="240" w:lineRule="auto"/>
        <w:contextualSpacing w:val="0"/>
        <w:jc w:val="both"/>
        <w:rPr>
          <w:rFonts w:ascii="Arial" w:hAnsi="Arial" w:cs="Arial"/>
          <w:b/>
          <w:sz w:val="20"/>
          <w:szCs w:val="20"/>
        </w:rPr>
      </w:pPr>
      <w:r w:rsidRPr="00340BEE">
        <w:rPr>
          <w:rFonts w:ascii="Arial" w:hAnsi="Arial" w:cs="Arial"/>
          <w:sz w:val="20"/>
          <w:szCs w:val="20"/>
        </w:rPr>
        <w:t>Total gross CIT revenue increase = cap on interest payments + cap on donation and charities + cap on losses for previous years + elimination of tax relief incentive + elimination of other tax credits + elimination of CIT waivers = JD$ 7,310.12 (JD$ 1,666.67+ JD$ 13.06 + JD$ 2,800 + JD$ 1,338.68 + JD$ 1.399.21 + JD$ 42.50).</w:t>
      </w:r>
    </w:p>
    <w:p w14:paraId="126CD8DD" w14:textId="77777777" w:rsidR="00722422" w:rsidRPr="00340BEE" w:rsidRDefault="00894374" w:rsidP="00773CA8">
      <w:pPr>
        <w:pStyle w:val="ListParagraph"/>
        <w:numPr>
          <w:ilvl w:val="0"/>
          <w:numId w:val="12"/>
        </w:numPr>
        <w:spacing w:before="120" w:after="120" w:line="240" w:lineRule="auto"/>
        <w:contextualSpacing w:val="0"/>
        <w:jc w:val="both"/>
        <w:rPr>
          <w:rFonts w:ascii="Arial" w:eastAsia="SimSun" w:hAnsi="Arial" w:cs="Arial"/>
          <w:sz w:val="20"/>
          <w:szCs w:val="20"/>
          <w:lang w:eastAsia="ja-JP"/>
        </w:rPr>
      </w:pPr>
      <w:r w:rsidRPr="00340BEE">
        <w:rPr>
          <w:rFonts w:ascii="Arial" w:hAnsi="Arial" w:cs="Arial"/>
          <w:sz w:val="20"/>
          <w:szCs w:val="20"/>
        </w:rPr>
        <w:t>Total Net CIT revenue increase = New incentive (up to 50% of CIT payable) + Minimum business tax + Reduction CIT to 25% + Charity Act = JD$ 3,681.02 (JD$ 2,007.60 + JD$ 259.33 + [-JD$ 5,882.97] + [-JD$ 13.06].</w:t>
      </w:r>
    </w:p>
    <w:p w14:paraId="74C85EE3" w14:textId="77777777" w:rsidR="00715D82" w:rsidRPr="00340BEE" w:rsidRDefault="00894374" w:rsidP="00D9450F">
      <w:pPr>
        <w:ind w:left="360"/>
        <w:rPr>
          <w:rFonts w:ascii="Arial" w:eastAsia="SimSun" w:hAnsi="Arial" w:cs="Arial"/>
          <w:sz w:val="20"/>
          <w:szCs w:val="20"/>
          <w:lang w:eastAsia="ja-JP"/>
        </w:rPr>
      </w:pPr>
      <w:r w:rsidRPr="00340BEE">
        <w:rPr>
          <w:rFonts w:ascii="Arial" w:hAnsi="Arial" w:cs="Arial"/>
          <w:noProof/>
          <w:sz w:val="20"/>
          <w:szCs w:val="20"/>
          <w:lang w:val="es-ES" w:eastAsia="es-ES"/>
        </w:rPr>
        <w:drawing>
          <wp:inline distT="0" distB="0" distL="0" distR="0" wp14:anchorId="66D7C9E8" wp14:editId="7F69AB82">
            <wp:extent cx="6057686" cy="3401568"/>
            <wp:effectExtent l="0" t="0" r="635" b="889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70061" cy="3408517"/>
                    </a:xfrm>
                    <a:prstGeom prst="rect">
                      <a:avLst/>
                    </a:prstGeom>
                    <a:noFill/>
                    <a:ln>
                      <a:noFill/>
                    </a:ln>
                  </pic:spPr>
                </pic:pic>
              </a:graphicData>
            </a:graphic>
          </wp:inline>
        </w:drawing>
      </w:r>
    </w:p>
    <w:p w14:paraId="45ED2B0B" w14:textId="77777777" w:rsidR="003E4F18" w:rsidRPr="00340BEE" w:rsidRDefault="003E4F18" w:rsidP="003E4F18">
      <w:pPr>
        <w:pStyle w:val="UnnumberedHeading2"/>
        <w:spacing w:before="120" w:after="120" w:line="240" w:lineRule="auto"/>
        <w:rPr>
          <w:rFonts w:ascii="Arial" w:hAnsi="Arial"/>
          <w:sz w:val="20"/>
          <w:szCs w:val="20"/>
        </w:rPr>
      </w:pPr>
      <w:bookmarkStart w:id="12" w:name="_Toc359237055"/>
      <w:bookmarkEnd w:id="10"/>
      <w:bookmarkEnd w:id="11"/>
    </w:p>
    <w:p w14:paraId="36991326" w14:textId="77777777" w:rsidR="003E4F18" w:rsidRPr="00340BEE" w:rsidRDefault="003E4F18" w:rsidP="003E4F18">
      <w:pPr>
        <w:pStyle w:val="UnnumberedHeading2"/>
        <w:spacing w:before="120" w:after="120" w:line="240" w:lineRule="auto"/>
        <w:rPr>
          <w:rFonts w:ascii="Arial" w:hAnsi="Arial"/>
          <w:sz w:val="20"/>
          <w:szCs w:val="20"/>
        </w:rPr>
      </w:pPr>
      <w:r w:rsidRPr="00340BEE">
        <w:rPr>
          <w:rFonts w:ascii="Arial" w:hAnsi="Arial"/>
          <w:sz w:val="20"/>
          <w:szCs w:val="20"/>
        </w:rPr>
        <w:t>Personal Income Tax (PIT)</w:t>
      </w:r>
    </w:p>
    <w:tbl>
      <w:tblPr>
        <w:tblStyle w:val="TableGrid"/>
        <w:tblW w:w="0" w:type="auto"/>
        <w:tblLook w:val="04A0" w:firstRow="1" w:lastRow="0" w:firstColumn="1" w:lastColumn="0" w:noHBand="0" w:noVBand="1"/>
      </w:tblPr>
      <w:tblGrid>
        <w:gridCol w:w="8856"/>
      </w:tblGrid>
      <w:tr w:rsidR="00A50B96" w:rsidRPr="00340BEE" w14:paraId="3C9339F4" w14:textId="77777777" w:rsidTr="00A50B96">
        <w:tc>
          <w:tcPr>
            <w:tcW w:w="9756" w:type="dxa"/>
          </w:tcPr>
          <w:p w14:paraId="29805D97" w14:textId="77777777" w:rsidR="00A50B96" w:rsidRPr="00340BEE" w:rsidRDefault="00FB507B" w:rsidP="00FB507B">
            <w:pPr>
              <w:pStyle w:val="UnnumberedHeading2"/>
              <w:spacing w:before="120" w:after="120" w:line="240" w:lineRule="auto"/>
              <w:jc w:val="both"/>
              <w:rPr>
                <w:rFonts w:ascii="Arial" w:hAnsi="Arial"/>
                <w:sz w:val="20"/>
                <w:szCs w:val="20"/>
              </w:rPr>
            </w:pPr>
            <w:bookmarkStart w:id="13" w:name="_Toc359237050"/>
            <w:bookmarkEnd w:id="12"/>
            <w:r w:rsidRPr="00340BEE">
              <w:rPr>
                <w:rFonts w:ascii="Arial" w:hAnsi="Arial"/>
                <w:sz w:val="20"/>
                <w:szCs w:val="20"/>
              </w:rPr>
              <w:t>Personal Income Tax (PIT)</w:t>
            </w:r>
            <w:bookmarkEnd w:id="13"/>
            <w:r w:rsidRPr="00340BEE">
              <w:rPr>
                <w:rFonts w:ascii="Arial" w:hAnsi="Arial"/>
                <w:sz w:val="20"/>
                <w:szCs w:val="20"/>
              </w:rPr>
              <w:t xml:space="preserve"> - </w:t>
            </w:r>
            <w:r w:rsidRPr="00340BEE">
              <w:rPr>
                <w:rFonts w:ascii="Arial" w:hAnsi="Arial"/>
                <w:b w:val="0"/>
                <w:i/>
                <w:sz w:val="20"/>
                <w:szCs w:val="20"/>
              </w:rPr>
              <w:t xml:space="preserve">By adjusting annually the tax base according to the variation of the GDP and the exchange rate, </w:t>
            </w:r>
            <w:r w:rsidRPr="00340BEE">
              <w:rPr>
                <w:rFonts w:ascii="Arial" w:hAnsi="Arial"/>
                <w:b w:val="0"/>
                <w:i/>
                <w:sz w:val="20"/>
                <w:szCs w:val="20"/>
                <w:lang w:eastAsia="ja-JP"/>
              </w:rPr>
              <w:t>the introduction in PIT: (i) a cap on the interest payments deductions of about 1/3 of the current interest payment; (ii) a 5% cap on all donations charities; (iii) a 5% cap on losses for previous years; (iv) eliminating the tax relief incentive with grandfathering provisions; (v) eliminating up to 30% in other tax credits; and (vi) eliminating all PIT waivers will genera</w:t>
            </w:r>
            <w:r w:rsidR="001C47C6" w:rsidRPr="00340BEE">
              <w:rPr>
                <w:rFonts w:ascii="Arial" w:hAnsi="Arial"/>
                <w:b w:val="0"/>
                <w:i/>
                <w:sz w:val="20"/>
                <w:szCs w:val="20"/>
                <w:lang w:eastAsia="ja-JP"/>
              </w:rPr>
              <w:t>te a revenue increase of JD$319.</w:t>
            </w:r>
            <w:r w:rsidRPr="00340BEE">
              <w:rPr>
                <w:rFonts w:ascii="Arial" w:hAnsi="Arial"/>
                <w:b w:val="0"/>
                <w:i/>
                <w:sz w:val="20"/>
                <w:szCs w:val="20"/>
                <w:lang w:eastAsia="ja-JP"/>
              </w:rPr>
              <w:t>72 million.</w:t>
            </w:r>
          </w:p>
        </w:tc>
      </w:tr>
    </w:tbl>
    <w:p w14:paraId="08E5E3CC" w14:textId="77777777" w:rsidR="00563AED" w:rsidRPr="00340BEE" w:rsidRDefault="00F91B9F" w:rsidP="00563AED">
      <w:pPr>
        <w:pStyle w:val="ListParagraph"/>
        <w:spacing w:before="120" w:after="120" w:line="240" w:lineRule="auto"/>
        <w:ind w:left="690"/>
        <w:contextualSpacing w:val="0"/>
        <w:jc w:val="center"/>
        <w:rPr>
          <w:rFonts w:ascii="Arial" w:hAnsi="Arial" w:cs="Arial"/>
          <w:b/>
          <w:sz w:val="20"/>
          <w:szCs w:val="20"/>
        </w:rPr>
      </w:pPr>
      <w:r w:rsidRPr="00340BEE" w:rsidDel="00F91B9F">
        <w:rPr>
          <w:rFonts w:ascii="Arial" w:hAnsi="Arial" w:cs="Arial"/>
          <w:b/>
          <w:sz w:val="20"/>
          <w:szCs w:val="20"/>
        </w:rPr>
        <w:t xml:space="preserve"> </w:t>
      </w:r>
      <w:r w:rsidR="00841D48" w:rsidRPr="00340BEE">
        <w:rPr>
          <w:rFonts w:ascii="Arial" w:hAnsi="Arial" w:cs="Arial"/>
          <w:b/>
          <w:sz w:val="20"/>
          <w:szCs w:val="20"/>
        </w:rPr>
        <w:t xml:space="preserve">Rules and </w:t>
      </w:r>
      <w:r w:rsidR="00563AED" w:rsidRPr="00340BEE">
        <w:rPr>
          <w:rFonts w:ascii="Arial" w:hAnsi="Arial" w:cs="Arial"/>
          <w:b/>
          <w:sz w:val="20"/>
          <w:szCs w:val="20"/>
        </w:rPr>
        <w:t>Calculation</w:t>
      </w:r>
    </w:p>
    <w:p w14:paraId="7660B2EB" w14:textId="77777777" w:rsidR="00563AED" w:rsidRPr="00340BEE" w:rsidRDefault="00563AED" w:rsidP="00340BEE">
      <w:pPr>
        <w:pStyle w:val="Paragraph"/>
        <w:rPr>
          <w:rFonts w:ascii="Arial" w:hAnsi="Arial" w:cs="Arial"/>
          <w:b/>
          <w:sz w:val="20"/>
        </w:rPr>
      </w:pPr>
      <w:r w:rsidRPr="00340BEE">
        <w:rPr>
          <w:rFonts w:ascii="Arial" w:hAnsi="Arial" w:cs="Arial"/>
          <w:sz w:val="20"/>
        </w:rPr>
        <w:t xml:space="preserve">According to Table 5, all 2011 tax expenditure information was collected from the document </w:t>
      </w:r>
      <w:hyperlink r:id="rId20" w:history="1">
        <w:r w:rsidRPr="00340BEE">
          <w:rPr>
            <w:rStyle w:val="Hyperlink"/>
            <w:rFonts w:ascii="Arial" w:hAnsi="Arial" w:cs="Arial"/>
            <w:sz w:val="20"/>
          </w:rPr>
          <w:t>Tax Expenditures Estimates 2009 - 2011</w:t>
        </w:r>
      </w:hyperlink>
      <w:r w:rsidRPr="00340BEE">
        <w:rPr>
          <w:rFonts w:ascii="Arial" w:hAnsi="Arial" w:cs="Arial"/>
          <w:sz w:val="20"/>
        </w:rPr>
        <w:t>.</w:t>
      </w:r>
    </w:p>
    <w:p w14:paraId="76BCC8D8" w14:textId="77777777" w:rsidR="00563AED" w:rsidRPr="00340BEE" w:rsidRDefault="00563AED" w:rsidP="00563AED">
      <w:pPr>
        <w:pStyle w:val="ListParagraph"/>
        <w:spacing w:before="120" w:after="120" w:line="240" w:lineRule="auto"/>
        <w:ind w:left="690"/>
        <w:contextualSpacing w:val="0"/>
        <w:jc w:val="center"/>
        <w:rPr>
          <w:rFonts w:ascii="Arial" w:hAnsi="Arial" w:cs="Arial"/>
          <w:b/>
          <w:sz w:val="20"/>
          <w:szCs w:val="20"/>
        </w:rPr>
      </w:pPr>
      <w:r w:rsidRPr="00340BEE">
        <w:rPr>
          <w:rFonts w:ascii="Arial" w:hAnsi="Arial" w:cs="Arial"/>
          <w:b/>
          <w:sz w:val="20"/>
          <w:szCs w:val="20"/>
        </w:rPr>
        <w:t>Caps</w:t>
      </w:r>
      <w:r w:rsidR="00FE2213" w:rsidRPr="00340BEE">
        <w:rPr>
          <w:rFonts w:ascii="Arial" w:hAnsi="Arial" w:cs="Arial"/>
          <w:b/>
          <w:sz w:val="20"/>
          <w:szCs w:val="20"/>
        </w:rPr>
        <w:t xml:space="preserve"> on deductions</w:t>
      </w:r>
    </w:p>
    <w:p w14:paraId="437200D4" w14:textId="77777777" w:rsidR="00563AED" w:rsidRPr="00340BEE" w:rsidRDefault="00563AED" w:rsidP="00773CA8">
      <w:pPr>
        <w:pStyle w:val="ListParagraph"/>
        <w:numPr>
          <w:ilvl w:val="0"/>
          <w:numId w:val="13"/>
        </w:numPr>
        <w:spacing w:before="120" w:after="120" w:line="240" w:lineRule="auto"/>
        <w:contextualSpacing w:val="0"/>
        <w:rPr>
          <w:rFonts w:ascii="Arial" w:hAnsi="Arial" w:cs="Arial"/>
          <w:sz w:val="20"/>
          <w:szCs w:val="20"/>
        </w:rPr>
      </w:pPr>
      <w:r w:rsidRPr="00340BEE">
        <w:rPr>
          <w:rFonts w:ascii="Arial" w:hAnsi="Arial" w:cs="Arial"/>
          <w:sz w:val="20"/>
          <w:szCs w:val="20"/>
        </w:rPr>
        <w:t>Cap on Interest payments deductions is calculated based on 1/3</w:t>
      </w:r>
      <w:r w:rsidR="00EA6A03" w:rsidRPr="00340BEE">
        <w:rPr>
          <w:rStyle w:val="FootnoteReference"/>
          <w:rFonts w:ascii="Arial" w:hAnsi="Arial" w:cs="Arial"/>
          <w:sz w:val="20"/>
          <w:szCs w:val="20"/>
        </w:rPr>
        <w:footnoteReference w:id="12"/>
      </w:r>
      <w:r w:rsidRPr="00340BEE">
        <w:rPr>
          <w:rFonts w:ascii="Arial" w:hAnsi="Arial" w:cs="Arial"/>
          <w:sz w:val="20"/>
          <w:szCs w:val="20"/>
        </w:rPr>
        <w:t xml:space="preserve"> of 10% of total interest payment = JD$ 16.67 (JD$ 500.00 * 10% / 3)</w:t>
      </w:r>
    </w:p>
    <w:p w14:paraId="07969053" w14:textId="77777777" w:rsidR="00563AED" w:rsidRPr="00340BEE" w:rsidRDefault="00563AED" w:rsidP="00773CA8">
      <w:pPr>
        <w:pStyle w:val="ListParagraph"/>
        <w:numPr>
          <w:ilvl w:val="0"/>
          <w:numId w:val="13"/>
        </w:numPr>
        <w:spacing w:before="120" w:after="120" w:line="240" w:lineRule="auto"/>
        <w:contextualSpacing w:val="0"/>
        <w:jc w:val="both"/>
        <w:rPr>
          <w:rFonts w:ascii="Arial" w:hAnsi="Arial" w:cs="Arial"/>
          <w:b/>
          <w:sz w:val="20"/>
          <w:szCs w:val="20"/>
        </w:rPr>
      </w:pPr>
      <w:r w:rsidRPr="00340BEE">
        <w:rPr>
          <w:rFonts w:ascii="Arial" w:hAnsi="Arial" w:cs="Arial"/>
          <w:sz w:val="20"/>
          <w:szCs w:val="20"/>
        </w:rPr>
        <w:t>Cap on donations and charities is calculated based on 3% (old cup 8% - new cup 3%) on the total of covenanted Donation + Donation Charities = JD$ 1.21 ([JD$ 19.25 + JD$ 21.26] * [8% -5%]).</w:t>
      </w:r>
      <w:r w:rsidRPr="00340BEE">
        <w:rPr>
          <w:rFonts w:ascii="Arial" w:hAnsi="Arial" w:cs="Arial"/>
          <w:sz w:val="20"/>
          <w:szCs w:val="20"/>
        </w:rPr>
        <w:tab/>
      </w:r>
      <w:r w:rsidRPr="00340BEE">
        <w:rPr>
          <w:rFonts w:ascii="Arial" w:hAnsi="Arial" w:cs="Arial"/>
          <w:sz w:val="20"/>
          <w:szCs w:val="20"/>
        </w:rPr>
        <w:tab/>
      </w:r>
      <w:r w:rsidRPr="00340BEE">
        <w:rPr>
          <w:rFonts w:ascii="Arial" w:hAnsi="Arial" w:cs="Arial"/>
          <w:sz w:val="20"/>
          <w:szCs w:val="20"/>
        </w:rPr>
        <w:tab/>
      </w:r>
    </w:p>
    <w:p w14:paraId="362B6252" w14:textId="77777777" w:rsidR="00563AED" w:rsidRPr="00340BEE" w:rsidRDefault="00563AED" w:rsidP="00773CA8">
      <w:pPr>
        <w:pStyle w:val="ListParagraph"/>
        <w:numPr>
          <w:ilvl w:val="0"/>
          <w:numId w:val="13"/>
        </w:numPr>
        <w:spacing w:before="120" w:after="120" w:line="240" w:lineRule="auto"/>
        <w:contextualSpacing w:val="0"/>
        <w:jc w:val="both"/>
        <w:rPr>
          <w:rFonts w:ascii="Arial" w:hAnsi="Arial" w:cs="Arial"/>
          <w:b/>
          <w:sz w:val="20"/>
          <w:szCs w:val="20"/>
        </w:rPr>
      </w:pPr>
      <w:r w:rsidRPr="00340BEE">
        <w:rPr>
          <w:rFonts w:ascii="Arial" w:hAnsi="Arial" w:cs="Arial"/>
          <w:sz w:val="20"/>
          <w:szCs w:val="20"/>
        </w:rPr>
        <w:t>Cap on losses for previous years is calculated based on 1/3</w:t>
      </w:r>
      <w:r w:rsidR="00EA6A03" w:rsidRPr="00340BEE">
        <w:rPr>
          <w:rStyle w:val="FootnoteReference"/>
          <w:rFonts w:ascii="Arial" w:hAnsi="Arial" w:cs="Arial"/>
          <w:sz w:val="20"/>
          <w:szCs w:val="20"/>
        </w:rPr>
        <w:footnoteReference w:id="13"/>
      </w:r>
      <w:r w:rsidRPr="00340BEE">
        <w:rPr>
          <w:rFonts w:ascii="Arial" w:hAnsi="Arial" w:cs="Arial"/>
          <w:sz w:val="20"/>
          <w:szCs w:val="20"/>
        </w:rPr>
        <w:t xml:space="preserve"> of 5% on total losses for previous years = JD$ 28.00 (JD$ 1,680 * 5% /3).</w:t>
      </w:r>
    </w:p>
    <w:p w14:paraId="3967B709" w14:textId="77777777" w:rsidR="00563AED" w:rsidRPr="00340BEE" w:rsidRDefault="00563AED" w:rsidP="00563AED">
      <w:pPr>
        <w:pStyle w:val="ListParagraph"/>
        <w:spacing w:before="120" w:after="120" w:line="240" w:lineRule="auto"/>
        <w:contextualSpacing w:val="0"/>
        <w:jc w:val="center"/>
        <w:rPr>
          <w:rFonts w:ascii="Arial" w:hAnsi="Arial" w:cs="Arial"/>
          <w:b/>
          <w:sz w:val="20"/>
          <w:szCs w:val="20"/>
        </w:rPr>
      </w:pPr>
      <w:r w:rsidRPr="00340BEE">
        <w:rPr>
          <w:rFonts w:ascii="Arial" w:hAnsi="Arial" w:cs="Arial"/>
          <w:b/>
          <w:sz w:val="20"/>
          <w:szCs w:val="20"/>
        </w:rPr>
        <w:t>Eliminations</w:t>
      </w:r>
      <w:r w:rsidR="00FE2213" w:rsidRPr="00340BEE">
        <w:rPr>
          <w:rFonts w:ascii="Arial" w:hAnsi="Arial" w:cs="Arial"/>
          <w:b/>
          <w:sz w:val="20"/>
          <w:szCs w:val="20"/>
        </w:rPr>
        <w:t xml:space="preserve"> of benefits</w:t>
      </w:r>
    </w:p>
    <w:p w14:paraId="5AE5A68A" w14:textId="77777777" w:rsidR="00563AED" w:rsidRPr="00340BEE" w:rsidRDefault="00563AED" w:rsidP="00773CA8">
      <w:pPr>
        <w:pStyle w:val="ListParagraph"/>
        <w:numPr>
          <w:ilvl w:val="0"/>
          <w:numId w:val="13"/>
        </w:numPr>
        <w:spacing w:before="120" w:after="120" w:line="240" w:lineRule="auto"/>
        <w:contextualSpacing w:val="0"/>
        <w:jc w:val="both"/>
        <w:rPr>
          <w:rFonts w:ascii="Arial" w:hAnsi="Arial" w:cs="Arial"/>
          <w:b/>
          <w:sz w:val="20"/>
          <w:szCs w:val="20"/>
        </w:rPr>
      </w:pPr>
      <w:r w:rsidRPr="00340BEE">
        <w:rPr>
          <w:rFonts w:ascii="Arial" w:hAnsi="Arial" w:cs="Arial"/>
          <w:sz w:val="20"/>
          <w:szCs w:val="20"/>
        </w:rPr>
        <w:t>Elimination of tax relief incentive is calculated based on the total of relief incentives - grand fathering + offset new incentives = JD$ 8.88 (JD$ 12.69 – JD$ 6.35 + JD$ 2.54).</w:t>
      </w:r>
    </w:p>
    <w:p w14:paraId="3732E6E8" w14:textId="77777777" w:rsidR="00563AED" w:rsidRPr="00340BEE" w:rsidRDefault="00563AED" w:rsidP="00773CA8">
      <w:pPr>
        <w:pStyle w:val="ListParagraph"/>
        <w:numPr>
          <w:ilvl w:val="0"/>
          <w:numId w:val="13"/>
        </w:numPr>
        <w:spacing w:before="120" w:after="120" w:line="240" w:lineRule="auto"/>
        <w:contextualSpacing w:val="0"/>
        <w:jc w:val="both"/>
        <w:rPr>
          <w:rFonts w:ascii="Arial" w:hAnsi="Arial" w:cs="Arial"/>
          <w:b/>
          <w:sz w:val="20"/>
          <w:szCs w:val="20"/>
        </w:rPr>
      </w:pPr>
      <w:r w:rsidRPr="00340BEE">
        <w:rPr>
          <w:rFonts w:ascii="Arial" w:hAnsi="Arial" w:cs="Arial"/>
          <w:sz w:val="20"/>
          <w:szCs w:val="20"/>
        </w:rPr>
        <w:t>Elimination of other tax credits is calculated based on 30% of total other tax + grand fathering + offset new incentives = JD$ 5.12 ([JD$ 13.13 * 30%] +JD$ 1.97 + JD$ 0.79).</w:t>
      </w:r>
    </w:p>
    <w:p w14:paraId="36D125E7" w14:textId="77777777" w:rsidR="00563AED" w:rsidRPr="00340BEE" w:rsidRDefault="00563AED" w:rsidP="00773CA8">
      <w:pPr>
        <w:pStyle w:val="ListParagraph"/>
        <w:numPr>
          <w:ilvl w:val="0"/>
          <w:numId w:val="13"/>
        </w:numPr>
        <w:spacing w:before="120" w:after="120" w:line="240" w:lineRule="auto"/>
        <w:contextualSpacing w:val="0"/>
        <w:jc w:val="both"/>
        <w:rPr>
          <w:rFonts w:ascii="Arial" w:hAnsi="Arial" w:cs="Arial"/>
          <w:b/>
          <w:sz w:val="20"/>
          <w:szCs w:val="20"/>
        </w:rPr>
      </w:pPr>
      <w:r w:rsidRPr="00340BEE">
        <w:rPr>
          <w:rFonts w:ascii="Arial" w:hAnsi="Arial" w:cs="Arial"/>
          <w:sz w:val="20"/>
          <w:szCs w:val="20"/>
        </w:rPr>
        <w:t>Elimination of CIT Waivers is calculated based on the elimination of all waivers = JD$ 0.03.</w:t>
      </w:r>
    </w:p>
    <w:p w14:paraId="10A7DDAC" w14:textId="77777777" w:rsidR="00563AED" w:rsidRPr="00340BEE" w:rsidRDefault="00E407AB" w:rsidP="00563AED">
      <w:pPr>
        <w:pStyle w:val="ListParagraph"/>
        <w:spacing w:before="120" w:after="120" w:line="240" w:lineRule="auto"/>
        <w:contextualSpacing w:val="0"/>
        <w:jc w:val="center"/>
        <w:rPr>
          <w:rFonts w:ascii="Arial" w:hAnsi="Arial" w:cs="Arial"/>
          <w:b/>
          <w:sz w:val="20"/>
          <w:szCs w:val="20"/>
        </w:rPr>
      </w:pPr>
      <w:r w:rsidRPr="00340BEE">
        <w:rPr>
          <w:rFonts w:ascii="Arial" w:hAnsi="Arial" w:cs="Arial"/>
          <w:b/>
          <w:sz w:val="20"/>
          <w:szCs w:val="20"/>
        </w:rPr>
        <w:t>Impact on</w:t>
      </w:r>
      <w:r w:rsidR="00BD3EC8" w:rsidRPr="00340BEE">
        <w:rPr>
          <w:rFonts w:ascii="Arial" w:hAnsi="Arial" w:cs="Arial"/>
          <w:b/>
          <w:sz w:val="20"/>
          <w:szCs w:val="20"/>
        </w:rPr>
        <w:t xml:space="preserve"> revenue</w:t>
      </w:r>
    </w:p>
    <w:p w14:paraId="12EFBF4B" w14:textId="77777777" w:rsidR="00563AED" w:rsidRPr="00340BEE" w:rsidRDefault="00563AED" w:rsidP="00773CA8">
      <w:pPr>
        <w:pStyle w:val="ListParagraph"/>
        <w:numPr>
          <w:ilvl w:val="0"/>
          <w:numId w:val="13"/>
        </w:numPr>
        <w:spacing w:before="120" w:after="120" w:line="240" w:lineRule="auto"/>
        <w:contextualSpacing w:val="0"/>
        <w:rPr>
          <w:rFonts w:ascii="Arial" w:hAnsi="Arial" w:cs="Arial"/>
          <w:b/>
          <w:sz w:val="20"/>
          <w:szCs w:val="20"/>
        </w:rPr>
      </w:pPr>
      <w:r w:rsidRPr="00340BEE">
        <w:rPr>
          <w:rFonts w:ascii="Arial" w:hAnsi="Arial" w:cs="Arial"/>
          <w:sz w:val="20"/>
          <w:szCs w:val="20"/>
        </w:rPr>
        <w:t>Gross impact of PIT reform = Cap on Interest payments deductions + Cap on donations and charities + Cap on losses for previous years + Elimination of tax relief incentive + Elimination of other tax credits + Elimination of CIT Waivers + Minimum business tax = JD$ 982.19 (JD$ 16.67 + JD$ 1.21 + JD$ 28.00 + JD$ 8.88 + JD$ 5.12 + JD$ 0.03 + JD$ 922.29).</w:t>
      </w:r>
    </w:p>
    <w:p w14:paraId="128A4F61" w14:textId="77777777" w:rsidR="00715D82" w:rsidRPr="00340BEE" w:rsidRDefault="00563AED" w:rsidP="00773CA8">
      <w:pPr>
        <w:pStyle w:val="ListParagraph"/>
        <w:numPr>
          <w:ilvl w:val="0"/>
          <w:numId w:val="13"/>
        </w:numPr>
        <w:spacing w:before="120" w:after="120" w:line="240" w:lineRule="auto"/>
        <w:contextualSpacing w:val="0"/>
        <w:rPr>
          <w:rFonts w:ascii="Arial" w:hAnsi="Arial" w:cs="Arial"/>
          <w:noProof/>
          <w:sz w:val="20"/>
          <w:szCs w:val="20"/>
        </w:rPr>
      </w:pPr>
      <w:r w:rsidRPr="00340BEE">
        <w:rPr>
          <w:rFonts w:ascii="Arial" w:hAnsi="Arial" w:cs="Arial"/>
          <w:sz w:val="20"/>
          <w:szCs w:val="20"/>
        </w:rPr>
        <w:t>Total Net CIT revenue increase is the total of Gross impact of PIT reform + new incentives (up to 50% of PIT payable) + reduction PIT 25% = JD$ 319.72 (JD$ 982.19 + JD$ 11.92 + [-JD$ 674.40]).</w:t>
      </w:r>
    </w:p>
    <w:p w14:paraId="5F13F961" w14:textId="77777777" w:rsidR="00E27E61" w:rsidRPr="00340BEE" w:rsidRDefault="00133B1A" w:rsidP="00133B1A">
      <w:pPr>
        <w:pStyle w:val="ParagraphNumbering"/>
        <w:numPr>
          <w:ilvl w:val="0"/>
          <w:numId w:val="0"/>
        </w:numPr>
        <w:spacing w:before="120"/>
        <w:ind w:left="360" w:hanging="180"/>
        <w:contextualSpacing/>
        <w:rPr>
          <w:rFonts w:ascii="Arial" w:hAnsi="Arial" w:cs="Arial"/>
          <w:sz w:val="20"/>
          <w:szCs w:val="20"/>
        </w:rPr>
      </w:pPr>
      <w:bookmarkStart w:id="14" w:name="_Toc359237060"/>
      <w:r w:rsidRPr="00340BEE">
        <w:rPr>
          <w:rFonts w:ascii="Arial" w:hAnsi="Arial" w:cs="Arial"/>
          <w:noProof/>
          <w:sz w:val="20"/>
          <w:szCs w:val="20"/>
          <w:lang w:val="es-ES" w:eastAsia="es-ES"/>
        </w:rPr>
        <w:lastRenderedPageBreak/>
        <w:drawing>
          <wp:inline distT="0" distB="0" distL="0" distR="0" wp14:anchorId="13E59F74" wp14:editId="6B22D71E">
            <wp:extent cx="6057900" cy="353296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57900" cy="3532960"/>
                    </a:xfrm>
                    <a:prstGeom prst="rect">
                      <a:avLst/>
                    </a:prstGeom>
                    <a:noFill/>
                    <a:ln>
                      <a:noFill/>
                    </a:ln>
                  </pic:spPr>
                </pic:pic>
              </a:graphicData>
            </a:graphic>
          </wp:inline>
        </w:drawing>
      </w:r>
    </w:p>
    <w:p w14:paraId="1C52E079" w14:textId="77777777" w:rsidR="00721DB7" w:rsidRPr="00340BEE" w:rsidRDefault="00721DB7" w:rsidP="00133B1A">
      <w:pPr>
        <w:pStyle w:val="ParagraphNumbering"/>
        <w:numPr>
          <w:ilvl w:val="0"/>
          <w:numId w:val="0"/>
        </w:numPr>
        <w:spacing w:before="120"/>
        <w:ind w:left="360" w:hanging="180"/>
        <w:contextualSpacing/>
        <w:rPr>
          <w:rFonts w:ascii="Arial" w:hAnsi="Arial" w:cs="Arial"/>
          <w:sz w:val="20"/>
          <w:szCs w:val="20"/>
        </w:rPr>
      </w:pPr>
    </w:p>
    <w:p w14:paraId="327A3A74" w14:textId="77777777" w:rsidR="00841D48" w:rsidRPr="00340BEE" w:rsidRDefault="00841D48" w:rsidP="00721DB7">
      <w:pPr>
        <w:pStyle w:val="ParagraphNumbering"/>
        <w:numPr>
          <w:ilvl w:val="0"/>
          <w:numId w:val="0"/>
        </w:numPr>
        <w:spacing w:before="120"/>
        <w:ind w:left="360" w:hanging="180"/>
        <w:contextualSpacing/>
        <w:jc w:val="center"/>
        <w:rPr>
          <w:rFonts w:ascii="Arial" w:hAnsi="Arial" w:cs="Arial"/>
          <w:b/>
          <w:sz w:val="20"/>
          <w:szCs w:val="20"/>
        </w:rPr>
      </w:pPr>
    </w:p>
    <w:p w14:paraId="16214C56" w14:textId="77777777" w:rsidR="00721DB7" w:rsidRPr="00340BEE" w:rsidRDefault="00721DB7" w:rsidP="00721DB7">
      <w:pPr>
        <w:pStyle w:val="ParagraphNumbering"/>
        <w:numPr>
          <w:ilvl w:val="0"/>
          <w:numId w:val="0"/>
        </w:numPr>
        <w:spacing w:before="120"/>
        <w:ind w:left="360" w:hanging="180"/>
        <w:contextualSpacing/>
        <w:jc w:val="center"/>
        <w:rPr>
          <w:rFonts w:ascii="Arial" w:hAnsi="Arial" w:cs="Arial"/>
          <w:b/>
          <w:sz w:val="20"/>
          <w:szCs w:val="20"/>
        </w:rPr>
      </w:pPr>
      <w:r w:rsidRPr="00340BEE">
        <w:rPr>
          <w:rFonts w:ascii="Arial" w:hAnsi="Arial" w:cs="Arial"/>
          <w:b/>
          <w:sz w:val="20"/>
          <w:szCs w:val="20"/>
        </w:rPr>
        <w:t>General Consumption Tax (GCT)</w:t>
      </w:r>
    </w:p>
    <w:tbl>
      <w:tblPr>
        <w:tblStyle w:val="TableGrid"/>
        <w:tblW w:w="0" w:type="auto"/>
        <w:tblLook w:val="04A0" w:firstRow="1" w:lastRow="0" w:firstColumn="1" w:lastColumn="0" w:noHBand="0" w:noVBand="1"/>
      </w:tblPr>
      <w:tblGrid>
        <w:gridCol w:w="8856"/>
      </w:tblGrid>
      <w:tr w:rsidR="00646CCC" w:rsidRPr="00340BEE" w14:paraId="67C4FC5A" w14:textId="77777777" w:rsidTr="00646CCC">
        <w:tc>
          <w:tcPr>
            <w:tcW w:w="9756" w:type="dxa"/>
          </w:tcPr>
          <w:bookmarkEnd w:id="14"/>
          <w:p w14:paraId="167A2AB4" w14:textId="77777777" w:rsidR="00646CCC" w:rsidRPr="00340BEE" w:rsidRDefault="0007787D" w:rsidP="00D44CCF">
            <w:pPr>
              <w:jc w:val="both"/>
              <w:rPr>
                <w:rFonts w:ascii="Arial" w:hAnsi="Arial" w:cs="Arial"/>
                <w:i/>
                <w:sz w:val="20"/>
                <w:szCs w:val="20"/>
              </w:rPr>
            </w:pPr>
            <w:r w:rsidRPr="00340BEE">
              <w:rPr>
                <w:rFonts w:ascii="Arial" w:hAnsi="Arial" w:cs="Arial"/>
                <w:b/>
                <w:i/>
                <w:sz w:val="20"/>
                <w:szCs w:val="20"/>
              </w:rPr>
              <w:t xml:space="preserve">General </w:t>
            </w:r>
            <w:r w:rsidR="00D44CCF" w:rsidRPr="00340BEE">
              <w:rPr>
                <w:rFonts w:ascii="Arial" w:hAnsi="Arial" w:cs="Arial"/>
                <w:b/>
                <w:i/>
                <w:sz w:val="20"/>
                <w:szCs w:val="20"/>
              </w:rPr>
              <w:t>Consumption</w:t>
            </w:r>
            <w:r w:rsidRPr="00340BEE">
              <w:rPr>
                <w:rFonts w:ascii="Arial" w:hAnsi="Arial" w:cs="Arial"/>
                <w:b/>
                <w:i/>
                <w:sz w:val="20"/>
                <w:szCs w:val="20"/>
              </w:rPr>
              <w:t xml:space="preserve"> Tax</w:t>
            </w:r>
            <w:r w:rsidR="0087080A" w:rsidRPr="00340BEE">
              <w:rPr>
                <w:rFonts w:ascii="Arial" w:hAnsi="Arial" w:cs="Arial"/>
                <w:b/>
                <w:i/>
                <w:sz w:val="20"/>
                <w:szCs w:val="20"/>
              </w:rPr>
              <w:t xml:space="preserve"> (GCT)</w:t>
            </w:r>
            <w:r w:rsidRPr="00340BEE">
              <w:rPr>
                <w:rFonts w:ascii="Arial" w:hAnsi="Arial" w:cs="Arial"/>
                <w:b/>
                <w:i/>
                <w:sz w:val="20"/>
                <w:szCs w:val="20"/>
              </w:rPr>
              <w:t xml:space="preserve"> - </w:t>
            </w:r>
            <w:r w:rsidR="00646CCC" w:rsidRPr="00340BEE">
              <w:rPr>
                <w:rFonts w:ascii="Arial" w:hAnsi="Arial" w:cs="Arial"/>
                <w:b/>
                <w:i/>
                <w:sz w:val="20"/>
                <w:szCs w:val="20"/>
              </w:rPr>
              <w:t xml:space="preserve"> </w:t>
            </w:r>
            <w:r w:rsidRPr="00340BEE">
              <w:rPr>
                <w:rFonts w:ascii="Arial" w:hAnsi="Arial" w:cs="Arial"/>
                <w:b/>
                <w:i/>
                <w:sz w:val="20"/>
                <w:szCs w:val="20"/>
              </w:rPr>
              <w:t>By</w:t>
            </w:r>
            <w:r w:rsidRPr="00340BEE">
              <w:rPr>
                <w:rFonts w:ascii="Arial" w:hAnsi="Arial" w:cs="Arial"/>
                <w:i/>
                <w:sz w:val="20"/>
                <w:szCs w:val="20"/>
              </w:rPr>
              <w:t xml:space="preserve"> adjusting annually the tax base according to the variation of the GDP and the exchange </w:t>
            </w:r>
            <w:r w:rsidR="00721DB7" w:rsidRPr="00340BEE">
              <w:rPr>
                <w:rFonts w:ascii="Arial" w:hAnsi="Arial" w:cs="Arial"/>
                <w:i/>
                <w:sz w:val="20"/>
                <w:szCs w:val="20"/>
              </w:rPr>
              <w:t>rate, the</w:t>
            </w:r>
            <w:r w:rsidRPr="00340BEE">
              <w:rPr>
                <w:rFonts w:ascii="Arial" w:hAnsi="Arial" w:cs="Arial"/>
                <w:i/>
                <w:sz w:val="20"/>
                <w:szCs w:val="20"/>
              </w:rPr>
              <w:t xml:space="preserve"> elimination of incentives and discretionary waivers on GCT </w:t>
            </w:r>
            <w:r w:rsidR="0087080A" w:rsidRPr="00340BEE">
              <w:rPr>
                <w:rFonts w:ascii="Arial" w:hAnsi="Arial" w:cs="Arial"/>
                <w:i/>
                <w:sz w:val="20"/>
                <w:szCs w:val="20"/>
              </w:rPr>
              <w:t>will generate</w:t>
            </w:r>
            <w:r w:rsidRPr="00340BEE">
              <w:rPr>
                <w:rFonts w:ascii="Arial" w:hAnsi="Arial" w:cs="Arial"/>
                <w:i/>
                <w:sz w:val="20"/>
                <w:szCs w:val="20"/>
              </w:rPr>
              <w:t xml:space="preserve"> a ne</w:t>
            </w:r>
            <w:r w:rsidR="004C1AF3" w:rsidRPr="00340BEE">
              <w:rPr>
                <w:rFonts w:ascii="Arial" w:hAnsi="Arial" w:cs="Arial"/>
                <w:i/>
                <w:sz w:val="20"/>
                <w:szCs w:val="20"/>
              </w:rPr>
              <w:t>t GCT revenue increase of JD$ 3,629.</w:t>
            </w:r>
            <w:r w:rsidRPr="00340BEE">
              <w:rPr>
                <w:rFonts w:ascii="Arial" w:hAnsi="Arial" w:cs="Arial"/>
                <w:i/>
                <w:sz w:val="20"/>
                <w:szCs w:val="20"/>
              </w:rPr>
              <w:t>49 million.</w:t>
            </w:r>
          </w:p>
        </w:tc>
      </w:tr>
    </w:tbl>
    <w:p w14:paraId="0B11F50C" w14:textId="77777777" w:rsidR="00795DA8" w:rsidRPr="00340BEE" w:rsidRDefault="00795DA8" w:rsidP="000A204C">
      <w:pPr>
        <w:pStyle w:val="UnnumberedHeading2"/>
        <w:spacing w:before="120" w:after="120" w:line="240" w:lineRule="auto"/>
        <w:contextualSpacing/>
        <w:rPr>
          <w:rFonts w:ascii="Arial" w:hAnsi="Arial"/>
          <w:b w:val="0"/>
          <w:sz w:val="20"/>
          <w:szCs w:val="20"/>
          <w:u w:val="single"/>
        </w:rPr>
      </w:pPr>
    </w:p>
    <w:p w14:paraId="4AF2737F" w14:textId="77777777" w:rsidR="000A204C" w:rsidRPr="00340BEE" w:rsidRDefault="00841D48" w:rsidP="000A204C">
      <w:pPr>
        <w:pStyle w:val="UnnumberedHeading2"/>
        <w:spacing w:before="120" w:after="120" w:line="240" w:lineRule="auto"/>
        <w:contextualSpacing/>
        <w:rPr>
          <w:rFonts w:ascii="Arial" w:hAnsi="Arial"/>
          <w:sz w:val="20"/>
          <w:szCs w:val="20"/>
        </w:rPr>
      </w:pPr>
      <w:r w:rsidRPr="00340BEE">
        <w:rPr>
          <w:rFonts w:ascii="Arial" w:hAnsi="Arial"/>
          <w:sz w:val="20"/>
          <w:szCs w:val="20"/>
        </w:rPr>
        <w:t xml:space="preserve">Rules and </w:t>
      </w:r>
      <w:r w:rsidR="00A0236A" w:rsidRPr="00340BEE">
        <w:rPr>
          <w:rFonts w:ascii="Arial" w:hAnsi="Arial"/>
          <w:sz w:val="20"/>
          <w:szCs w:val="20"/>
        </w:rPr>
        <w:t>Calculation</w:t>
      </w:r>
    </w:p>
    <w:p w14:paraId="5245BA6F" w14:textId="77777777" w:rsidR="00A0236A" w:rsidRPr="00340BEE" w:rsidRDefault="00A0236A" w:rsidP="00340BEE">
      <w:pPr>
        <w:pStyle w:val="Paragraph"/>
        <w:rPr>
          <w:rFonts w:ascii="Arial" w:hAnsi="Arial" w:cs="Arial"/>
          <w:b/>
          <w:sz w:val="20"/>
        </w:rPr>
      </w:pPr>
      <w:r w:rsidRPr="00340BEE">
        <w:rPr>
          <w:rFonts w:ascii="Arial" w:hAnsi="Arial" w:cs="Arial"/>
          <w:sz w:val="20"/>
        </w:rPr>
        <w:t xml:space="preserve">According to Table 5, all 2011 tax expenditure information was collected from the document </w:t>
      </w:r>
      <w:hyperlink r:id="rId22" w:history="1">
        <w:r w:rsidRPr="00340BEE">
          <w:rPr>
            <w:rStyle w:val="Hyperlink"/>
            <w:rFonts w:ascii="Arial" w:hAnsi="Arial" w:cs="Arial"/>
            <w:sz w:val="20"/>
          </w:rPr>
          <w:t>Tax Expenditures Estimates 2009 - 2011</w:t>
        </w:r>
      </w:hyperlink>
      <w:r w:rsidRPr="00340BEE">
        <w:rPr>
          <w:rFonts w:ascii="Arial" w:hAnsi="Arial" w:cs="Arial"/>
          <w:sz w:val="20"/>
        </w:rPr>
        <w:t>.</w:t>
      </w:r>
    </w:p>
    <w:p w14:paraId="580E125C" w14:textId="77777777" w:rsidR="00B932D8" w:rsidRPr="00340BEE" w:rsidRDefault="00BA501C" w:rsidP="00773CA8">
      <w:pPr>
        <w:pStyle w:val="ListParagraph"/>
        <w:numPr>
          <w:ilvl w:val="0"/>
          <w:numId w:val="14"/>
        </w:numPr>
        <w:rPr>
          <w:rFonts w:ascii="Arial" w:hAnsi="Arial" w:cs="Arial"/>
          <w:sz w:val="20"/>
          <w:szCs w:val="20"/>
        </w:rPr>
      </w:pPr>
      <w:r w:rsidRPr="00340BEE">
        <w:rPr>
          <w:rFonts w:ascii="Arial" w:hAnsi="Arial" w:cs="Arial"/>
          <w:sz w:val="20"/>
          <w:szCs w:val="20"/>
        </w:rPr>
        <w:t>Only incentives and discretionary waivers are considered on GCT reform.</w:t>
      </w:r>
    </w:p>
    <w:p w14:paraId="2EE32BB0" w14:textId="77777777" w:rsidR="00841D48" w:rsidRPr="00340BEE" w:rsidRDefault="00841D48" w:rsidP="00841D48">
      <w:pPr>
        <w:pStyle w:val="ListParagraph"/>
        <w:spacing w:before="120" w:after="120" w:line="240" w:lineRule="auto"/>
        <w:contextualSpacing w:val="0"/>
        <w:jc w:val="center"/>
        <w:rPr>
          <w:rFonts w:ascii="Arial" w:hAnsi="Arial" w:cs="Arial"/>
          <w:b/>
          <w:sz w:val="20"/>
          <w:szCs w:val="20"/>
        </w:rPr>
      </w:pPr>
      <w:r w:rsidRPr="00340BEE">
        <w:rPr>
          <w:rFonts w:ascii="Arial" w:hAnsi="Arial" w:cs="Arial"/>
          <w:b/>
          <w:sz w:val="20"/>
          <w:szCs w:val="20"/>
        </w:rPr>
        <w:t>Eliminations</w:t>
      </w:r>
      <w:r w:rsidR="00FE2213" w:rsidRPr="00340BEE">
        <w:rPr>
          <w:rFonts w:ascii="Arial" w:hAnsi="Arial" w:cs="Arial"/>
          <w:b/>
          <w:sz w:val="20"/>
          <w:szCs w:val="20"/>
        </w:rPr>
        <w:t xml:space="preserve"> of benefits</w:t>
      </w:r>
    </w:p>
    <w:p w14:paraId="5C0FD7BA" w14:textId="77777777" w:rsidR="00BA501C" w:rsidRPr="00340BEE" w:rsidRDefault="00BA501C" w:rsidP="00773CA8">
      <w:pPr>
        <w:pStyle w:val="ListParagraph"/>
        <w:numPr>
          <w:ilvl w:val="0"/>
          <w:numId w:val="14"/>
        </w:numPr>
        <w:rPr>
          <w:rFonts w:ascii="Arial" w:hAnsi="Arial" w:cs="Arial"/>
          <w:sz w:val="20"/>
          <w:szCs w:val="20"/>
        </w:rPr>
      </w:pPr>
      <w:r w:rsidRPr="00340BEE">
        <w:rPr>
          <w:rFonts w:ascii="Arial" w:hAnsi="Arial" w:cs="Arial"/>
          <w:sz w:val="20"/>
          <w:szCs w:val="20"/>
        </w:rPr>
        <w:t xml:space="preserve">Elimination of </w:t>
      </w:r>
      <w:r w:rsidR="00C35B86" w:rsidRPr="00340BEE">
        <w:rPr>
          <w:rFonts w:ascii="Arial" w:hAnsi="Arial" w:cs="Arial"/>
          <w:sz w:val="20"/>
          <w:szCs w:val="20"/>
        </w:rPr>
        <w:t>i</w:t>
      </w:r>
      <w:r w:rsidRPr="00340BEE">
        <w:rPr>
          <w:rFonts w:ascii="Arial" w:hAnsi="Arial" w:cs="Arial"/>
          <w:sz w:val="20"/>
          <w:szCs w:val="20"/>
        </w:rPr>
        <w:t>ncentives are calculated based on the total incentives acts = JD$ 1,307.62</w:t>
      </w:r>
    </w:p>
    <w:p w14:paraId="66D3DDC6" w14:textId="77777777" w:rsidR="00BA501C" w:rsidRPr="00340BEE" w:rsidRDefault="00BA501C" w:rsidP="00773CA8">
      <w:pPr>
        <w:pStyle w:val="ListParagraph"/>
        <w:numPr>
          <w:ilvl w:val="0"/>
          <w:numId w:val="14"/>
        </w:numPr>
        <w:rPr>
          <w:rFonts w:ascii="Arial" w:hAnsi="Arial" w:cs="Arial"/>
          <w:sz w:val="20"/>
          <w:szCs w:val="20"/>
        </w:rPr>
      </w:pPr>
      <w:r w:rsidRPr="00340BEE">
        <w:rPr>
          <w:rFonts w:ascii="Arial" w:hAnsi="Arial" w:cs="Arial"/>
          <w:sz w:val="20"/>
          <w:szCs w:val="20"/>
        </w:rPr>
        <w:t xml:space="preserve">Elimination of </w:t>
      </w:r>
      <w:r w:rsidR="00C35B86" w:rsidRPr="00340BEE">
        <w:rPr>
          <w:rFonts w:ascii="Arial" w:hAnsi="Arial" w:cs="Arial"/>
          <w:sz w:val="20"/>
          <w:szCs w:val="20"/>
        </w:rPr>
        <w:t>d</w:t>
      </w:r>
      <w:r w:rsidRPr="00340BEE">
        <w:rPr>
          <w:rFonts w:ascii="Arial" w:hAnsi="Arial" w:cs="Arial"/>
          <w:sz w:val="20"/>
          <w:szCs w:val="20"/>
        </w:rPr>
        <w:t>iscretionary waivers are calculated based on the total discretionary waivers = JD$3,924.11</w:t>
      </w:r>
    </w:p>
    <w:p w14:paraId="68EFE1A6" w14:textId="77777777" w:rsidR="00841D48" w:rsidRPr="00340BEE" w:rsidRDefault="00E407AB" w:rsidP="00841D48">
      <w:pPr>
        <w:pStyle w:val="ListParagraph"/>
        <w:spacing w:before="120" w:after="120" w:line="240" w:lineRule="auto"/>
        <w:contextualSpacing w:val="0"/>
        <w:jc w:val="center"/>
        <w:rPr>
          <w:rFonts w:ascii="Arial" w:hAnsi="Arial" w:cs="Arial"/>
          <w:b/>
          <w:sz w:val="20"/>
          <w:szCs w:val="20"/>
        </w:rPr>
      </w:pPr>
      <w:r w:rsidRPr="00340BEE">
        <w:rPr>
          <w:rFonts w:ascii="Arial" w:hAnsi="Arial" w:cs="Arial"/>
          <w:b/>
          <w:sz w:val="20"/>
          <w:szCs w:val="20"/>
        </w:rPr>
        <w:t>Impact on</w:t>
      </w:r>
      <w:r w:rsidR="00841D48" w:rsidRPr="00340BEE">
        <w:rPr>
          <w:rFonts w:ascii="Arial" w:hAnsi="Arial" w:cs="Arial"/>
          <w:b/>
          <w:sz w:val="20"/>
          <w:szCs w:val="20"/>
        </w:rPr>
        <w:t xml:space="preserve"> revenue</w:t>
      </w:r>
    </w:p>
    <w:p w14:paraId="55B08CA6" w14:textId="77777777" w:rsidR="00BA501C" w:rsidRPr="00340BEE" w:rsidRDefault="00E843A0" w:rsidP="00773CA8">
      <w:pPr>
        <w:pStyle w:val="ListParagraph"/>
        <w:numPr>
          <w:ilvl w:val="0"/>
          <w:numId w:val="14"/>
        </w:numPr>
        <w:rPr>
          <w:rFonts w:ascii="Arial" w:hAnsi="Arial" w:cs="Arial"/>
          <w:sz w:val="20"/>
          <w:szCs w:val="20"/>
        </w:rPr>
      </w:pPr>
      <w:r w:rsidRPr="00340BEE">
        <w:rPr>
          <w:rFonts w:ascii="Arial" w:hAnsi="Arial" w:cs="Arial"/>
          <w:sz w:val="20"/>
          <w:szCs w:val="20"/>
        </w:rPr>
        <w:t>Total g</w:t>
      </w:r>
      <w:r w:rsidR="00BA501C" w:rsidRPr="00340BEE">
        <w:rPr>
          <w:rFonts w:ascii="Arial" w:hAnsi="Arial" w:cs="Arial"/>
          <w:sz w:val="20"/>
          <w:szCs w:val="20"/>
        </w:rPr>
        <w:t>ross revenue increase is calculated based on the introduction of new incentive law + tariff reforms + SCT and CUF = JD$ 1,532.18 (JD$ 653.81 + JD$ 229.08 + JD$649.29)</w:t>
      </w:r>
    </w:p>
    <w:p w14:paraId="711092FE" w14:textId="77777777" w:rsidR="00BA501C" w:rsidRPr="00340BEE" w:rsidRDefault="00E843A0" w:rsidP="00773CA8">
      <w:pPr>
        <w:pStyle w:val="ListParagraph"/>
        <w:numPr>
          <w:ilvl w:val="0"/>
          <w:numId w:val="14"/>
        </w:numPr>
        <w:rPr>
          <w:rFonts w:ascii="Arial" w:hAnsi="Arial" w:cs="Arial"/>
          <w:sz w:val="20"/>
          <w:szCs w:val="20"/>
        </w:rPr>
      </w:pPr>
      <w:r w:rsidRPr="00340BEE">
        <w:rPr>
          <w:rFonts w:ascii="Arial" w:hAnsi="Arial" w:cs="Arial"/>
          <w:sz w:val="20"/>
          <w:szCs w:val="20"/>
        </w:rPr>
        <w:t xml:space="preserve">Total </w:t>
      </w:r>
      <w:r w:rsidR="000421FC" w:rsidRPr="00340BEE">
        <w:rPr>
          <w:rFonts w:ascii="Arial" w:hAnsi="Arial" w:cs="Arial"/>
          <w:sz w:val="20"/>
          <w:szCs w:val="20"/>
        </w:rPr>
        <w:t>net GCT</w:t>
      </w:r>
      <w:r w:rsidR="00BA501C" w:rsidRPr="00340BEE">
        <w:rPr>
          <w:rFonts w:ascii="Arial" w:hAnsi="Arial" w:cs="Arial"/>
          <w:sz w:val="20"/>
          <w:szCs w:val="20"/>
        </w:rPr>
        <w:t xml:space="preserve"> revenue increase is total of </w:t>
      </w:r>
      <w:r w:rsidR="00C35B86" w:rsidRPr="00340BEE">
        <w:rPr>
          <w:rFonts w:ascii="Arial" w:hAnsi="Arial" w:cs="Arial"/>
          <w:sz w:val="20"/>
          <w:szCs w:val="20"/>
        </w:rPr>
        <w:t>e</w:t>
      </w:r>
      <w:r w:rsidR="00BA501C" w:rsidRPr="00340BEE">
        <w:rPr>
          <w:rFonts w:ascii="Arial" w:hAnsi="Arial" w:cs="Arial"/>
          <w:sz w:val="20"/>
          <w:szCs w:val="20"/>
        </w:rPr>
        <w:t xml:space="preserve">limination of </w:t>
      </w:r>
      <w:r w:rsidR="00C35B86" w:rsidRPr="00340BEE">
        <w:rPr>
          <w:rFonts w:ascii="Arial" w:hAnsi="Arial" w:cs="Arial"/>
          <w:sz w:val="20"/>
          <w:szCs w:val="20"/>
        </w:rPr>
        <w:t>i</w:t>
      </w:r>
      <w:r w:rsidR="00BA501C" w:rsidRPr="00340BEE">
        <w:rPr>
          <w:rFonts w:ascii="Arial" w:hAnsi="Arial" w:cs="Arial"/>
          <w:sz w:val="20"/>
          <w:szCs w:val="20"/>
        </w:rPr>
        <w:t xml:space="preserve">ncentives </w:t>
      </w:r>
      <w:r w:rsidR="00C35B86" w:rsidRPr="00340BEE">
        <w:rPr>
          <w:rFonts w:ascii="Arial" w:hAnsi="Arial" w:cs="Arial"/>
          <w:sz w:val="20"/>
          <w:szCs w:val="20"/>
        </w:rPr>
        <w:t>+</w:t>
      </w:r>
      <w:r w:rsidR="00BA501C" w:rsidRPr="00340BEE">
        <w:rPr>
          <w:rFonts w:ascii="Arial" w:hAnsi="Arial" w:cs="Arial"/>
          <w:sz w:val="20"/>
          <w:szCs w:val="20"/>
        </w:rPr>
        <w:t xml:space="preserve"> </w:t>
      </w:r>
      <w:r w:rsidR="00C35B86" w:rsidRPr="00340BEE">
        <w:rPr>
          <w:rFonts w:ascii="Arial" w:hAnsi="Arial" w:cs="Arial"/>
          <w:sz w:val="20"/>
          <w:szCs w:val="20"/>
        </w:rPr>
        <w:t>elimination of discretionary waivers - gross revenue increase</w:t>
      </w:r>
      <w:r w:rsidR="00BA501C" w:rsidRPr="00340BEE">
        <w:rPr>
          <w:rFonts w:ascii="Arial" w:hAnsi="Arial" w:cs="Arial"/>
          <w:sz w:val="20"/>
          <w:szCs w:val="20"/>
        </w:rPr>
        <w:t xml:space="preserve"> = JD$ 3,699.55 (JD$ 1,307.62 + </w:t>
      </w:r>
      <w:r w:rsidR="00C35B86" w:rsidRPr="00340BEE">
        <w:rPr>
          <w:rFonts w:ascii="Arial" w:hAnsi="Arial" w:cs="Arial"/>
          <w:sz w:val="20"/>
          <w:szCs w:val="20"/>
        </w:rPr>
        <w:t>JD$3,924.11 - JD$ 1,532.18).</w:t>
      </w:r>
    </w:p>
    <w:p w14:paraId="23E4208C" w14:textId="77777777" w:rsidR="00841D48" w:rsidRPr="00340BEE" w:rsidRDefault="00841D48" w:rsidP="00841D48">
      <w:pPr>
        <w:ind w:left="360"/>
        <w:rPr>
          <w:rFonts w:ascii="Arial" w:hAnsi="Arial" w:cs="Arial"/>
          <w:sz w:val="20"/>
          <w:szCs w:val="20"/>
        </w:rPr>
      </w:pPr>
      <w:r w:rsidRPr="00340BEE">
        <w:rPr>
          <w:rFonts w:ascii="Arial" w:hAnsi="Arial" w:cs="Arial"/>
          <w:noProof/>
          <w:sz w:val="20"/>
          <w:szCs w:val="20"/>
          <w:lang w:val="es-ES" w:eastAsia="es-ES"/>
        </w:rPr>
        <w:lastRenderedPageBreak/>
        <w:drawing>
          <wp:inline distT="0" distB="0" distL="0" distR="0" wp14:anchorId="32A379A8" wp14:editId="447F0144">
            <wp:extent cx="5098694" cy="3920490"/>
            <wp:effectExtent l="0" t="0" r="6985" b="381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10440" cy="3929521"/>
                    </a:xfrm>
                    <a:prstGeom prst="rect">
                      <a:avLst/>
                    </a:prstGeom>
                    <a:noFill/>
                    <a:ln>
                      <a:noFill/>
                    </a:ln>
                  </pic:spPr>
                </pic:pic>
              </a:graphicData>
            </a:graphic>
          </wp:inline>
        </w:drawing>
      </w:r>
    </w:p>
    <w:p w14:paraId="01C16185" w14:textId="77777777" w:rsidR="00721DB7" w:rsidRPr="00340BEE" w:rsidRDefault="002C7A5E" w:rsidP="002C7A5E">
      <w:pPr>
        <w:pStyle w:val="ParagraphNumbering"/>
        <w:numPr>
          <w:ilvl w:val="0"/>
          <w:numId w:val="0"/>
        </w:numPr>
        <w:spacing w:before="120"/>
        <w:ind w:left="360" w:hanging="180"/>
        <w:contextualSpacing/>
        <w:jc w:val="center"/>
        <w:rPr>
          <w:rFonts w:ascii="Arial" w:hAnsi="Arial" w:cs="Arial"/>
          <w:b/>
          <w:sz w:val="20"/>
          <w:szCs w:val="20"/>
        </w:rPr>
      </w:pPr>
      <w:r w:rsidRPr="00340BEE">
        <w:rPr>
          <w:rFonts w:ascii="Arial" w:hAnsi="Arial" w:cs="Arial"/>
          <w:b/>
          <w:sz w:val="20"/>
          <w:szCs w:val="20"/>
        </w:rPr>
        <w:t>Customs Tariffs</w:t>
      </w:r>
    </w:p>
    <w:tbl>
      <w:tblPr>
        <w:tblStyle w:val="TableGrid"/>
        <w:tblW w:w="0" w:type="auto"/>
        <w:tblInd w:w="108" w:type="dxa"/>
        <w:tblLook w:val="04A0" w:firstRow="1" w:lastRow="0" w:firstColumn="1" w:lastColumn="0" w:noHBand="0" w:noVBand="1"/>
      </w:tblPr>
      <w:tblGrid>
        <w:gridCol w:w="8748"/>
      </w:tblGrid>
      <w:tr w:rsidR="00721DB7" w:rsidRPr="00340BEE" w14:paraId="54047069" w14:textId="77777777" w:rsidTr="00C07AB7">
        <w:tc>
          <w:tcPr>
            <w:tcW w:w="9540" w:type="dxa"/>
          </w:tcPr>
          <w:p w14:paraId="72C6E9CE" w14:textId="77777777" w:rsidR="00721DB7" w:rsidRPr="00340BEE" w:rsidRDefault="00721DB7" w:rsidP="002C7A5E">
            <w:pPr>
              <w:jc w:val="both"/>
              <w:rPr>
                <w:rFonts w:ascii="Arial" w:hAnsi="Arial" w:cs="Arial"/>
                <w:i/>
                <w:sz w:val="20"/>
                <w:szCs w:val="20"/>
              </w:rPr>
            </w:pPr>
            <w:r w:rsidRPr="00340BEE">
              <w:rPr>
                <w:rFonts w:ascii="Arial" w:hAnsi="Arial" w:cs="Arial"/>
                <w:b/>
                <w:i/>
                <w:sz w:val="20"/>
                <w:szCs w:val="20"/>
              </w:rPr>
              <w:t>Customs Tariffs -</w:t>
            </w:r>
            <w:r w:rsidRPr="00340BEE">
              <w:rPr>
                <w:rFonts w:ascii="Arial" w:hAnsi="Arial" w:cs="Arial"/>
                <w:i/>
                <w:sz w:val="20"/>
                <w:szCs w:val="20"/>
              </w:rPr>
              <w:t xml:space="preserve"> By adjusting annually the tax base according to the variation of the GDP and the exchange rate, introducing in Customs Tariffs: (i) a new tariff structure, (ii) eliminating the discretionary waivers (direct and indirect effects on GCT) and the incentive waivers</w:t>
            </w:r>
            <w:r w:rsidR="00FE2213" w:rsidRPr="00340BEE">
              <w:rPr>
                <w:rFonts w:ascii="Arial" w:hAnsi="Arial" w:cs="Arial"/>
                <w:i/>
                <w:sz w:val="20"/>
                <w:szCs w:val="20"/>
              </w:rPr>
              <w:t>,</w:t>
            </w:r>
            <w:r w:rsidRPr="00340BEE">
              <w:rPr>
                <w:rFonts w:ascii="Arial" w:hAnsi="Arial" w:cs="Arial"/>
                <w:i/>
                <w:sz w:val="20"/>
                <w:szCs w:val="20"/>
              </w:rPr>
              <w:t xml:space="preserve"> will generate a decrease in revenue collection of JD$ </w:t>
            </w:r>
            <w:r w:rsidR="002C7A5E" w:rsidRPr="00340BEE">
              <w:rPr>
                <w:rFonts w:ascii="Arial" w:hAnsi="Arial" w:cs="Arial"/>
                <w:i/>
                <w:sz w:val="20"/>
                <w:szCs w:val="20"/>
              </w:rPr>
              <w:t>431.13</w:t>
            </w:r>
            <w:r w:rsidRPr="00340BEE">
              <w:rPr>
                <w:rFonts w:ascii="Arial" w:hAnsi="Arial" w:cs="Arial"/>
                <w:i/>
                <w:sz w:val="20"/>
                <w:szCs w:val="20"/>
              </w:rPr>
              <w:t xml:space="preserve"> million.  </w:t>
            </w:r>
          </w:p>
        </w:tc>
      </w:tr>
    </w:tbl>
    <w:p w14:paraId="49593E31" w14:textId="77777777" w:rsidR="002C7A5E" w:rsidRPr="00340BEE" w:rsidRDefault="002C7A5E" w:rsidP="002C7A5E">
      <w:pPr>
        <w:pStyle w:val="ListParagraph"/>
        <w:spacing w:after="0" w:line="240" w:lineRule="auto"/>
        <w:ind w:left="1166"/>
        <w:jc w:val="both"/>
        <w:rPr>
          <w:rFonts w:ascii="Arial" w:hAnsi="Arial" w:cs="Arial"/>
          <w:sz w:val="20"/>
          <w:szCs w:val="20"/>
        </w:rPr>
      </w:pPr>
    </w:p>
    <w:p w14:paraId="7FB3B3AA" w14:textId="77777777" w:rsidR="002C7A5E" w:rsidRPr="00340BEE" w:rsidRDefault="000421FC" w:rsidP="002C7A5E">
      <w:pPr>
        <w:spacing w:after="0" w:line="240" w:lineRule="auto"/>
        <w:ind w:left="720"/>
        <w:jc w:val="center"/>
        <w:rPr>
          <w:rFonts w:ascii="Arial" w:hAnsi="Arial" w:cs="Arial"/>
          <w:b/>
          <w:sz w:val="20"/>
          <w:szCs w:val="20"/>
        </w:rPr>
      </w:pPr>
      <w:r w:rsidRPr="00340BEE">
        <w:rPr>
          <w:rFonts w:ascii="Arial" w:hAnsi="Arial" w:cs="Arial"/>
          <w:b/>
          <w:sz w:val="20"/>
          <w:szCs w:val="20"/>
        </w:rPr>
        <w:t xml:space="preserve">Rules and </w:t>
      </w:r>
      <w:r w:rsidR="002C7A5E" w:rsidRPr="00340BEE">
        <w:rPr>
          <w:rFonts w:ascii="Arial" w:hAnsi="Arial" w:cs="Arial"/>
          <w:b/>
          <w:sz w:val="20"/>
          <w:szCs w:val="20"/>
        </w:rPr>
        <w:t>Calculation</w:t>
      </w:r>
    </w:p>
    <w:p w14:paraId="2C00871B" w14:textId="23A6A58C" w:rsidR="002C7A5E" w:rsidRPr="00340BEE" w:rsidRDefault="002C7A5E" w:rsidP="00340BEE">
      <w:pPr>
        <w:pStyle w:val="Paragraph"/>
        <w:rPr>
          <w:rFonts w:ascii="Arial" w:hAnsi="Arial" w:cs="Arial"/>
          <w:b/>
          <w:sz w:val="20"/>
        </w:rPr>
      </w:pPr>
      <w:r w:rsidRPr="00340BEE">
        <w:rPr>
          <w:rFonts w:ascii="Arial" w:hAnsi="Arial" w:cs="Arial"/>
          <w:sz w:val="20"/>
        </w:rPr>
        <w:t xml:space="preserve">According to Table 6, all 2011 tax expenditure information was collected from the document </w:t>
      </w:r>
      <w:hyperlink r:id="rId24" w:history="1">
        <w:r w:rsidRPr="00340BEE">
          <w:rPr>
            <w:rStyle w:val="Hyperlink"/>
            <w:rFonts w:ascii="Arial" w:hAnsi="Arial" w:cs="Arial"/>
            <w:sz w:val="20"/>
          </w:rPr>
          <w:t>Tax Expenditures Estimates 2009 - 2011</w:t>
        </w:r>
      </w:hyperlink>
      <w:r w:rsidRPr="00340BEE">
        <w:rPr>
          <w:rFonts w:ascii="Arial" w:hAnsi="Arial" w:cs="Arial"/>
          <w:sz w:val="20"/>
        </w:rPr>
        <w:t>.</w:t>
      </w:r>
      <w:r w:rsidR="00B9267D" w:rsidRPr="00340BEE">
        <w:rPr>
          <w:rFonts w:ascii="Arial" w:hAnsi="Arial" w:cs="Arial"/>
          <w:sz w:val="20"/>
        </w:rPr>
        <w:t xml:space="preserve"> </w:t>
      </w:r>
      <w:r w:rsidR="00C267EC" w:rsidRPr="00340BEE">
        <w:rPr>
          <w:rFonts w:ascii="Arial" w:hAnsi="Arial" w:cs="Arial"/>
          <w:sz w:val="20"/>
        </w:rPr>
        <w:t>(See also table Summary in the excel calculation)</w:t>
      </w:r>
      <w:r w:rsidR="00340BEE">
        <w:rPr>
          <w:rFonts w:ascii="Arial" w:hAnsi="Arial" w:cs="Arial"/>
          <w:sz w:val="20"/>
        </w:rPr>
        <w:t>.</w:t>
      </w:r>
    </w:p>
    <w:p w14:paraId="2B4BE483" w14:textId="77777777" w:rsidR="004B7C01" w:rsidRPr="00340BEE" w:rsidRDefault="003E1B88" w:rsidP="00B9267D">
      <w:pPr>
        <w:pStyle w:val="ListParagraph"/>
        <w:spacing w:before="120" w:after="120" w:line="240" w:lineRule="auto"/>
        <w:ind w:left="1020"/>
        <w:contextualSpacing w:val="0"/>
        <w:jc w:val="center"/>
        <w:rPr>
          <w:rFonts w:ascii="Arial" w:hAnsi="Arial" w:cs="Arial"/>
          <w:b/>
          <w:sz w:val="20"/>
          <w:szCs w:val="20"/>
        </w:rPr>
      </w:pPr>
      <w:r w:rsidRPr="00340BEE">
        <w:rPr>
          <w:rFonts w:ascii="Arial" w:hAnsi="Arial" w:cs="Arial"/>
          <w:b/>
          <w:sz w:val="20"/>
          <w:szCs w:val="20"/>
        </w:rPr>
        <w:t>Impact on revenue</w:t>
      </w:r>
    </w:p>
    <w:p w14:paraId="198A36EE" w14:textId="77777777" w:rsidR="002C7A5E" w:rsidRPr="00340BEE" w:rsidRDefault="004B7C01" w:rsidP="00773CA8">
      <w:pPr>
        <w:pStyle w:val="ListParagraph"/>
        <w:numPr>
          <w:ilvl w:val="0"/>
          <w:numId w:val="15"/>
        </w:numPr>
        <w:spacing w:before="120" w:after="120" w:line="240" w:lineRule="auto"/>
        <w:contextualSpacing w:val="0"/>
        <w:jc w:val="both"/>
        <w:rPr>
          <w:rFonts w:ascii="Arial" w:hAnsi="Arial" w:cs="Arial"/>
          <w:sz w:val="20"/>
          <w:szCs w:val="20"/>
        </w:rPr>
      </w:pPr>
      <w:r w:rsidRPr="00340BEE">
        <w:rPr>
          <w:rFonts w:ascii="Arial" w:hAnsi="Arial" w:cs="Arial"/>
          <w:sz w:val="20"/>
          <w:szCs w:val="20"/>
        </w:rPr>
        <w:t>The direct effect is c</w:t>
      </w:r>
      <w:r w:rsidR="002335F6" w:rsidRPr="00340BEE">
        <w:rPr>
          <w:rFonts w:ascii="Arial" w:hAnsi="Arial" w:cs="Arial"/>
          <w:sz w:val="20"/>
          <w:szCs w:val="20"/>
        </w:rPr>
        <w:t xml:space="preserve">alculated based on the </w:t>
      </w:r>
      <w:r w:rsidR="003E1B88" w:rsidRPr="00340BEE">
        <w:rPr>
          <w:rFonts w:ascii="Arial" w:hAnsi="Arial" w:cs="Arial"/>
          <w:sz w:val="20"/>
          <w:szCs w:val="20"/>
        </w:rPr>
        <w:t>impact</w:t>
      </w:r>
      <w:r w:rsidRPr="00340BEE">
        <w:rPr>
          <w:rFonts w:ascii="Arial" w:hAnsi="Arial" w:cs="Arial"/>
          <w:sz w:val="20"/>
          <w:szCs w:val="20"/>
        </w:rPr>
        <w:t xml:space="preserve"> in </w:t>
      </w:r>
      <w:r w:rsidR="002335F6" w:rsidRPr="00340BEE">
        <w:rPr>
          <w:rFonts w:ascii="Arial" w:hAnsi="Arial" w:cs="Arial"/>
          <w:sz w:val="20"/>
          <w:szCs w:val="20"/>
        </w:rPr>
        <w:t xml:space="preserve">the </w:t>
      </w:r>
      <w:r w:rsidRPr="00340BEE">
        <w:rPr>
          <w:rFonts w:ascii="Arial" w:hAnsi="Arial" w:cs="Arial"/>
          <w:sz w:val="20"/>
          <w:szCs w:val="20"/>
        </w:rPr>
        <w:t>tariff structure + discretionary waivers + incentives waivers = JD$1,291.50 (JD$ 544.53 + JD$ 646.17 + JD$ 100.80)</w:t>
      </w:r>
    </w:p>
    <w:p w14:paraId="666A0AEC" w14:textId="77777777" w:rsidR="004B7C01" w:rsidRPr="00340BEE" w:rsidRDefault="004B7C01" w:rsidP="00773CA8">
      <w:pPr>
        <w:pStyle w:val="ListParagraph"/>
        <w:numPr>
          <w:ilvl w:val="0"/>
          <w:numId w:val="15"/>
        </w:numPr>
        <w:spacing w:before="120" w:after="120" w:line="240" w:lineRule="auto"/>
        <w:contextualSpacing w:val="0"/>
        <w:jc w:val="both"/>
        <w:rPr>
          <w:rFonts w:ascii="Arial" w:hAnsi="Arial" w:cs="Arial"/>
          <w:sz w:val="20"/>
          <w:szCs w:val="20"/>
        </w:rPr>
      </w:pPr>
      <w:r w:rsidRPr="00340BEE">
        <w:rPr>
          <w:rFonts w:ascii="Arial" w:hAnsi="Arial" w:cs="Arial"/>
          <w:sz w:val="20"/>
          <w:szCs w:val="20"/>
        </w:rPr>
        <w:t>The increase in GCT tax is c</w:t>
      </w:r>
      <w:r w:rsidR="002335F6" w:rsidRPr="00340BEE">
        <w:rPr>
          <w:rFonts w:ascii="Arial" w:hAnsi="Arial" w:cs="Arial"/>
          <w:sz w:val="20"/>
          <w:szCs w:val="20"/>
        </w:rPr>
        <w:t xml:space="preserve">alculated based on the </w:t>
      </w:r>
      <w:r w:rsidR="003E1B88" w:rsidRPr="00340BEE">
        <w:rPr>
          <w:rFonts w:ascii="Arial" w:hAnsi="Arial" w:cs="Arial"/>
          <w:sz w:val="20"/>
          <w:szCs w:val="20"/>
        </w:rPr>
        <w:t>impact</w:t>
      </w:r>
      <w:r w:rsidR="002335F6" w:rsidRPr="00340BEE">
        <w:rPr>
          <w:rFonts w:ascii="Arial" w:hAnsi="Arial" w:cs="Arial"/>
          <w:sz w:val="20"/>
          <w:szCs w:val="20"/>
        </w:rPr>
        <w:t xml:space="preserve"> </w:t>
      </w:r>
      <w:r w:rsidRPr="00340BEE">
        <w:rPr>
          <w:rFonts w:ascii="Arial" w:hAnsi="Arial" w:cs="Arial"/>
          <w:sz w:val="20"/>
          <w:szCs w:val="20"/>
        </w:rPr>
        <w:t xml:space="preserve">in </w:t>
      </w:r>
      <w:r w:rsidR="002335F6" w:rsidRPr="00340BEE">
        <w:rPr>
          <w:rFonts w:ascii="Arial" w:hAnsi="Arial" w:cs="Arial"/>
          <w:sz w:val="20"/>
          <w:szCs w:val="20"/>
        </w:rPr>
        <w:t xml:space="preserve">the </w:t>
      </w:r>
      <w:r w:rsidRPr="00340BEE">
        <w:rPr>
          <w:rFonts w:ascii="Arial" w:hAnsi="Arial" w:cs="Arial"/>
          <w:sz w:val="20"/>
          <w:szCs w:val="20"/>
        </w:rPr>
        <w:t>tariff structure + discretionary waivers + incentives waivers = JD$ 229.08 (JD$ 3.70 + JD$ 223.58 + JD$ 1.80)</w:t>
      </w:r>
    </w:p>
    <w:p w14:paraId="0D31DDFF" w14:textId="77777777" w:rsidR="00B9267D" w:rsidRPr="00340BEE" w:rsidRDefault="00B9267D" w:rsidP="00773CA8">
      <w:pPr>
        <w:pStyle w:val="ListParagraph"/>
        <w:numPr>
          <w:ilvl w:val="0"/>
          <w:numId w:val="15"/>
        </w:numPr>
        <w:spacing w:before="120" w:after="120" w:line="240" w:lineRule="auto"/>
        <w:contextualSpacing w:val="0"/>
        <w:jc w:val="both"/>
        <w:rPr>
          <w:rFonts w:ascii="Arial" w:hAnsi="Arial" w:cs="Arial"/>
          <w:sz w:val="20"/>
          <w:szCs w:val="20"/>
        </w:rPr>
      </w:pPr>
      <w:r w:rsidRPr="00340BEE">
        <w:rPr>
          <w:rFonts w:ascii="Arial" w:hAnsi="Arial" w:cs="Arial"/>
          <w:sz w:val="20"/>
          <w:szCs w:val="20"/>
        </w:rPr>
        <w:t xml:space="preserve">The </w:t>
      </w:r>
      <w:r w:rsidR="003E1B88" w:rsidRPr="00340BEE">
        <w:rPr>
          <w:rFonts w:ascii="Arial" w:hAnsi="Arial" w:cs="Arial"/>
          <w:sz w:val="20"/>
          <w:szCs w:val="20"/>
        </w:rPr>
        <w:t>gross</w:t>
      </w:r>
      <w:r w:rsidRPr="00340BEE">
        <w:rPr>
          <w:rFonts w:ascii="Arial" w:hAnsi="Arial" w:cs="Arial"/>
          <w:sz w:val="20"/>
          <w:szCs w:val="20"/>
        </w:rPr>
        <w:t xml:space="preserve"> </w:t>
      </w:r>
      <w:r w:rsidR="003E1B88" w:rsidRPr="00340BEE">
        <w:rPr>
          <w:rFonts w:ascii="Arial" w:hAnsi="Arial" w:cs="Arial"/>
          <w:sz w:val="20"/>
          <w:szCs w:val="20"/>
        </w:rPr>
        <w:t xml:space="preserve">impact </w:t>
      </w:r>
      <w:r w:rsidRPr="00340BEE">
        <w:rPr>
          <w:rFonts w:ascii="Arial" w:hAnsi="Arial" w:cs="Arial"/>
          <w:sz w:val="20"/>
          <w:szCs w:val="20"/>
        </w:rPr>
        <w:t>is the sum of direct effect + increase in GCT tax = JD$ 1,520.58 (JD$1,291.50 + JD$ 229.08)</w:t>
      </w:r>
    </w:p>
    <w:p w14:paraId="4D1E4672" w14:textId="77777777" w:rsidR="004B7C01" w:rsidRPr="00340BEE" w:rsidRDefault="00E407AB" w:rsidP="00B9267D">
      <w:pPr>
        <w:pStyle w:val="ListParagraph"/>
        <w:spacing w:before="120" w:after="120" w:line="240" w:lineRule="auto"/>
        <w:ind w:left="1020"/>
        <w:contextualSpacing w:val="0"/>
        <w:jc w:val="center"/>
        <w:rPr>
          <w:rFonts w:ascii="Arial" w:hAnsi="Arial" w:cs="Arial"/>
          <w:b/>
          <w:sz w:val="20"/>
          <w:szCs w:val="20"/>
        </w:rPr>
      </w:pPr>
      <w:r w:rsidRPr="00340BEE">
        <w:rPr>
          <w:rFonts w:ascii="Arial" w:hAnsi="Arial" w:cs="Arial"/>
          <w:b/>
          <w:sz w:val="20"/>
          <w:szCs w:val="20"/>
        </w:rPr>
        <w:t xml:space="preserve">Tax </w:t>
      </w:r>
      <w:r w:rsidR="004B7C01" w:rsidRPr="00340BEE">
        <w:rPr>
          <w:rFonts w:ascii="Arial" w:hAnsi="Arial" w:cs="Arial"/>
          <w:b/>
          <w:sz w:val="20"/>
          <w:szCs w:val="20"/>
        </w:rPr>
        <w:t>Incentives</w:t>
      </w:r>
    </w:p>
    <w:p w14:paraId="1D814FD8" w14:textId="77777777" w:rsidR="00B9267D" w:rsidRPr="00340BEE" w:rsidRDefault="00B9267D" w:rsidP="00773CA8">
      <w:pPr>
        <w:pStyle w:val="ListParagraph"/>
        <w:numPr>
          <w:ilvl w:val="0"/>
          <w:numId w:val="15"/>
        </w:numPr>
        <w:spacing w:before="120" w:after="120" w:line="240" w:lineRule="auto"/>
        <w:contextualSpacing w:val="0"/>
        <w:jc w:val="both"/>
        <w:rPr>
          <w:rFonts w:ascii="Arial" w:hAnsi="Arial" w:cs="Arial"/>
          <w:sz w:val="20"/>
          <w:szCs w:val="20"/>
        </w:rPr>
      </w:pPr>
      <w:r w:rsidRPr="00340BEE">
        <w:rPr>
          <w:rFonts w:ascii="Arial" w:hAnsi="Arial" w:cs="Arial"/>
          <w:sz w:val="20"/>
          <w:szCs w:val="20"/>
        </w:rPr>
        <w:t>Import duties incentives is the incentives from the new tax incentive law on import duties = JD$ 1,951.71.</w:t>
      </w:r>
    </w:p>
    <w:p w14:paraId="04E0CF70" w14:textId="77777777" w:rsidR="004B7C01" w:rsidRPr="00340BEE" w:rsidRDefault="00E407AB" w:rsidP="003E1B88">
      <w:pPr>
        <w:pStyle w:val="ListParagraph"/>
        <w:keepNext/>
        <w:spacing w:before="120" w:after="120" w:line="240" w:lineRule="auto"/>
        <w:ind w:left="1022"/>
        <w:contextualSpacing w:val="0"/>
        <w:jc w:val="center"/>
        <w:rPr>
          <w:rFonts w:ascii="Arial" w:hAnsi="Arial" w:cs="Arial"/>
          <w:b/>
          <w:i/>
          <w:sz w:val="20"/>
          <w:szCs w:val="20"/>
        </w:rPr>
      </w:pPr>
      <w:r w:rsidRPr="00340BEE">
        <w:rPr>
          <w:rFonts w:ascii="Arial" w:hAnsi="Arial" w:cs="Arial"/>
          <w:b/>
          <w:i/>
          <w:sz w:val="20"/>
          <w:szCs w:val="20"/>
        </w:rPr>
        <w:lastRenderedPageBreak/>
        <w:t>Impact on</w:t>
      </w:r>
      <w:r w:rsidR="003E1B88" w:rsidRPr="00340BEE">
        <w:rPr>
          <w:rFonts w:ascii="Arial" w:hAnsi="Arial" w:cs="Arial"/>
          <w:b/>
          <w:i/>
          <w:sz w:val="20"/>
          <w:szCs w:val="20"/>
        </w:rPr>
        <w:t xml:space="preserve"> </w:t>
      </w:r>
      <w:r w:rsidR="00B9267D" w:rsidRPr="00340BEE">
        <w:rPr>
          <w:rFonts w:ascii="Arial" w:hAnsi="Arial" w:cs="Arial"/>
          <w:b/>
          <w:i/>
          <w:sz w:val="20"/>
          <w:szCs w:val="20"/>
        </w:rPr>
        <w:t xml:space="preserve">revenue </w:t>
      </w:r>
    </w:p>
    <w:p w14:paraId="3F82B77B" w14:textId="77777777" w:rsidR="00721DB7" w:rsidRPr="00340BEE" w:rsidRDefault="00B9267D" w:rsidP="00773CA8">
      <w:pPr>
        <w:pStyle w:val="ListParagraph"/>
        <w:numPr>
          <w:ilvl w:val="0"/>
          <w:numId w:val="15"/>
        </w:numPr>
        <w:spacing w:before="120" w:after="120" w:line="240" w:lineRule="auto"/>
        <w:contextualSpacing w:val="0"/>
        <w:jc w:val="both"/>
        <w:rPr>
          <w:rFonts w:ascii="Arial" w:hAnsi="Arial" w:cs="Arial"/>
          <w:sz w:val="20"/>
          <w:szCs w:val="20"/>
        </w:rPr>
      </w:pPr>
      <w:r w:rsidRPr="00340BEE">
        <w:rPr>
          <w:rFonts w:ascii="Arial" w:hAnsi="Arial" w:cs="Arial"/>
          <w:sz w:val="20"/>
          <w:szCs w:val="20"/>
        </w:rPr>
        <w:t xml:space="preserve">Total </w:t>
      </w:r>
      <w:r w:rsidR="003E1B88" w:rsidRPr="00340BEE">
        <w:rPr>
          <w:rFonts w:ascii="Arial" w:hAnsi="Arial" w:cs="Arial"/>
          <w:sz w:val="20"/>
          <w:szCs w:val="20"/>
        </w:rPr>
        <w:t xml:space="preserve">net </w:t>
      </w:r>
      <w:r w:rsidRPr="00340BEE">
        <w:rPr>
          <w:rFonts w:ascii="Arial" w:hAnsi="Arial" w:cs="Arial"/>
          <w:sz w:val="20"/>
          <w:szCs w:val="20"/>
        </w:rPr>
        <w:t>rev</w:t>
      </w:r>
      <w:r w:rsidR="003E1B88" w:rsidRPr="00340BEE">
        <w:rPr>
          <w:rFonts w:ascii="Arial" w:hAnsi="Arial" w:cs="Arial"/>
          <w:sz w:val="20"/>
          <w:szCs w:val="20"/>
        </w:rPr>
        <w:t>en</w:t>
      </w:r>
      <w:r w:rsidRPr="00340BEE">
        <w:rPr>
          <w:rFonts w:ascii="Arial" w:hAnsi="Arial" w:cs="Arial"/>
          <w:sz w:val="20"/>
          <w:szCs w:val="20"/>
        </w:rPr>
        <w:t xml:space="preserve">ue is the difference between the </w:t>
      </w:r>
      <w:r w:rsidR="003E1B88" w:rsidRPr="00340BEE">
        <w:rPr>
          <w:rFonts w:ascii="Arial" w:hAnsi="Arial" w:cs="Arial"/>
          <w:sz w:val="20"/>
          <w:szCs w:val="20"/>
        </w:rPr>
        <w:t>gross impact</w:t>
      </w:r>
      <w:r w:rsidRPr="00340BEE">
        <w:rPr>
          <w:rFonts w:ascii="Arial" w:hAnsi="Arial" w:cs="Arial"/>
          <w:sz w:val="20"/>
          <w:szCs w:val="20"/>
        </w:rPr>
        <w:t xml:space="preserve"> – incentives = -JD$ 431.13 (1,520.58 - JD$ 1,951.71.)</w:t>
      </w:r>
    </w:p>
    <w:p w14:paraId="14C5C194" w14:textId="77777777" w:rsidR="00721DB7" w:rsidRPr="00340BEE" w:rsidRDefault="007B02B9" w:rsidP="005B32DF">
      <w:pPr>
        <w:ind w:left="540"/>
        <w:rPr>
          <w:rFonts w:ascii="Arial" w:hAnsi="Arial" w:cs="Arial"/>
          <w:sz w:val="20"/>
          <w:szCs w:val="20"/>
        </w:rPr>
      </w:pPr>
      <w:r w:rsidRPr="00340BEE">
        <w:rPr>
          <w:rFonts w:ascii="Arial" w:hAnsi="Arial" w:cs="Arial"/>
          <w:noProof/>
          <w:sz w:val="20"/>
          <w:szCs w:val="20"/>
          <w:lang w:val="es-ES" w:eastAsia="es-ES"/>
        </w:rPr>
        <w:drawing>
          <wp:inline distT="0" distB="0" distL="0" distR="0" wp14:anchorId="5760625F" wp14:editId="27AABA18">
            <wp:extent cx="5654675" cy="2267712"/>
            <wp:effectExtent l="0" t="0" r="3175"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56565" cy="2268470"/>
                    </a:xfrm>
                    <a:prstGeom prst="rect">
                      <a:avLst/>
                    </a:prstGeom>
                    <a:noFill/>
                    <a:ln>
                      <a:noFill/>
                    </a:ln>
                  </pic:spPr>
                </pic:pic>
              </a:graphicData>
            </a:graphic>
          </wp:inline>
        </w:drawing>
      </w:r>
    </w:p>
    <w:p w14:paraId="01A000B8" w14:textId="77777777" w:rsidR="00C267EC" w:rsidRPr="00340BEE" w:rsidRDefault="00C267EC" w:rsidP="00C267EC">
      <w:pPr>
        <w:jc w:val="center"/>
        <w:rPr>
          <w:rFonts w:ascii="Arial" w:hAnsi="Arial" w:cs="Arial"/>
          <w:b/>
          <w:sz w:val="20"/>
          <w:szCs w:val="20"/>
        </w:rPr>
      </w:pPr>
    </w:p>
    <w:p w14:paraId="72483DED" w14:textId="77777777" w:rsidR="00C267EC" w:rsidRPr="00340BEE" w:rsidRDefault="00C267EC" w:rsidP="00C267EC">
      <w:pPr>
        <w:jc w:val="center"/>
        <w:rPr>
          <w:rFonts w:ascii="Arial" w:hAnsi="Arial" w:cs="Arial"/>
          <w:b/>
          <w:sz w:val="20"/>
          <w:szCs w:val="20"/>
        </w:rPr>
      </w:pPr>
      <w:r w:rsidRPr="00340BEE">
        <w:rPr>
          <w:rFonts w:ascii="Arial" w:hAnsi="Arial" w:cs="Arial"/>
          <w:b/>
          <w:sz w:val="20"/>
          <w:szCs w:val="20"/>
        </w:rPr>
        <w:t>SCT Reform Impact</w:t>
      </w:r>
    </w:p>
    <w:tbl>
      <w:tblPr>
        <w:tblStyle w:val="TableGrid"/>
        <w:tblW w:w="0" w:type="auto"/>
        <w:tblLook w:val="04A0" w:firstRow="1" w:lastRow="0" w:firstColumn="1" w:lastColumn="0" w:noHBand="0" w:noVBand="1"/>
      </w:tblPr>
      <w:tblGrid>
        <w:gridCol w:w="8856"/>
      </w:tblGrid>
      <w:tr w:rsidR="00646CCC" w:rsidRPr="00340BEE" w14:paraId="3EDE050B" w14:textId="77777777" w:rsidTr="00646CCC">
        <w:tc>
          <w:tcPr>
            <w:tcW w:w="9756" w:type="dxa"/>
          </w:tcPr>
          <w:p w14:paraId="587C97F2" w14:textId="77777777" w:rsidR="00646CCC" w:rsidRPr="00340BEE" w:rsidRDefault="0087080A" w:rsidP="00D44CCF">
            <w:pPr>
              <w:rPr>
                <w:rFonts w:ascii="Arial" w:hAnsi="Arial" w:cs="Arial"/>
                <w:i/>
                <w:sz w:val="20"/>
                <w:szCs w:val="20"/>
              </w:rPr>
            </w:pPr>
            <w:r w:rsidRPr="00340BEE">
              <w:rPr>
                <w:rFonts w:ascii="Arial" w:hAnsi="Arial" w:cs="Arial"/>
                <w:b/>
                <w:i/>
                <w:sz w:val="20"/>
                <w:szCs w:val="20"/>
              </w:rPr>
              <w:t xml:space="preserve">Special </w:t>
            </w:r>
            <w:r w:rsidR="00D44CCF" w:rsidRPr="00340BEE">
              <w:rPr>
                <w:rFonts w:ascii="Arial" w:hAnsi="Arial" w:cs="Arial"/>
                <w:b/>
                <w:i/>
                <w:sz w:val="20"/>
                <w:szCs w:val="20"/>
              </w:rPr>
              <w:t>Consumption</w:t>
            </w:r>
            <w:r w:rsidRPr="00340BEE">
              <w:rPr>
                <w:rFonts w:ascii="Arial" w:hAnsi="Arial" w:cs="Arial"/>
                <w:b/>
                <w:i/>
                <w:sz w:val="20"/>
                <w:szCs w:val="20"/>
              </w:rPr>
              <w:t xml:space="preserve"> Tax (SCT) - </w:t>
            </w:r>
            <w:r w:rsidR="0021317C" w:rsidRPr="00340BEE">
              <w:rPr>
                <w:rFonts w:ascii="Arial" w:hAnsi="Arial" w:cs="Arial"/>
                <w:b/>
                <w:i/>
                <w:sz w:val="20"/>
                <w:szCs w:val="20"/>
              </w:rPr>
              <w:t xml:space="preserve"> </w:t>
            </w:r>
            <w:r w:rsidRPr="00340BEE">
              <w:rPr>
                <w:rFonts w:ascii="Arial" w:hAnsi="Arial" w:cs="Arial"/>
                <w:i/>
                <w:sz w:val="20"/>
                <w:szCs w:val="20"/>
              </w:rPr>
              <w:t>By adjusting annually the tax base according to the variation of the GDP and the exchange rate, eliminating SCT incentive tax expenditure (Ad Valorem) and discretionary waivers (Specific), will generate a SC</w:t>
            </w:r>
            <w:r w:rsidR="004C1AF3" w:rsidRPr="00340BEE">
              <w:rPr>
                <w:rFonts w:ascii="Arial" w:hAnsi="Arial" w:cs="Arial"/>
                <w:i/>
                <w:sz w:val="20"/>
                <w:szCs w:val="20"/>
              </w:rPr>
              <w:t>T net revenue increase of JD$ 1,493.</w:t>
            </w:r>
            <w:r w:rsidRPr="00340BEE">
              <w:rPr>
                <w:rFonts w:ascii="Arial" w:hAnsi="Arial" w:cs="Arial"/>
                <w:i/>
                <w:sz w:val="20"/>
                <w:szCs w:val="20"/>
              </w:rPr>
              <w:t>02 million.</w:t>
            </w:r>
          </w:p>
        </w:tc>
      </w:tr>
    </w:tbl>
    <w:p w14:paraId="66744093" w14:textId="77777777" w:rsidR="00646CCC" w:rsidRPr="00340BEE" w:rsidRDefault="00C267EC" w:rsidP="00340BEE">
      <w:pPr>
        <w:pStyle w:val="Paragraph"/>
        <w:rPr>
          <w:rFonts w:ascii="Arial" w:hAnsi="Arial" w:cs="Arial"/>
          <w:b/>
          <w:sz w:val="20"/>
        </w:rPr>
      </w:pPr>
      <w:r w:rsidRPr="00340BEE">
        <w:rPr>
          <w:rFonts w:ascii="Arial" w:hAnsi="Arial" w:cs="Arial"/>
          <w:sz w:val="20"/>
        </w:rPr>
        <w:t xml:space="preserve">According to Table 6, all 2011 tax expenditure information was collected from the document </w:t>
      </w:r>
      <w:hyperlink r:id="rId26" w:history="1">
        <w:r w:rsidRPr="00340BEE">
          <w:rPr>
            <w:rStyle w:val="Hyperlink"/>
            <w:rFonts w:ascii="Arial" w:hAnsi="Arial" w:cs="Arial"/>
            <w:sz w:val="20"/>
          </w:rPr>
          <w:t>Tax Expenditures Estimates 2009 - 2011</w:t>
        </w:r>
      </w:hyperlink>
      <w:r w:rsidRPr="00340BEE">
        <w:rPr>
          <w:rFonts w:ascii="Arial" w:hAnsi="Arial" w:cs="Arial"/>
          <w:sz w:val="20"/>
        </w:rPr>
        <w:t>.</w:t>
      </w:r>
    </w:p>
    <w:p w14:paraId="14DE2F7B" w14:textId="77777777" w:rsidR="00C267EC" w:rsidRPr="00340BEE" w:rsidRDefault="00E407AB" w:rsidP="00BD3EC8">
      <w:pPr>
        <w:pStyle w:val="ListParagraph"/>
        <w:spacing w:before="120" w:after="120" w:line="240" w:lineRule="auto"/>
        <w:contextualSpacing w:val="0"/>
        <w:jc w:val="center"/>
        <w:rPr>
          <w:rFonts w:ascii="Arial" w:hAnsi="Arial" w:cs="Arial"/>
          <w:b/>
          <w:sz w:val="20"/>
          <w:szCs w:val="20"/>
        </w:rPr>
      </w:pPr>
      <w:r w:rsidRPr="00340BEE">
        <w:rPr>
          <w:rFonts w:ascii="Arial" w:hAnsi="Arial" w:cs="Arial"/>
          <w:b/>
          <w:sz w:val="20"/>
          <w:szCs w:val="20"/>
        </w:rPr>
        <w:t xml:space="preserve">Tax </w:t>
      </w:r>
      <w:r w:rsidR="00887DC4" w:rsidRPr="00340BEE">
        <w:rPr>
          <w:rFonts w:ascii="Arial" w:hAnsi="Arial" w:cs="Arial"/>
          <w:b/>
          <w:sz w:val="20"/>
          <w:szCs w:val="20"/>
        </w:rPr>
        <w:t>Incentives</w:t>
      </w:r>
    </w:p>
    <w:p w14:paraId="2AD040A0" w14:textId="77777777" w:rsidR="00C267EC" w:rsidRPr="00340BEE" w:rsidRDefault="00887DC4" w:rsidP="00773CA8">
      <w:pPr>
        <w:pStyle w:val="ListParagraph"/>
        <w:numPr>
          <w:ilvl w:val="0"/>
          <w:numId w:val="16"/>
        </w:numPr>
        <w:spacing w:before="120" w:after="120" w:line="240" w:lineRule="auto"/>
        <w:contextualSpacing w:val="0"/>
        <w:jc w:val="both"/>
        <w:rPr>
          <w:rFonts w:ascii="Arial" w:hAnsi="Arial" w:cs="Arial"/>
          <w:sz w:val="20"/>
          <w:szCs w:val="20"/>
        </w:rPr>
      </w:pPr>
      <w:r w:rsidRPr="00340BEE">
        <w:rPr>
          <w:rFonts w:ascii="Arial" w:hAnsi="Arial" w:cs="Arial"/>
          <w:sz w:val="20"/>
          <w:szCs w:val="20"/>
        </w:rPr>
        <w:t>The total of incentives is calculated based on the total of SCT incentives + GCT incentives = JD$ 1,914.18 (JD$ 1,643.07 + JD$ 271.11).</w:t>
      </w:r>
    </w:p>
    <w:p w14:paraId="124C03C8" w14:textId="77777777" w:rsidR="00887DC4" w:rsidRPr="00340BEE" w:rsidRDefault="00887DC4" w:rsidP="00BD3EC8">
      <w:pPr>
        <w:pStyle w:val="ListParagraph"/>
        <w:spacing w:before="120" w:after="120" w:line="240" w:lineRule="auto"/>
        <w:contextualSpacing w:val="0"/>
        <w:jc w:val="center"/>
        <w:rPr>
          <w:rFonts w:ascii="Arial" w:hAnsi="Arial" w:cs="Arial"/>
          <w:b/>
          <w:sz w:val="20"/>
          <w:szCs w:val="20"/>
        </w:rPr>
      </w:pPr>
      <w:r w:rsidRPr="00340BEE">
        <w:rPr>
          <w:rFonts w:ascii="Arial" w:hAnsi="Arial" w:cs="Arial"/>
          <w:b/>
          <w:sz w:val="20"/>
          <w:szCs w:val="20"/>
        </w:rPr>
        <w:t>Discretionary</w:t>
      </w:r>
      <w:r w:rsidR="00BD3EC8" w:rsidRPr="00340BEE">
        <w:rPr>
          <w:rFonts w:ascii="Arial" w:hAnsi="Arial" w:cs="Arial"/>
          <w:b/>
          <w:sz w:val="20"/>
          <w:szCs w:val="20"/>
        </w:rPr>
        <w:t xml:space="preserve"> waivers</w:t>
      </w:r>
    </w:p>
    <w:p w14:paraId="0939D857" w14:textId="77777777" w:rsidR="00887DC4" w:rsidRPr="00340BEE" w:rsidRDefault="00887DC4" w:rsidP="00773CA8">
      <w:pPr>
        <w:pStyle w:val="ListParagraph"/>
        <w:numPr>
          <w:ilvl w:val="0"/>
          <w:numId w:val="16"/>
        </w:numPr>
        <w:spacing w:before="120" w:after="120" w:line="240" w:lineRule="auto"/>
        <w:contextualSpacing w:val="0"/>
        <w:jc w:val="both"/>
        <w:rPr>
          <w:rFonts w:ascii="Arial" w:hAnsi="Arial" w:cs="Arial"/>
          <w:sz w:val="20"/>
          <w:szCs w:val="20"/>
        </w:rPr>
      </w:pPr>
      <w:r w:rsidRPr="00340BEE">
        <w:rPr>
          <w:rFonts w:ascii="Arial" w:hAnsi="Arial" w:cs="Arial"/>
          <w:sz w:val="20"/>
          <w:szCs w:val="20"/>
        </w:rPr>
        <w:t xml:space="preserve">The total discretionary waivers is calculated based on the total of SCT discretionary waivers + GCT discretionary waives = JD$ </w:t>
      </w:r>
      <w:r w:rsidR="00BD3EC8" w:rsidRPr="00340BEE">
        <w:rPr>
          <w:rFonts w:ascii="Arial" w:hAnsi="Arial" w:cs="Arial"/>
          <w:sz w:val="20"/>
          <w:szCs w:val="20"/>
        </w:rPr>
        <w:t>398.99 (JD$ 311.29 + JD$ 87.70).</w:t>
      </w:r>
    </w:p>
    <w:p w14:paraId="0B2D3C6D" w14:textId="77777777" w:rsidR="00887DC4" w:rsidRPr="00340BEE" w:rsidRDefault="00E407AB" w:rsidP="00BD3EC8">
      <w:pPr>
        <w:pStyle w:val="ListParagraph"/>
        <w:spacing w:before="120" w:after="120" w:line="240" w:lineRule="auto"/>
        <w:contextualSpacing w:val="0"/>
        <w:jc w:val="center"/>
        <w:rPr>
          <w:rFonts w:ascii="Arial" w:hAnsi="Arial" w:cs="Arial"/>
          <w:b/>
          <w:sz w:val="20"/>
          <w:szCs w:val="20"/>
        </w:rPr>
      </w:pPr>
      <w:r w:rsidRPr="00340BEE">
        <w:rPr>
          <w:rFonts w:ascii="Arial" w:hAnsi="Arial" w:cs="Arial"/>
          <w:b/>
          <w:sz w:val="20"/>
          <w:szCs w:val="20"/>
        </w:rPr>
        <w:t>Impact on</w:t>
      </w:r>
      <w:r w:rsidR="00BD3EC8" w:rsidRPr="00340BEE">
        <w:rPr>
          <w:rFonts w:ascii="Arial" w:hAnsi="Arial" w:cs="Arial"/>
          <w:b/>
          <w:sz w:val="20"/>
          <w:szCs w:val="20"/>
        </w:rPr>
        <w:t xml:space="preserve"> revenue</w:t>
      </w:r>
    </w:p>
    <w:p w14:paraId="6173EBA0" w14:textId="77777777" w:rsidR="00887DC4" w:rsidRPr="00340BEE" w:rsidRDefault="00887DC4" w:rsidP="00773CA8">
      <w:pPr>
        <w:pStyle w:val="ListParagraph"/>
        <w:numPr>
          <w:ilvl w:val="0"/>
          <w:numId w:val="16"/>
        </w:numPr>
        <w:spacing w:before="120" w:after="120" w:line="240" w:lineRule="auto"/>
        <w:contextualSpacing w:val="0"/>
        <w:rPr>
          <w:rFonts w:ascii="Arial" w:hAnsi="Arial" w:cs="Arial"/>
          <w:sz w:val="20"/>
          <w:szCs w:val="20"/>
        </w:rPr>
      </w:pPr>
      <w:r w:rsidRPr="00340BEE">
        <w:rPr>
          <w:rFonts w:ascii="Arial" w:hAnsi="Arial" w:cs="Arial"/>
          <w:sz w:val="20"/>
          <w:szCs w:val="20"/>
        </w:rPr>
        <w:t xml:space="preserve">The total Gross revenue increase is the sum of the total incentives + total discretionary = </w:t>
      </w:r>
      <w:r w:rsidR="00BD3EC8" w:rsidRPr="00340BEE">
        <w:rPr>
          <w:rFonts w:ascii="Arial" w:hAnsi="Arial" w:cs="Arial"/>
          <w:sz w:val="20"/>
          <w:szCs w:val="20"/>
        </w:rPr>
        <w:t>JD$ 2,313.17 (JD$ 1,914.18 + JD$ 398.99).</w:t>
      </w:r>
    </w:p>
    <w:p w14:paraId="372344A6" w14:textId="77777777" w:rsidR="00BD3EC8" w:rsidRPr="00340BEE" w:rsidRDefault="00BD3EC8" w:rsidP="00773CA8">
      <w:pPr>
        <w:pStyle w:val="ListParagraph"/>
        <w:numPr>
          <w:ilvl w:val="0"/>
          <w:numId w:val="16"/>
        </w:numPr>
        <w:spacing w:before="120" w:after="120" w:line="240" w:lineRule="auto"/>
        <w:contextualSpacing w:val="0"/>
        <w:rPr>
          <w:rFonts w:ascii="Arial" w:hAnsi="Arial" w:cs="Arial"/>
          <w:sz w:val="20"/>
          <w:szCs w:val="20"/>
        </w:rPr>
      </w:pPr>
      <w:r w:rsidRPr="00340BEE">
        <w:rPr>
          <w:rFonts w:ascii="Arial" w:hAnsi="Arial" w:cs="Arial"/>
          <w:sz w:val="20"/>
          <w:szCs w:val="20"/>
        </w:rPr>
        <w:t>The Net Revenue increase is the difference between the total gross revenue – discount = JD$ 1,493.02 (JD$ 2,313.17 – JD$ 820.15).</w:t>
      </w:r>
    </w:p>
    <w:p w14:paraId="5F0D60E1" w14:textId="77777777" w:rsidR="00C267EC" w:rsidRPr="00340BEE" w:rsidRDefault="007B02B9" w:rsidP="00C267EC">
      <w:pPr>
        <w:spacing w:before="120" w:after="120" w:line="240" w:lineRule="auto"/>
        <w:ind w:left="450"/>
        <w:jc w:val="both"/>
        <w:rPr>
          <w:rFonts w:ascii="Arial" w:hAnsi="Arial" w:cs="Arial"/>
          <w:b/>
          <w:sz w:val="20"/>
          <w:szCs w:val="20"/>
        </w:rPr>
      </w:pPr>
      <w:r w:rsidRPr="00340BEE">
        <w:rPr>
          <w:rFonts w:ascii="Arial" w:hAnsi="Arial" w:cs="Arial"/>
          <w:noProof/>
          <w:sz w:val="20"/>
          <w:szCs w:val="20"/>
          <w:lang w:val="es-ES" w:eastAsia="es-ES"/>
        </w:rPr>
        <w:lastRenderedPageBreak/>
        <w:drawing>
          <wp:inline distT="0" distB="0" distL="0" distR="0" wp14:anchorId="5BB1ED8E" wp14:editId="3B895CC9">
            <wp:extent cx="5654208" cy="2670048"/>
            <wp:effectExtent l="0" t="0" r="381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63199" cy="2674294"/>
                    </a:xfrm>
                    <a:prstGeom prst="rect">
                      <a:avLst/>
                    </a:prstGeom>
                    <a:noFill/>
                    <a:ln>
                      <a:noFill/>
                    </a:ln>
                  </pic:spPr>
                </pic:pic>
              </a:graphicData>
            </a:graphic>
          </wp:inline>
        </w:drawing>
      </w:r>
    </w:p>
    <w:p w14:paraId="1F4A8A02" w14:textId="77777777" w:rsidR="006B4472" w:rsidRPr="00340BEE" w:rsidRDefault="006B4472" w:rsidP="006B4472">
      <w:pPr>
        <w:ind w:left="-360"/>
        <w:jc w:val="center"/>
        <w:rPr>
          <w:rFonts w:ascii="Arial" w:hAnsi="Arial" w:cs="Arial"/>
          <w:b/>
          <w:sz w:val="20"/>
          <w:szCs w:val="20"/>
        </w:rPr>
      </w:pPr>
    </w:p>
    <w:p w14:paraId="099D2248" w14:textId="77777777" w:rsidR="00DE0FC4" w:rsidRPr="00340BEE" w:rsidRDefault="00DE0FC4" w:rsidP="00DE0FC4">
      <w:pPr>
        <w:jc w:val="center"/>
        <w:rPr>
          <w:rFonts w:ascii="Arial" w:hAnsi="Arial" w:cs="Arial"/>
          <w:b/>
          <w:sz w:val="20"/>
          <w:szCs w:val="20"/>
        </w:rPr>
      </w:pPr>
      <w:r w:rsidRPr="00340BEE">
        <w:rPr>
          <w:rFonts w:ascii="Arial" w:hAnsi="Arial" w:cs="Arial"/>
          <w:b/>
          <w:sz w:val="20"/>
          <w:szCs w:val="20"/>
        </w:rPr>
        <w:t>CUF Reform Impact</w:t>
      </w:r>
    </w:p>
    <w:tbl>
      <w:tblPr>
        <w:tblStyle w:val="TableGrid"/>
        <w:tblW w:w="0" w:type="auto"/>
        <w:tblLook w:val="04A0" w:firstRow="1" w:lastRow="0" w:firstColumn="1" w:lastColumn="0" w:noHBand="0" w:noVBand="1"/>
      </w:tblPr>
      <w:tblGrid>
        <w:gridCol w:w="8856"/>
      </w:tblGrid>
      <w:tr w:rsidR="00646CCC" w:rsidRPr="00340BEE" w14:paraId="5B873597" w14:textId="77777777" w:rsidTr="00646CCC">
        <w:tc>
          <w:tcPr>
            <w:tcW w:w="9756" w:type="dxa"/>
          </w:tcPr>
          <w:p w14:paraId="6C38D66E" w14:textId="77777777" w:rsidR="00646CCC" w:rsidRPr="00340BEE" w:rsidRDefault="00D44CCF" w:rsidP="00D44CCF">
            <w:pPr>
              <w:rPr>
                <w:rFonts w:ascii="Arial" w:hAnsi="Arial" w:cs="Arial"/>
                <w:i/>
                <w:sz w:val="20"/>
                <w:szCs w:val="20"/>
              </w:rPr>
            </w:pPr>
            <w:r w:rsidRPr="00340BEE">
              <w:rPr>
                <w:rFonts w:ascii="Arial" w:hAnsi="Arial" w:cs="Arial"/>
                <w:b/>
                <w:i/>
                <w:sz w:val="20"/>
                <w:szCs w:val="20"/>
              </w:rPr>
              <w:t>Customs User Fess (CUF) -</w:t>
            </w:r>
            <w:r w:rsidR="001D114D" w:rsidRPr="00340BEE">
              <w:rPr>
                <w:rFonts w:ascii="Arial" w:hAnsi="Arial" w:cs="Arial"/>
                <w:b/>
                <w:i/>
                <w:sz w:val="20"/>
                <w:szCs w:val="20"/>
              </w:rPr>
              <w:t xml:space="preserve"> </w:t>
            </w:r>
            <w:r w:rsidRPr="00340BEE">
              <w:rPr>
                <w:rFonts w:ascii="Arial" w:hAnsi="Arial" w:cs="Arial"/>
                <w:b/>
                <w:i/>
                <w:sz w:val="20"/>
                <w:szCs w:val="20"/>
              </w:rPr>
              <w:t>By</w:t>
            </w:r>
            <w:r w:rsidRPr="00340BEE">
              <w:rPr>
                <w:rFonts w:ascii="Arial" w:hAnsi="Arial" w:cs="Arial"/>
                <w:i/>
                <w:sz w:val="20"/>
                <w:szCs w:val="20"/>
              </w:rPr>
              <w:t xml:space="preserve"> adjusting annually the tax base according to the variation of the GDP and the exchange rate, eliminating CUF incentives and discretionary waivers will generate an impact </w:t>
            </w:r>
            <w:r w:rsidR="004C1AF3" w:rsidRPr="00340BEE">
              <w:rPr>
                <w:rFonts w:ascii="Arial" w:hAnsi="Arial" w:cs="Arial"/>
                <w:i/>
                <w:sz w:val="20"/>
                <w:szCs w:val="20"/>
              </w:rPr>
              <w:t>on CUF and GCT revenue of JD$ 1,347.</w:t>
            </w:r>
            <w:r w:rsidRPr="00340BEE">
              <w:rPr>
                <w:rFonts w:ascii="Arial" w:hAnsi="Arial" w:cs="Arial"/>
                <w:i/>
                <w:sz w:val="20"/>
                <w:szCs w:val="20"/>
              </w:rPr>
              <w:t>59 million.</w:t>
            </w:r>
          </w:p>
        </w:tc>
      </w:tr>
    </w:tbl>
    <w:p w14:paraId="6D1FD6F7" w14:textId="77777777" w:rsidR="00DE0FC4" w:rsidRPr="00340BEE" w:rsidRDefault="00DE0FC4" w:rsidP="00340BEE">
      <w:pPr>
        <w:pStyle w:val="Paragraph"/>
        <w:rPr>
          <w:rFonts w:ascii="Arial" w:hAnsi="Arial" w:cs="Arial"/>
          <w:b/>
          <w:sz w:val="20"/>
        </w:rPr>
      </w:pPr>
      <w:r w:rsidRPr="00340BEE">
        <w:rPr>
          <w:rFonts w:ascii="Arial" w:hAnsi="Arial" w:cs="Arial"/>
          <w:sz w:val="20"/>
        </w:rPr>
        <w:t xml:space="preserve">According to Table 6, all 2011 tax expenditure information was collected from the document </w:t>
      </w:r>
      <w:hyperlink r:id="rId28" w:history="1">
        <w:r w:rsidRPr="00340BEE">
          <w:rPr>
            <w:rStyle w:val="Hyperlink"/>
            <w:rFonts w:ascii="Arial" w:hAnsi="Arial" w:cs="Arial"/>
            <w:sz w:val="20"/>
          </w:rPr>
          <w:t>Tax Expenditures Estimates 2009 - 2011</w:t>
        </w:r>
      </w:hyperlink>
      <w:r w:rsidRPr="00340BEE">
        <w:rPr>
          <w:rFonts w:ascii="Arial" w:hAnsi="Arial" w:cs="Arial"/>
          <w:sz w:val="20"/>
        </w:rPr>
        <w:t>.</w:t>
      </w:r>
    </w:p>
    <w:p w14:paraId="7986BE42" w14:textId="77777777" w:rsidR="00DE0FC4" w:rsidRPr="00340BEE" w:rsidRDefault="007B02B9" w:rsidP="007B02B9">
      <w:pPr>
        <w:pStyle w:val="ListParagraph"/>
        <w:spacing w:before="120" w:after="120" w:line="240" w:lineRule="auto"/>
        <w:ind w:left="1020"/>
        <w:contextualSpacing w:val="0"/>
        <w:jc w:val="center"/>
        <w:rPr>
          <w:rFonts w:ascii="Arial" w:hAnsi="Arial" w:cs="Arial"/>
          <w:b/>
          <w:sz w:val="20"/>
          <w:szCs w:val="20"/>
        </w:rPr>
      </w:pPr>
      <w:r w:rsidRPr="00340BEE">
        <w:rPr>
          <w:rFonts w:ascii="Arial" w:hAnsi="Arial" w:cs="Arial"/>
          <w:b/>
          <w:sz w:val="20"/>
          <w:szCs w:val="20"/>
        </w:rPr>
        <w:t>Incentives</w:t>
      </w:r>
    </w:p>
    <w:p w14:paraId="413DE5FC" w14:textId="77777777" w:rsidR="008E7861" w:rsidRPr="00340BEE" w:rsidRDefault="007B02B9" w:rsidP="00773CA8">
      <w:pPr>
        <w:pStyle w:val="ListParagraph"/>
        <w:numPr>
          <w:ilvl w:val="0"/>
          <w:numId w:val="17"/>
        </w:numPr>
        <w:rPr>
          <w:rFonts w:ascii="Arial" w:hAnsi="Arial" w:cs="Arial"/>
          <w:sz w:val="20"/>
          <w:szCs w:val="20"/>
        </w:rPr>
      </w:pPr>
      <w:r w:rsidRPr="00340BEE">
        <w:rPr>
          <w:rFonts w:ascii="Arial" w:hAnsi="Arial" w:cs="Arial"/>
          <w:sz w:val="20"/>
          <w:szCs w:val="20"/>
        </w:rPr>
        <w:t xml:space="preserve">The total </w:t>
      </w:r>
      <w:r w:rsidR="00C07AB7" w:rsidRPr="00340BEE">
        <w:rPr>
          <w:rFonts w:ascii="Arial" w:hAnsi="Arial" w:cs="Arial"/>
          <w:sz w:val="20"/>
          <w:szCs w:val="20"/>
        </w:rPr>
        <w:t xml:space="preserve">GCT </w:t>
      </w:r>
      <w:r w:rsidRPr="00340BEE">
        <w:rPr>
          <w:rFonts w:ascii="Arial" w:hAnsi="Arial" w:cs="Arial"/>
          <w:sz w:val="20"/>
          <w:szCs w:val="20"/>
        </w:rPr>
        <w:t xml:space="preserve">incentives </w:t>
      </w:r>
      <w:r w:rsidR="00C07AB7" w:rsidRPr="00340BEE">
        <w:rPr>
          <w:rFonts w:ascii="Arial" w:hAnsi="Arial" w:cs="Arial"/>
          <w:sz w:val="20"/>
          <w:szCs w:val="20"/>
        </w:rPr>
        <w:t>is calculated based on the total of Incentive tax expenditure + GCT petrol incentives = JD$ 2.134.64 (JD$ 1,832.31 + JD$ 302.33).</w:t>
      </w:r>
    </w:p>
    <w:p w14:paraId="7EACBFB2" w14:textId="77777777" w:rsidR="00C07AB7" w:rsidRPr="00340BEE" w:rsidRDefault="00C07AB7" w:rsidP="00C07AB7">
      <w:pPr>
        <w:pStyle w:val="ListParagraph"/>
        <w:jc w:val="center"/>
        <w:rPr>
          <w:rFonts w:ascii="Arial" w:hAnsi="Arial" w:cs="Arial"/>
          <w:b/>
          <w:sz w:val="20"/>
          <w:szCs w:val="20"/>
        </w:rPr>
      </w:pPr>
      <w:r w:rsidRPr="00340BEE">
        <w:rPr>
          <w:rFonts w:ascii="Arial" w:hAnsi="Arial" w:cs="Arial"/>
          <w:b/>
          <w:sz w:val="20"/>
          <w:szCs w:val="20"/>
        </w:rPr>
        <w:t>Discretionary</w:t>
      </w:r>
    </w:p>
    <w:p w14:paraId="444316FC" w14:textId="77777777" w:rsidR="00C07AB7" w:rsidRPr="00340BEE" w:rsidRDefault="00C07AB7" w:rsidP="00773CA8">
      <w:pPr>
        <w:pStyle w:val="ListParagraph"/>
        <w:numPr>
          <w:ilvl w:val="0"/>
          <w:numId w:val="17"/>
        </w:numPr>
        <w:rPr>
          <w:rFonts w:ascii="Arial" w:hAnsi="Arial" w:cs="Arial"/>
          <w:sz w:val="20"/>
          <w:szCs w:val="20"/>
        </w:rPr>
      </w:pPr>
      <w:r w:rsidRPr="00340BEE">
        <w:rPr>
          <w:rFonts w:ascii="Arial" w:hAnsi="Arial" w:cs="Arial"/>
          <w:sz w:val="20"/>
          <w:szCs w:val="20"/>
        </w:rPr>
        <w:t>The total GCT discretionary is calculated based on the total od discretionary tax expenditure +GCT discretionary waivers = JD$ 136.60 (JD$ 117.25 + JD$ 19.35).</w:t>
      </w:r>
    </w:p>
    <w:p w14:paraId="5CD59D2F" w14:textId="77777777" w:rsidR="00646CCC" w:rsidRPr="00340BEE" w:rsidRDefault="00E407AB" w:rsidP="00C07AB7">
      <w:pPr>
        <w:pStyle w:val="ListParagraph"/>
        <w:jc w:val="center"/>
        <w:rPr>
          <w:rFonts w:ascii="Arial" w:hAnsi="Arial" w:cs="Arial"/>
          <w:b/>
          <w:sz w:val="20"/>
          <w:szCs w:val="20"/>
        </w:rPr>
      </w:pPr>
      <w:r w:rsidRPr="00340BEE">
        <w:rPr>
          <w:rFonts w:ascii="Arial" w:hAnsi="Arial" w:cs="Arial"/>
          <w:b/>
          <w:sz w:val="20"/>
          <w:szCs w:val="20"/>
        </w:rPr>
        <w:t>Impact on</w:t>
      </w:r>
      <w:r w:rsidR="00C07AB7" w:rsidRPr="00340BEE">
        <w:rPr>
          <w:rFonts w:ascii="Arial" w:hAnsi="Arial" w:cs="Arial"/>
          <w:b/>
          <w:sz w:val="20"/>
          <w:szCs w:val="20"/>
        </w:rPr>
        <w:t xml:space="preserve"> revenue</w:t>
      </w:r>
    </w:p>
    <w:p w14:paraId="09FBF389" w14:textId="77777777" w:rsidR="00C07AB7" w:rsidRPr="00340BEE" w:rsidRDefault="00C07AB7" w:rsidP="00773CA8">
      <w:pPr>
        <w:pStyle w:val="ListParagraph"/>
        <w:numPr>
          <w:ilvl w:val="0"/>
          <w:numId w:val="17"/>
        </w:numPr>
        <w:rPr>
          <w:rFonts w:ascii="Arial" w:hAnsi="Arial" w:cs="Arial"/>
          <w:sz w:val="20"/>
          <w:szCs w:val="20"/>
        </w:rPr>
      </w:pPr>
      <w:r w:rsidRPr="00340BEE">
        <w:rPr>
          <w:rFonts w:ascii="Arial" w:hAnsi="Arial" w:cs="Arial"/>
          <w:sz w:val="20"/>
          <w:szCs w:val="20"/>
        </w:rPr>
        <w:t>The total gross revenue is total of incentives and discretionary GCT elimination = JD$ 2,271.24 (JD$ 2.134.64 + JD$ 136.60)</w:t>
      </w:r>
    </w:p>
    <w:p w14:paraId="21BA91FB" w14:textId="77777777" w:rsidR="00C07AB7" w:rsidRPr="00340BEE" w:rsidRDefault="00C07AB7" w:rsidP="00773CA8">
      <w:pPr>
        <w:pStyle w:val="ListParagraph"/>
        <w:numPr>
          <w:ilvl w:val="0"/>
          <w:numId w:val="17"/>
        </w:numPr>
        <w:rPr>
          <w:rFonts w:ascii="Arial" w:hAnsi="Arial" w:cs="Arial"/>
          <w:sz w:val="20"/>
          <w:szCs w:val="20"/>
        </w:rPr>
      </w:pPr>
      <w:r w:rsidRPr="00340BEE">
        <w:rPr>
          <w:rFonts w:ascii="Arial" w:hAnsi="Arial" w:cs="Arial"/>
          <w:sz w:val="20"/>
          <w:szCs w:val="20"/>
        </w:rPr>
        <w:t>The total net revenue is the difference between the total gross revenue and the discount = JD$ 1,347.59 (JD$ 2,271.24 – JD$ 923.65)</w:t>
      </w:r>
    </w:p>
    <w:p w14:paraId="61313060" w14:textId="3B75F93F" w:rsidR="007B3CB8" w:rsidRDefault="00DE0FC4" w:rsidP="00C7573A">
      <w:pPr>
        <w:ind w:left="270" w:firstLine="378"/>
        <w:contextualSpacing/>
        <w:rPr>
          <w:rFonts w:ascii="Arial" w:hAnsi="Arial" w:cs="Arial"/>
          <w:b/>
          <w:sz w:val="20"/>
          <w:szCs w:val="20"/>
        </w:rPr>
      </w:pPr>
      <w:r w:rsidRPr="00340BEE">
        <w:rPr>
          <w:rFonts w:ascii="Arial" w:hAnsi="Arial" w:cs="Arial"/>
          <w:noProof/>
          <w:sz w:val="20"/>
          <w:szCs w:val="20"/>
          <w:lang w:val="es-ES" w:eastAsia="es-ES"/>
        </w:rPr>
        <w:drawing>
          <wp:inline distT="0" distB="0" distL="0" distR="0" wp14:anchorId="3537B7B8" wp14:editId="3609AD42">
            <wp:extent cx="5651760" cy="1558137"/>
            <wp:effectExtent l="0" t="0" r="6350" b="4445"/>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666096" cy="1562089"/>
                    </a:xfrm>
                    <a:prstGeom prst="rect">
                      <a:avLst/>
                    </a:prstGeom>
                    <a:noFill/>
                    <a:ln>
                      <a:noFill/>
                    </a:ln>
                  </pic:spPr>
                </pic:pic>
              </a:graphicData>
            </a:graphic>
          </wp:inline>
        </w:drawing>
      </w:r>
      <w:r w:rsidR="008E7861" w:rsidRPr="00340BEE">
        <w:rPr>
          <w:rFonts w:ascii="Arial" w:hAnsi="Arial" w:cs="Arial"/>
          <w:sz w:val="20"/>
          <w:szCs w:val="20"/>
        </w:rPr>
        <w:t xml:space="preserve"> </w:t>
      </w:r>
    </w:p>
    <w:p w14:paraId="5E1614B5" w14:textId="77777777" w:rsidR="00340BEE" w:rsidRPr="00340BEE" w:rsidRDefault="00340BEE">
      <w:pPr>
        <w:rPr>
          <w:rFonts w:ascii="Arial" w:hAnsi="Arial" w:cs="Arial"/>
          <w:b/>
          <w:sz w:val="20"/>
          <w:szCs w:val="20"/>
        </w:rPr>
      </w:pPr>
    </w:p>
    <w:p w14:paraId="3719C96A" w14:textId="4C489DB6" w:rsidR="00641843" w:rsidRPr="003E5234" w:rsidRDefault="00957206" w:rsidP="003E5234">
      <w:pPr>
        <w:pStyle w:val="Chapter"/>
        <w:rPr>
          <w:rFonts w:ascii="Arial" w:hAnsi="Arial" w:cs="Arial"/>
        </w:rPr>
      </w:pPr>
      <w:r w:rsidRPr="003E5234">
        <w:rPr>
          <w:rFonts w:ascii="Arial" w:hAnsi="Arial" w:cs="Arial"/>
        </w:rPr>
        <w:lastRenderedPageBreak/>
        <w:t>ESTIMATION OF</w:t>
      </w:r>
      <w:r w:rsidR="00641843" w:rsidRPr="003E5234">
        <w:rPr>
          <w:rFonts w:ascii="Arial" w:hAnsi="Arial" w:cs="Arial"/>
        </w:rPr>
        <w:t xml:space="preserve"> THE BENEFITS</w:t>
      </w:r>
    </w:p>
    <w:p w14:paraId="7350A89E" w14:textId="77777777" w:rsidR="00BB2273" w:rsidRPr="00340BEE" w:rsidRDefault="00BB2273" w:rsidP="00BB2273">
      <w:pPr>
        <w:pStyle w:val="ListParagraph"/>
        <w:spacing w:before="120" w:after="120" w:line="240" w:lineRule="auto"/>
        <w:ind w:left="1800"/>
        <w:rPr>
          <w:rFonts w:ascii="Arial" w:hAnsi="Arial" w:cs="Arial"/>
          <w:b/>
          <w:sz w:val="20"/>
          <w:szCs w:val="20"/>
        </w:rPr>
      </w:pPr>
    </w:p>
    <w:p w14:paraId="7861AFAE" w14:textId="4BA11239" w:rsidR="008E159F" w:rsidRPr="00340BEE" w:rsidRDefault="00BB2273" w:rsidP="00BB2273">
      <w:pPr>
        <w:pStyle w:val="ListParagraph"/>
        <w:spacing w:before="120" w:after="120" w:line="240" w:lineRule="auto"/>
        <w:ind w:left="3240" w:firstLine="360"/>
        <w:rPr>
          <w:rFonts w:ascii="Arial" w:hAnsi="Arial" w:cs="Arial"/>
          <w:b/>
          <w:sz w:val="20"/>
          <w:szCs w:val="20"/>
        </w:rPr>
      </w:pPr>
      <w:r w:rsidRPr="00340BEE">
        <w:rPr>
          <w:rFonts w:ascii="Arial" w:hAnsi="Arial" w:cs="Arial"/>
          <w:b/>
          <w:sz w:val="20"/>
          <w:szCs w:val="20"/>
        </w:rPr>
        <w:t>BASE SCENARIO</w:t>
      </w:r>
    </w:p>
    <w:p w14:paraId="7D44F5BC" w14:textId="5D4C0CE3" w:rsidR="00EB76A0" w:rsidRPr="00340BEE" w:rsidRDefault="00EB76A0" w:rsidP="00BB2273">
      <w:pPr>
        <w:pStyle w:val="ListParagraph"/>
        <w:spacing w:before="120" w:after="120" w:line="240" w:lineRule="auto"/>
        <w:ind w:left="3240" w:firstLine="360"/>
        <w:rPr>
          <w:rFonts w:ascii="Arial" w:hAnsi="Arial" w:cs="Arial"/>
          <w:b/>
          <w:sz w:val="20"/>
          <w:szCs w:val="20"/>
        </w:rPr>
      </w:pPr>
    </w:p>
    <w:p w14:paraId="499752E1" w14:textId="58D40EF1" w:rsidR="00EB76A0" w:rsidRPr="00340BEE" w:rsidRDefault="00EB76A0" w:rsidP="00EB76A0">
      <w:pPr>
        <w:pStyle w:val="ListParagraph"/>
        <w:spacing w:before="120" w:after="120" w:line="240" w:lineRule="auto"/>
        <w:ind w:left="3240" w:hanging="3150"/>
        <w:rPr>
          <w:rFonts w:ascii="Arial" w:hAnsi="Arial" w:cs="Arial"/>
          <w:b/>
          <w:sz w:val="20"/>
          <w:szCs w:val="20"/>
        </w:rPr>
      </w:pPr>
      <w:r w:rsidRPr="00340BEE">
        <w:rPr>
          <w:rFonts w:ascii="Arial" w:hAnsi="Arial" w:cs="Arial"/>
          <w:noProof/>
          <w:sz w:val="20"/>
          <w:szCs w:val="20"/>
          <w:lang w:val="es-ES" w:eastAsia="es-ES"/>
        </w:rPr>
        <w:drawing>
          <wp:inline distT="0" distB="0" distL="0" distR="0" wp14:anchorId="129980A9" wp14:editId="7B8C054E">
            <wp:extent cx="6228080" cy="2040941"/>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238135" cy="2044236"/>
                    </a:xfrm>
                    <a:prstGeom prst="rect">
                      <a:avLst/>
                    </a:prstGeom>
                    <a:noFill/>
                    <a:ln>
                      <a:noFill/>
                    </a:ln>
                  </pic:spPr>
                </pic:pic>
              </a:graphicData>
            </a:graphic>
          </wp:inline>
        </w:drawing>
      </w:r>
    </w:p>
    <w:p w14:paraId="569D90D5" w14:textId="77777777" w:rsidR="00641843" w:rsidRPr="00340BEE" w:rsidRDefault="00641843" w:rsidP="00641843">
      <w:pPr>
        <w:pStyle w:val="ListParagraph"/>
        <w:spacing w:before="120" w:after="120" w:line="240" w:lineRule="auto"/>
        <w:ind w:left="-540"/>
        <w:rPr>
          <w:rFonts w:ascii="Arial" w:hAnsi="Arial" w:cs="Arial"/>
          <w:b/>
          <w:sz w:val="20"/>
          <w:szCs w:val="20"/>
        </w:rPr>
      </w:pPr>
    </w:p>
    <w:p w14:paraId="75CA277F" w14:textId="5DB79036" w:rsidR="00957206" w:rsidRPr="00340BEE" w:rsidRDefault="00EB76A0" w:rsidP="007B3CB8">
      <w:pPr>
        <w:pStyle w:val="ListParagraph"/>
        <w:spacing w:before="120" w:after="120" w:line="240" w:lineRule="auto"/>
        <w:ind w:left="0"/>
        <w:jc w:val="both"/>
        <w:rPr>
          <w:rFonts w:ascii="Arial" w:hAnsi="Arial" w:cs="Arial"/>
          <w:sz w:val="20"/>
          <w:szCs w:val="20"/>
        </w:rPr>
      </w:pPr>
      <w:r w:rsidRPr="00340BEE">
        <w:rPr>
          <w:rFonts w:ascii="Arial" w:hAnsi="Arial" w:cs="Arial"/>
          <w:noProof/>
          <w:sz w:val="20"/>
          <w:szCs w:val="20"/>
          <w:lang w:val="es-ES" w:eastAsia="es-ES"/>
        </w:rPr>
        <w:drawing>
          <wp:inline distT="0" distB="0" distL="0" distR="0" wp14:anchorId="0C266CE6" wp14:editId="030E51E0">
            <wp:extent cx="6287770" cy="270662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299456" cy="2711654"/>
                    </a:xfrm>
                    <a:prstGeom prst="rect">
                      <a:avLst/>
                    </a:prstGeom>
                    <a:noFill/>
                    <a:ln>
                      <a:noFill/>
                    </a:ln>
                  </pic:spPr>
                </pic:pic>
              </a:graphicData>
            </a:graphic>
          </wp:inline>
        </w:drawing>
      </w:r>
    </w:p>
    <w:p w14:paraId="675A3775" w14:textId="77777777" w:rsidR="007B3CB8" w:rsidRPr="00340BEE" w:rsidRDefault="007B3CB8" w:rsidP="007B3CB8">
      <w:pPr>
        <w:pStyle w:val="ListParagraph"/>
        <w:spacing w:before="120" w:after="120" w:line="240" w:lineRule="auto"/>
        <w:ind w:left="0"/>
        <w:jc w:val="both"/>
        <w:rPr>
          <w:rFonts w:ascii="Arial" w:hAnsi="Arial" w:cs="Arial"/>
          <w:sz w:val="20"/>
          <w:szCs w:val="20"/>
        </w:rPr>
      </w:pPr>
    </w:p>
    <w:p w14:paraId="0B0E7B51" w14:textId="37E7CA24" w:rsidR="00D247A1" w:rsidRPr="003E5234" w:rsidRDefault="00D247A1" w:rsidP="003E5234">
      <w:pPr>
        <w:pStyle w:val="Paragraph"/>
        <w:rPr>
          <w:rFonts w:ascii="Arial" w:hAnsi="Arial" w:cs="Arial"/>
          <w:sz w:val="20"/>
        </w:rPr>
      </w:pPr>
      <w:r w:rsidRPr="003E5234">
        <w:rPr>
          <w:rFonts w:ascii="Arial" w:hAnsi="Arial" w:cs="Arial"/>
          <w:sz w:val="20"/>
        </w:rPr>
        <w:t xml:space="preserve">The discount rate used to calculate the Net Present Value </w:t>
      </w:r>
      <w:r w:rsidR="00377F1C" w:rsidRPr="003E5234">
        <w:rPr>
          <w:rFonts w:ascii="Arial" w:hAnsi="Arial" w:cs="Arial"/>
          <w:sz w:val="20"/>
        </w:rPr>
        <w:t>is</w:t>
      </w:r>
      <w:r w:rsidRPr="003E5234">
        <w:rPr>
          <w:rFonts w:ascii="Arial" w:hAnsi="Arial" w:cs="Arial"/>
          <w:sz w:val="20"/>
        </w:rPr>
        <w:t xml:space="preserve"> 12% </w:t>
      </w:r>
      <w:r w:rsidR="00377F1C" w:rsidRPr="003E5234">
        <w:rPr>
          <w:rFonts w:ascii="Arial" w:hAnsi="Arial" w:cs="Arial"/>
          <w:sz w:val="20"/>
        </w:rPr>
        <w:t xml:space="preserve">over </w:t>
      </w:r>
      <w:r w:rsidRPr="003E5234">
        <w:rPr>
          <w:rFonts w:ascii="Arial" w:hAnsi="Arial" w:cs="Arial"/>
          <w:sz w:val="20"/>
        </w:rPr>
        <w:t>a period of 10</w:t>
      </w:r>
      <w:r w:rsidR="00C7573A">
        <w:rPr>
          <w:rFonts w:ascii="Arial" w:hAnsi="Arial" w:cs="Arial"/>
          <w:sz w:val="20"/>
        </w:rPr>
        <w:t> </w:t>
      </w:r>
      <w:r w:rsidRPr="003E5234">
        <w:rPr>
          <w:rFonts w:ascii="Arial" w:hAnsi="Arial" w:cs="Arial"/>
          <w:sz w:val="20"/>
        </w:rPr>
        <w:t xml:space="preserve">years. The Reform revenue benefits </w:t>
      </w:r>
      <w:r w:rsidR="00377F1C" w:rsidRPr="003E5234">
        <w:rPr>
          <w:rFonts w:ascii="Arial" w:hAnsi="Arial" w:cs="Arial"/>
          <w:sz w:val="20"/>
        </w:rPr>
        <w:t xml:space="preserve">derive </w:t>
      </w:r>
      <w:r w:rsidRPr="003E5234">
        <w:rPr>
          <w:rFonts w:ascii="Arial" w:hAnsi="Arial" w:cs="Arial"/>
          <w:sz w:val="20"/>
        </w:rPr>
        <w:t>from</w:t>
      </w:r>
      <w:r w:rsidR="00377F1C" w:rsidRPr="003E5234">
        <w:rPr>
          <w:rFonts w:ascii="Arial" w:hAnsi="Arial" w:cs="Arial"/>
          <w:sz w:val="20"/>
        </w:rPr>
        <w:t xml:space="preserve"> the</w:t>
      </w:r>
      <w:r w:rsidRPr="003E5234">
        <w:rPr>
          <w:rFonts w:ascii="Arial" w:hAnsi="Arial" w:cs="Arial"/>
          <w:sz w:val="20"/>
        </w:rPr>
        <w:t xml:space="preserve"> 8 intervention policies presented in chapter III, starting with a benefit of US$ </w:t>
      </w:r>
      <w:r w:rsidR="00EB76A0" w:rsidRPr="003E5234">
        <w:rPr>
          <w:rFonts w:ascii="Arial" w:hAnsi="Arial" w:cs="Arial"/>
          <w:sz w:val="20"/>
        </w:rPr>
        <w:t>12.</w:t>
      </w:r>
      <w:r w:rsidR="00C970F5" w:rsidRPr="003E5234">
        <w:rPr>
          <w:rFonts w:ascii="Arial" w:hAnsi="Arial" w:cs="Arial"/>
          <w:sz w:val="20"/>
        </w:rPr>
        <w:t>5</w:t>
      </w:r>
      <w:r w:rsidRPr="003E5234">
        <w:rPr>
          <w:rFonts w:ascii="Arial" w:hAnsi="Arial" w:cs="Arial"/>
          <w:sz w:val="20"/>
        </w:rPr>
        <w:t xml:space="preserve"> million in 2013 and ending with a benefit of US$</w:t>
      </w:r>
      <w:r w:rsidR="00EB76A0" w:rsidRPr="003E5234">
        <w:rPr>
          <w:rFonts w:ascii="Arial" w:hAnsi="Arial" w:cs="Arial"/>
          <w:sz w:val="20"/>
        </w:rPr>
        <w:t>40.7</w:t>
      </w:r>
      <w:r w:rsidRPr="003E5234">
        <w:rPr>
          <w:rFonts w:ascii="Arial" w:hAnsi="Arial" w:cs="Arial"/>
          <w:sz w:val="20"/>
        </w:rPr>
        <w:t xml:space="preserve"> million in 2020. </w:t>
      </w:r>
      <w:r w:rsidR="00C970F5" w:rsidRPr="003E5234">
        <w:rPr>
          <w:rFonts w:ascii="Arial" w:hAnsi="Arial" w:cs="Arial"/>
          <w:sz w:val="20"/>
        </w:rPr>
        <w:t>The Net Present Value (NPV) was US$294.4 million and the Internal rate of Return (IRR) was 78%.</w:t>
      </w:r>
    </w:p>
    <w:p w14:paraId="459D96E9" w14:textId="77777777" w:rsidR="00D247A1" w:rsidRDefault="00D247A1" w:rsidP="003E5234">
      <w:pPr>
        <w:pStyle w:val="Paragraph"/>
        <w:rPr>
          <w:rFonts w:ascii="Arial" w:hAnsi="Arial" w:cs="Arial"/>
          <w:sz w:val="20"/>
        </w:rPr>
      </w:pPr>
      <w:r w:rsidRPr="003E5234">
        <w:rPr>
          <w:rFonts w:ascii="Arial" w:hAnsi="Arial" w:cs="Arial"/>
          <w:sz w:val="20"/>
        </w:rPr>
        <w:t>The Reform Costs w</w:t>
      </w:r>
      <w:r w:rsidR="00377F1C" w:rsidRPr="003E5234">
        <w:rPr>
          <w:rFonts w:ascii="Arial" w:hAnsi="Arial" w:cs="Arial"/>
          <w:sz w:val="20"/>
        </w:rPr>
        <w:t>ere</w:t>
      </w:r>
      <w:r w:rsidRPr="003E5234">
        <w:rPr>
          <w:rFonts w:ascii="Arial" w:hAnsi="Arial" w:cs="Arial"/>
          <w:sz w:val="20"/>
        </w:rPr>
        <w:t xml:space="preserve"> estimated considering: (i) </w:t>
      </w:r>
      <w:r w:rsidR="00C67CCC" w:rsidRPr="003E5234">
        <w:rPr>
          <w:rFonts w:ascii="Arial" w:hAnsi="Arial" w:cs="Arial"/>
          <w:sz w:val="20"/>
        </w:rPr>
        <w:t>Investment</w:t>
      </w:r>
      <w:r w:rsidRPr="003E5234">
        <w:rPr>
          <w:rFonts w:ascii="Arial" w:hAnsi="Arial" w:cs="Arial"/>
          <w:sz w:val="20"/>
        </w:rPr>
        <w:t xml:space="preserve"> costs to support the reform by strengthening the Jamaica Tax</w:t>
      </w:r>
      <w:r w:rsidR="00C67CCC" w:rsidRPr="003E5234">
        <w:rPr>
          <w:rFonts w:ascii="Arial" w:hAnsi="Arial" w:cs="Arial"/>
          <w:sz w:val="20"/>
        </w:rPr>
        <w:t xml:space="preserve">, </w:t>
      </w:r>
      <w:r w:rsidRPr="003E5234">
        <w:rPr>
          <w:rFonts w:ascii="Arial" w:hAnsi="Arial" w:cs="Arial"/>
          <w:sz w:val="20"/>
        </w:rPr>
        <w:t>Customs Administrations</w:t>
      </w:r>
      <w:r w:rsidR="00C67CCC" w:rsidRPr="003E5234">
        <w:rPr>
          <w:rFonts w:ascii="Arial" w:hAnsi="Arial" w:cs="Arial"/>
          <w:sz w:val="20"/>
        </w:rPr>
        <w:t xml:space="preserve"> and MoF Entities</w:t>
      </w:r>
      <w:r w:rsidRPr="003E5234">
        <w:rPr>
          <w:rFonts w:ascii="Arial" w:hAnsi="Arial" w:cs="Arial"/>
          <w:sz w:val="20"/>
        </w:rPr>
        <w:t xml:space="preserve"> (US$ 65 Million</w:t>
      </w:r>
      <w:r w:rsidR="00C67CCC" w:rsidRPr="003E5234">
        <w:rPr>
          <w:rFonts w:ascii="Arial" w:hAnsi="Arial" w:cs="Arial"/>
          <w:sz w:val="20"/>
        </w:rPr>
        <w:t xml:space="preserve"> – see table detailing the investments</w:t>
      </w:r>
      <w:r w:rsidRPr="003E5234">
        <w:rPr>
          <w:rFonts w:ascii="Arial" w:hAnsi="Arial" w:cs="Arial"/>
          <w:sz w:val="20"/>
        </w:rPr>
        <w:t>); (ii) The hiring of a new Ministry of Finance (MoF) staff specially to manag</w:t>
      </w:r>
      <w:r w:rsidR="004C1AF3" w:rsidRPr="003E5234">
        <w:rPr>
          <w:rFonts w:ascii="Arial" w:hAnsi="Arial" w:cs="Arial"/>
          <w:sz w:val="20"/>
        </w:rPr>
        <w:t>e the reform (10 staff * US$ 60,</w:t>
      </w:r>
      <w:r w:rsidRPr="003E5234">
        <w:rPr>
          <w:rFonts w:ascii="Arial" w:hAnsi="Arial" w:cs="Arial"/>
          <w:sz w:val="20"/>
        </w:rPr>
        <w:t xml:space="preserve">000, already including </w:t>
      </w:r>
      <w:r w:rsidR="004C1AF3" w:rsidRPr="003E5234">
        <w:rPr>
          <w:rFonts w:ascii="Arial" w:hAnsi="Arial" w:cs="Arial"/>
          <w:sz w:val="20"/>
        </w:rPr>
        <w:t>salaries and benefits = US$ 600,</w:t>
      </w:r>
      <w:r w:rsidRPr="003E5234">
        <w:rPr>
          <w:rFonts w:ascii="Arial" w:hAnsi="Arial" w:cs="Arial"/>
          <w:sz w:val="20"/>
        </w:rPr>
        <w:t>00 annually); (iii) The hiring of 50 staff (30 and 20 respectively) for the Jamaica Tax and Customs Administration aiming the strengthening of the two organization management capacity to make the reform</w:t>
      </w:r>
      <w:r w:rsidR="004C1AF3" w:rsidRPr="003E5234">
        <w:rPr>
          <w:rFonts w:ascii="Arial" w:hAnsi="Arial" w:cs="Arial"/>
          <w:sz w:val="20"/>
        </w:rPr>
        <w:t xml:space="preserve"> sustainable (50 staff * US$ 60,</w:t>
      </w:r>
      <w:r w:rsidRPr="003E5234">
        <w:rPr>
          <w:rFonts w:ascii="Arial" w:hAnsi="Arial" w:cs="Arial"/>
          <w:sz w:val="20"/>
        </w:rPr>
        <w:t xml:space="preserve">000, already including salaries and benefits = US$ 1.8 million annually); and (iv)The costs of tax compliance, which was calculated </w:t>
      </w:r>
      <w:r w:rsidR="004C1AF3" w:rsidRPr="003E5234">
        <w:rPr>
          <w:rFonts w:ascii="Arial" w:hAnsi="Arial" w:cs="Arial"/>
          <w:sz w:val="20"/>
        </w:rPr>
        <w:t>estimating that approximately 1,</w:t>
      </w:r>
      <w:r w:rsidRPr="003E5234">
        <w:rPr>
          <w:rFonts w:ascii="Arial" w:hAnsi="Arial" w:cs="Arial"/>
          <w:sz w:val="20"/>
        </w:rPr>
        <w:t>000 firms will need to adjust their filling processes (according to the World Bank Doing Business</w:t>
      </w:r>
      <w:r w:rsidRPr="003E5234">
        <w:rPr>
          <w:rFonts w:ascii="Arial" w:hAnsi="Arial" w:cs="Arial"/>
          <w:sz w:val="20"/>
        </w:rPr>
        <w:footnoteReference w:id="14"/>
      </w:r>
      <w:r w:rsidRPr="003E5234">
        <w:rPr>
          <w:rFonts w:ascii="Arial" w:hAnsi="Arial" w:cs="Arial"/>
          <w:sz w:val="20"/>
        </w:rPr>
        <w:t xml:space="preserve"> the Jamaica number of </w:t>
      </w:r>
      <w:r w:rsidRPr="003E5234">
        <w:rPr>
          <w:rFonts w:ascii="Arial" w:hAnsi="Arial" w:cs="Arial"/>
          <w:sz w:val="20"/>
        </w:rPr>
        <w:lastRenderedPageBreak/>
        <w:t>hours for compliance in Jamaica is 386 hour</w:t>
      </w:r>
      <w:r w:rsidR="004C1AF3" w:rsidRPr="003E5234">
        <w:rPr>
          <w:rFonts w:ascii="Arial" w:hAnsi="Arial" w:cs="Arial"/>
          <w:sz w:val="20"/>
        </w:rPr>
        <w:t>s  * US$12 accountant hour  * 1,</w:t>
      </w:r>
      <w:r w:rsidRPr="003E5234">
        <w:rPr>
          <w:rFonts w:ascii="Arial" w:hAnsi="Arial" w:cs="Arial"/>
          <w:sz w:val="20"/>
        </w:rPr>
        <w:t>000 firms = total of US$ 4.4 million yearly).</w:t>
      </w:r>
    </w:p>
    <w:p w14:paraId="23C247E1" w14:textId="77777777" w:rsidR="00C7573A" w:rsidRPr="003E5234" w:rsidRDefault="00C7573A" w:rsidP="003E5234">
      <w:pPr>
        <w:pStyle w:val="Paragraph"/>
        <w:rPr>
          <w:rFonts w:ascii="Arial" w:hAnsi="Arial" w:cs="Arial"/>
          <w:sz w:val="20"/>
        </w:rPr>
      </w:pPr>
    </w:p>
    <w:tbl>
      <w:tblPr>
        <w:tblW w:w="8262" w:type="dxa"/>
        <w:tblInd w:w="1278" w:type="dxa"/>
        <w:tblLook w:val="04A0" w:firstRow="1" w:lastRow="0" w:firstColumn="1" w:lastColumn="0" w:noHBand="0" w:noVBand="1"/>
      </w:tblPr>
      <w:tblGrid>
        <w:gridCol w:w="6907"/>
        <w:gridCol w:w="1355"/>
      </w:tblGrid>
      <w:tr w:rsidR="00C67CCC" w:rsidRPr="00340BEE" w14:paraId="7D271F6C" w14:textId="77777777" w:rsidTr="001746B5">
        <w:trPr>
          <w:trHeight w:val="34"/>
        </w:trPr>
        <w:tc>
          <w:tcPr>
            <w:tcW w:w="826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9B3433C" w14:textId="77777777" w:rsidR="00C67CCC" w:rsidRPr="00340BEE" w:rsidRDefault="00C67CCC" w:rsidP="00C67CCC">
            <w:pPr>
              <w:spacing w:after="0" w:line="240" w:lineRule="auto"/>
              <w:jc w:val="center"/>
              <w:rPr>
                <w:rFonts w:ascii="Arial" w:eastAsia="Times New Roman" w:hAnsi="Arial" w:cs="Arial"/>
                <w:b/>
                <w:bCs/>
                <w:color w:val="000000"/>
                <w:sz w:val="20"/>
                <w:szCs w:val="20"/>
              </w:rPr>
            </w:pPr>
            <w:r w:rsidRPr="00340BEE">
              <w:rPr>
                <w:rFonts w:ascii="Arial" w:eastAsia="Times New Roman" w:hAnsi="Arial" w:cs="Arial"/>
                <w:b/>
                <w:bCs/>
                <w:color w:val="000000"/>
                <w:sz w:val="20"/>
                <w:szCs w:val="20"/>
              </w:rPr>
              <w:t>Investment Costs to support the Reform</w:t>
            </w:r>
          </w:p>
        </w:tc>
      </w:tr>
      <w:tr w:rsidR="00C67CCC" w:rsidRPr="00340BEE" w14:paraId="5B38C37E" w14:textId="77777777" w:rsidTr="001746B5">
        <w:trPr>
          <w:trHeight w:val="34"/>
        </w:trPr>
        <w:tc>
          <w:tcPr>
            <w:tcW w:w="6907"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0ED6F23" w14:textId="77777777" w:rsidR="00C67CCC" w:rsidRPr="00340BEE" w:rsidRDefault="00C67CCC" w:rsidP="00C67CCC">
            <w:pPr>
              <w:spacing w:after="0" w:line="240" w:lineRule="auto"/>
              <w:jc w:val="center"/>
              <w:rPr>
                <w:rFonts w:ascii="Arial" w:eastAsia="Times New Roman" w:hAnsi="Arial" w:cs="Arial"/>
                <w:b/>
                <w:bCs/>
                <w:color w:val="000000"/>
                <w:sz w:val="20"/>
                <w:szCs w:val="20"/>
              </w:rPr>
            </w:pPr>
            <w:r w:rsidRPr="00340BEE">
              <w:rPr>
                <w:rFonts w:ascii="Arial" w:eastAsia="Times New Roman" w:hAnsi="Arial" w:cs="Arial"/>
                <w:b/>
                <w:bCs/>
                <w:color w:val="000000"/>
                <w:sz w:val="20"/>
                <w:szCs w:val="20"/>
              </w:rPr>
              <w:t>Description</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0FCD8A21" w14:textId="77777777" w:rsidR="00C67CCC" w:rsidRPr="00340BEE" w:rsidRDefault="00C67CCC" w:rsidP="00C67CCC">
            <w:pPr>
              <w:spacing w:after="0" w:line="240" w:lineRule="auto"/>
              <w:jc w:val="center"/>
              <w:rPr>
                <w:rFonts w:ascii="Arial" w:eastAsia="Times New Roman" w:hAnsi="Arial" w:cs="Arial"/>
                <w:b/>
                <w:bCs/>
                <w:color w:val="000000"/>
                <w:sz w:val="20"/>
                <w:szCs w:val="20"/>
              </w:rPr>
            </w:pPr>
            <w:r w:rsidRPr="00340BEE">
              <w:rPr>
                <w:rFonts w:ascii="Arial" w:eastAsia="Times New Roman" w:hAnsi="Arial" w:cs="Arial"/>
                <w:b/>
                <w:bCs/>
                <w:color w:val="000000"/>
                <w:sz w:val="20"/>
                <w:szCs w:val="20"/>
              </w:rPr>
              <w:t>Cost</w:t>
            </w:r>
            <w:r w:rsidR="00580542" w:rsidRPr="00340BEE">
              <w:rPr>
                <w:rFonts w:ascii="Arial" w:eastAsia="Times New Roman" w:hAnsi="Arial" w:cs="Arial"/>
                <w:b/>
                <w:bCs/>
                <w:color w:val="000000"/>
                <w:sz w:val="20"/>
                <w:szCs w:val="20"/>
              </w:rPr>
              <w:t>s</w:t>
            </w:r>
          </w:p>
        </w:tc>
      </w:tr>
      <w:tr w:rsidR="00C67CCC" w:rsidRPr="00340BEE" w14:paraId="46667E2D" w14:textId="77777777" w:rsidTr="001746B5">
        <w:trPr>
          <w:trHeight w:val="34"/>
        </w:trPr>
        <w:tc>
          <w:tcPr>
            <w:tcW w:w="690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14:paraId="2BB098C2" w14:textId="77777777" w:rsidR="00C67CCC" w:rsidRPr="00340BEE" w:rsidRDefault="00C67CCC" w:rsidP="00C67CCC">
            <w:pPr>
              <w:spacing w:after="0" w:line="240" w:lineRule="auto"/>
              <w:jc w:val="center"/>
              <w:rPr>
                <w:rFonts w:ascii="Arial" w:eastAsia="Times New Roman" w:hAnsi="Arial" w:cs="Arial"/>
                <w:b/>
                <w:bCs/>
                <w:color w:val="000000"/>
                <w:sz w:val="20"/>
                <w:szCs w:val="20"/>
              </w:rPr>
            </w:pPr>
            <w:r w:rsidRPr="00340BEE">
              <w:rPr>
                <w:rFonts w:ascii="Arial" w:eastAsia="Times New Roman" w:hAnsi="Arial" w:cs="Arial"/>
                <w:b/>
                <w:bCs/>
                <w:color w:val="000000"/>
                <w:sz w:val="20"/>
                <w:szCs w:val="20"/>
              </w:rPr>
              <w:t>Tax Administration</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14:paraId="30E1181B" w14:textId="77777777" w:rsidR="00C67CCC" w:rsidRPr="00340BEE" w:rsidRDefault="00C67CCC" w:rsidP="00C67CCC">
            <w:pPr>
              <w:spacing w:after="0" w:line="240" w:lineRule="auto"/>
              <w:rPr>
                <w:rFonts w:ascii="Arial" w:eastAsia="Times New Roman" w:hAnsi="Arial" w:cs="Arial"/>
                <w:color w:val="000000"/>
                <w:sz w:val="20"/>
                <w:szCs w:val="20"/>
              </w:rPr>
            </w:pPr>
          </w:p>
        </w:tc>
      </w:tr>
      <w:tr w:rsidR="00C67CCC" w:rsidRPr="00340BEE" w14:paraId="1B67763F" w14:textId="77777777" w:rsidTr="001746B5">
        <w:trPr>
          <w:trHeight w:val="54"/>
        </w:trPr>
        <w:tc>
          <w:tcPr>
            <w:tcW w:w="690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03714B" w14:textId="77777777" w:rsidR="00C67CCC" w:rsidRPr="00340BEE" w:rsidRDefault="00C67CCC" w:rsidP="00EB76A0">
            <w:pPr>
              <w:pStyle w:val="ListParagraph"/>
              <w:numPr>
                <w:ilvl w:val="1"/>
                <w:numId w:val="10"/>
              </w:numPr>
              <w:spacing w:after="0" w:line="240" w:lineRule="auto"/>
              <w:jc w:val="both"/>
              <w:rPr>
                <w:rFonts w:ascii="Arial" w:eastAsia="Times New Roman" w:hAnsi="Arial" w:cs="Arial"/>
                <w:b/>
                <w:color w:val="000000"/>
                <w:sz w:val="20"/>
                <w:szCs w:val="20"/>
              </w:rPr>
            </w:pPr>
            <w:r w:rsidRPr="00340BEE">
              <w:rPr>
                <w:rFonts w:ascii="Arial" w:eastAsia="Times New Roman" w:hAnsi="Arial" w:cs="Arial"/>
                <w:b/>
                <w:color w:val="000000"/>
                <w:sz w:val="20"/>
                <w:szCs w:val="20"/>
              </w:rPr>
              <w:t>Strengthening the institutional capacity</w:t>
            </w:r>
          </w:p>
          <w:p w14:paraId="501E2821" w14:textId="77777777" w:rsidR="00175F2A" w:rsidRPr="00340BEE" w:rsidRDefault="00175F2A" w:rsidP="00EB76A0">
            <w:pPr>
              <w:pStyle w:val="ListParagraph"/>
              <w:spacing w:after="0" w:line="240" w:lineRule="auto"/>
              <w:ind w:left="360"/>
              <w:jc w:val="both"/>
              <w:rPr>
                <w:rFonts w:ascii="Arial" w:eastAsia="Times New Roman" w:hAnsi="Arial" w:cs="Arial"/>
                <w:color w:val="000000"/>
                <w:sz w:val="20"/>
                <w:szCs w:val="20"/>
              </w:rPr>
            </w:pPr>
            <w:r w:rsidRPr="00340BEE">
              <w:rPr>
                <w:rFonts w:ascii="Arial" w:eastAsia="Times New Roman" w:hAnsi="Arial" w:cs="Arial"/>
                <w:color w:val="000000"/>
                <w:sz w:val="20"/>
                <w:szCs w:val="20"/>
              </w:rPr>
              <w:t>(i) a management reporting model; (ii) a central asset, facilities and inventory management system; (iii) a new HR model; (iv) a new internal audit model; (v) a comprehensive training program and a new training center; and (vi) a budget planning and execution process Reengineering.</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66AAF" w14:textId="77777777" w:rsidR="00C67CCC" w:rsidRPr="00340BEE" w:rsidRDefault="00C67CCC" w:rsidP="00175F2A">
            <w:pPr>
              <w:spacing w:after="0" w:line="240" w:lineRule="auto"/>
              <w:jc w:val="right"/>
              <w:rPr>
                <w:rFonts w:ascii="Arial" w:eastAsia="Times New Roman" w:hAnsi="Arial" w:cs="Arial"/>
                <w:color w:val="000000"/>
                <w:sz w:val="20"/>
                <w:szCs w:val="20"/>
              </w:rPr>
            </w:pPr>
            <w:r w:rsidRPr="00340BEE">
              <w:rPr>
                <w:rFonts w:ascii="Arial" w:eastAsia="Times New Roman" w:hAnsi="Arial" w:cs="Arial"/>
                <w:color w:val="000000"/>
                <w:sz w:val="20"/>
                <w:szCs w:val="20"/>
              </w:rPr>
              <w:t>4,509,500</w:t>
            </w:r>
          </w:p>
        </w:tc>
      </w:tr>
      <w:tr w:rsidR="00C67CCC" w:rsidRPr="00340BEE" w14:paraId="39E7D69B" w14:textId="77777777" w:rsidTr="001746B5">
        <w:trPr>
          <w:trHeight w:val="54"/>
        </w:trPr>
        <w:tc>
          <w:tcPr>
            <w:tcW w:w="690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300AFA" w14:textId="726337A1" w:rsidR="00C67CCC" w:rsidRPr="00340BEE" w:rsidRDefault="00C67CCC" w:rsidP="00EB76A0">
            <w:pPr>
              <w:pStyle w:val="ListParagraph"/>
              <w:numPr>
                <w:ilvl w:val="1"/>
                <w:numId w:val="10"/>
              </w:numPr>
              <w:spacing w:after="0" w:line="240" w:lineRule="auto"/>
              <w:jc w:val="both"/>
              <w:rPr>
                <w:rFonts w:ascii="Arial" w:eastAsia="Times New Roman" w:hAnsi="Arial" w:cs="Arial"/>
                <w:b/>
                <w:color w:val="000000"/>
                <w:sz w:val="20"/>
                <w:szCs w:val="20"/>
              </w:rPr>
            </w:pPr>
            <w:r w:rsidRPr="00340BEE">
              <w:rPr>
                <w:rFonts w:ascii="Arial" w:eastAsia="Times New Roman" w:hAnsi="Arial" w:cs="Arial"/>
                <w:b/>
                <w:color w:val="000000"/>
                <w:sz w:val="20"/>
                <w:szCs w:val="20"/>
              </w:rPr>
              <w:t xml:space="preserve">Strengthening enforcement and </w:t>
            </w:r>
            <w:r w:rsidR="00EB76A0" w:rsidRPr="00340BEE">
              <w:rPr>
                <w:rFonts w:ascii="Arial" w:eastAsia="Times New Roman" w:hAnsi="Arial" w:cs="Arial"/>
                <w:b/>
                <w:color w:val="000000"/>
                <w:sz w:val="20"/>
                <w:szCs w:val="20"/>
              </w:rPr>
              <w:t>taxpayer’s</w:t>
            </w:r>
            <w:r w:rsidRPr="00340BEE">
              <w:rPr>
                <w:rFonts w:ascii="Arial" w:eastAsia="Times New Roman" w:hAnsi="Arial" w:cs="Arial"/>
                <w:b/>
                <w:color w:val="000000"/>
                <w:sz w:val="20"/>
                <w:szCs w:val="20"/>
              </w:rPr>
              <w:t xml:space="preserve"> services</w:t>
            </w:r>
          </w:p>
          <w:p w14:paraId="2D220C96" w14:textId="7035EDE2" w:rsidR="00175F2A" w:rsidRPr="00340BEE" w:rsidRDefault="00175F2A" w:rsidP="00EB76A0">
            <w:pPr>
              <w:pStyle w:val="ListParagraph"/>
              <w:spacing w:after="0" w:line="240" w:lineRule="auto"/>
              <w:ind w:left="360"/>
              <w:jc w:val="both"/>
              <w:rPr>
                <w:rFonts w:ascii="Arial" w:eastAsia="Times New Roman" w:hAnsi="Arial" w:cs="Arial"/>
                <w:color w:val="000000"/>
                <w:sz w:val="20"/>
                <w:szCs w:val="20"/>
              </w:rPr>
            </w:pPr>
            <w:r w:rsidRPr="00340BEE">
              <w:rPr>
                <w:rFonts w:ascii="Arial" w:eastAsia="Times New Roman" w:hAnsi="Arial" w:cs="Arial"/>
                <w:color w:val="000000"/>
                <w:sz w:val="20"/>
                <w:szCs w:val="20"/>
              </w:rPr>
              <w:t xml:space="preserve">(i) tax administration processes and procedures; (ii) </w:t>
            </w:r>
            <w:r w:rsidR="00EB76A0" w:rsidRPr="00340BEE">
              <w:rPr>
                <w:rFonts w:ascii="Arial" w:eastAsia="Times New Roman" w:hAnsi="Arial" w:cs="Arial"/>
                <w:color w:val="000000"/>
                <w:sz w:val="20"/>
                <w:szCs w:val="20"/>
              </w:rPr>
              <w:t>taxpayer’s assistance</w:t>
            </w:r>
            <w:r w:rsidRPr="00340BEE">
              <w:rPr>
                <w:rFonts w:ascii="Arial" w:eastAsia="Times New Roman" w:hAnsi="Arial" w:cs="Arial"/>
                <w:color w:val="000000"/>
                <w:sz w:val="20"/>
                <w:szCs w:val="20"/>
              </w:rPr>
              <w:t xml:space="preserve"> based on ICT processes and associated hardware and software; and (iii) the e-library system that will eliminate paper form archives.</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9A266" w14:textId="77777777" w:rsidR="00C67CCC" w:rsidRPr="00340BEE" w:rsidRDefault="00C67CCC" w:rsidP="00175F2A">
            <w:pPr>
              <w:spacing w:after="0" w:line="240" w:lineRule="auto"/>
              <w:jc w:val="right"/>
              <w:rPr>
                <w:rFonts w:ascii="Arial" w:eastAsia="Times New Roman" w:hAnsi="Arial" w:cs="Arial"/>
                <w:color w:val="000000"/>
                <w:sz w:val="20"/>
                <w:szCs w:val="20"/>
              </w:rPr>
            </w:pPr>
            <w:r w:rsidRPr="00340BEE">
              <w:rPr>
                <w:rFonts w:ascii="Arial" w:eastAsia="Times New Roman" w:hAnsi="Arial" w:cs="Arial"/>
                <w:color w:val="000000"/>
                <w:sz w:val="20"/>
                <w:szCs w:val="20"/>
              </w:rPr>
              <w:t>1,258,000</w:t>
            </w:r>
          </w:p>
        </w:tc>
      </w:tr>
      <w:tr w:rsidR="00C67CCC" w:rsidRPr="00340BEE" w14:paraId="098C031A" w14:textId="77777777" w:rsidTr="001746B5">
        <w:trPr>
          <w:trHeight w:val="54"/>
        </w:trPr>
        <w:tc>
          <w:tcPr>
            <w:tcW w:w="690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20D0F4" w14:textId="77777777" w:rsidR="00C67CCC" w:rsidRPr="00340BEE" w:rsidRDefault="00C67CCC" w:rsidP="00EB76A0">
            <w:pPr>
              <w:pStyle w:val="ListParagraph"/>
              <w:numPr>
                <w:ilvl w:val="1"/>
                <w:numId w:val="10"/>
              </w:numPr>
              <w:spacing w:after="0" w:line="240" w:lineRule="auto"/>
              <w:jc w:val="both"/>
              <w:rPr>
                <w:rFonts w:ascii="Arial" w:eastAsia="Times New Roman" w:hAnsi="Arial" w:cs="Arial"/>
                <w:b/>
                <w:color w:val="000000"/>
                <w:sz w:val="20"/>
                <w:szCs w:val="20"/>
              </w:rPr>
            </w:pPr>
            <w:r w:rsidRPr="00340BEE">
              <w:rPr>
                <w:rFonts w:ascii="Arial" w:eastAsia="Times New Roman" w:hAnsi="Arial" w:cs="Arial"/>
                <w:b/>
                <w:color w:val="000000"/>
                <w:sz w:val="20"/>
                <w:szCs w:val="20"/>
              </w:rPr>
              <w:t>Modernization physical and technological infrastructure</w:t>
            </w:r>
          </w:p>
          <w:p w14:paraId="1BFCCF8C" w14:textId="2AE000D9" w:rsidR="00175F2A" w:rsidRPr="00340BEE" w:rsidRDefault="00175F2A" w:rsidP="00EB76A0">
            <w:pPr>
              <w:pStyle w:val="ListParagraph"/>
              <w:spacing w:after="0" w:line="240" w:lineRule="auto"/>
              <w:ind w:left="360"/>
              <w:jc w:val="both"/>
              <w:rPr>
                <w:rFonts w:ascii="Arial" w:eastAsia="Times New Roman" w:hAnsi="Arial" w:cs="Arial"/>
                <w:color w:val="000000"/>
                <w:sz w:val="20"/>
                <w:szCs w:val="20"/>
              </w:rPr>
            </w:pPr>
            <w:r w:rsidRPr="00340BEE">
              <w:rPr>
                <w:rFonts w:ascii="Arial" w:eastAsia="Times New Roman" w:hAnsi="Arial" w:cs="Arial"/>
                <w:color w:val="000000"/>
                <w:sz w:val="20"/>
                <w:szCs w:val="20"/>
              </w:rPr>
              <w:t>(i) Web based integrated tax administration system; (ii) ICT infrastructure platform; (iii) Web portal; (iv) document management system; (v</w:t>
            </w:r>
            <w:r w:rsidR="00EB76A0" w:rsidRPr="00340BEE">
              <w:rPr>
                <w:rFonts w:ascii="Arial" w:eastAsia="Times New Roman" w:hAnsi="Arial" w:cs="Arial"/>
                <w:color w:val="000000"/>
                <w:sz w:val="20"/>
                <w:szCs w:val="20"/>
              </w:rPr>
              <w:t>) telecommunication</w:t>
            </w:r>
            <w:r w:rsidRPr="00340BEE">
              <w:rPr>
                <w:rFonts w:ascii="Arial" w:eastAsia="Times New Roman" w:hAnsi="Arial" w:cs="Arial"/>
                <w:color w:val="000000"/>
                <w:sz w:val="20"/>
                <w:szCs w:val="20"/>
              </w:rPr>
              <w:t xml:space="preserve"> infrastructure platform; (vi) data warehouse; (vii) technological platform to prevent misuse of the computer applications; (viii) integrated interface of the payment system; and (ix) office facilities and fixtures.</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2FC75" w14:textId="77777777" w:rsidR="00C67CCC" w:rsidRPr="00340BEE" w:rsidRDefault="00C67CCC" w:rsidP="00175F2A">
            <w:pPr>
              <w:spacing w:after="0" w:line="240" w:lineRule="auto"/>
              <w:jc w:val="right"/>
              <w:rPr>
                <w:rFonts w:ascii="Arial" w:eastAsia="Times New Roman" w:hAnsi="Arial" w:cs="Arial"/>
                <w:color w:val="000000"/>
                <w:sz w:val="20"/>
                <w:szCs w:val="20"/>
              </w:rPr>
            </w:pPr>
            <w:r w:rsidRPr="00340BEE">
              <w:rPr>
                <w:rFonts w:ascii="Arial" w:eastAsia="Times New Roman" w:hAnsi="Arial" w:cs="Arial"/>
                <w:color w:val="000000"/>
                <w:sz w:val="20"/>
                <w:szCs w:val="20"/>
              </w:rPr>
              <w:t>27,628,800</w:t>
            </w:r>
          </w:p>
        </w:tc>
      </w:tr>
      <w:tr w:rsidR="00C67CCC" w:rsidRPr="00340BEE" w14:paraId="7C386B7B" w14:textId="77777777" w:rsidTr="001746B5">
        <w:trPr>
          <w:trHeight w:val="54"/>
        </w:trPr>
        <w:tc>
          <w:tcPr>
            <w:tcW w:w="690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14:paraId="5B5FB3D1" w14:textId="77777777" w:rsidR="00C67CCC" w:rsidRPr="00340BEE" w:rsidRDefault="00C67CCC" w:rsidP="00EB76A0">
            <w:pPr>
              <w:spacing w:after="0" w:line="240" w:lineRule="auto"/>
              <w:jc w:val="both"/>
              <w:rPr>
                <w:rFonts w:ascii="Arial" w:eastAsia="Times New Roman" w:hAnsi="Arial" w:cs="Arial"/>
                <w:b/>
                <w:bCs/>
                <w:color w:val="000000"/>
                <w:sz w:val="20"/>
                <w:szCs w:val="20"/>
              </w:rPr>
            </w:pPr>
            <w:r w:rsidRPr="00340BEE">
              <w:rPr>
                <w:rFonts w:ascii="Arial" w:eastAsia="Times New Roman" w:hAnsi="Arial" w:cs="Arial"/>
                <w:b/>
                <w:bCs/>
                <w:color w:val="000000"/>
                <w:sz w:val="20"/>
                <w:szCs w:val="20"/>
              </w:rPr>
              <w:t>Customs Administration</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01823BAF" w14:textId="77777777" w:rsidR="00C67CCC" w:rsidRPr="00340BEE" w:rsidRDefault="00C67CCC" w:rsidP="00175F2A">
            <w:pPr>
              <w:spacing w:after="0" w:line="240" w:lineRule="auto"/>
              <w:jc w:val="right"/>
              <w:rPr>
                <w:rFonts w:ascii="Arial" w:eastAsia="Times New Roman" w:hAnsi="Arial" w:cs="Arial"/>
                <w:color w:val="000000"/>
                <w:sz w:val="20"/>
                <w:szCs w:val="20"/>
              </w:rPr>
            </w:pPr>
          </w:p>
        </w:tc>
      </w:tr>
      <w:tr w:rsidR="00C67CCC" w:rsidRPr="00340BEE" w14:paraId="2349B17D" w14:textId="77777777" w:rsidTr="001746B5">
        <w:trPr>
          <w:trHeight w:val="54"/>
        </w:trPr>
        <w:tc>
          <w:tcPr>
            <w:tcW w:w="690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8055C2" w14:textId="77777777" w:rsidR="00C67CCC" w:rsidRPr="00340BEE" w:rsidRDefault="00C67CCC" w:rsidP="00EB76A0">
            <w:pPr>
              <w:spacing w:after="0" w:line="240" w:lineRule="auto"/>
              <w:jc w:val="both"/>
              <w:rPr>
                <w:rFonts w:ascii="Arial" w:eastAsia="Times New Roman" w:hAnsi="Arial" w:cs="Arial"/>
                <w:b/>
                <w:color w:val="000000"/>
                <w:sz w:val="20"/>
                <w:szCs w:val="20"/>
              </w:rPr>
            </w:pPr>
            <w:r w:rsidRPr="00340BEE">
              <w:rPr>
                <w:rFonts w:ascii="Arial" w:eastAsia="Times New Roman" w:hAnsi="Arial" w:cs="Arial"/>
                <w:b/>
                <w:color w:val="000000"/>
                <w:sz w:val="20"/>
                <w:szCs w:val="20"/>
              </w:rPr>
              <w:t>2.1 Institutional Strengthening.</w:t>
            </w:r>
          </w:p>
          <w:p w14:paraId="2566AD19" w14:textId="77777777" w:rsidR="00175F2A" w:rsidRPr="00340BEE" w:rsidRDefault="00175F2A" w:rsidP="00EB76A0">
            <w:pPr>
              <w:spacing w:after="0" w:line="240" w:lineRule="auto"/>
              <w:ind w:left="342"/>
              <w:jc w:val="both"/>
              <w:rPr>
                <w:rFonts w:ascii="Arial" w:eastAsia="Times New Roman" w:hAnsi="Arial" w:cs="Arial"/>
                <w:color w:val="000000"/>
                <w:sz w:val="20"/>
                <w:szCs w:val="20"/>
              </w:rPr>
            </w:pPr>
            <w:r w:rsidRPr="00340BEE">
              <w:rPr>
                <w:rFonts w:ascii="Arial" w:eastAsia="Times New Roman" w:hAnsi="Arial" w:cs="Arial"/>
                <w:color w:val="000000"/>
                <w:sz w:val="20"/>
                <w:szCs w:val="20"/>
              </w:rPr>
              <w:t>(i) the transition to an executive agency (Jamaica Customs Agency); (ii) the business process reengineering; (iii) the customs automation processes; (iv) the upgrade of the infrastructure and equipment; and (v) strengthening of internal affairs.</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B65B5" w14:textId="77777777" w:rsidR="00C67CCC" w:rsidRPr="00340BEE" w:rsidRDefault="00C67CCC" w:rsidP="00175F2A">
            <w:pPr>
              <w:spacing w:after="0" w:line="240" w:lineRule="auto"/>
              <w:jc w:val="right"/>
              <w:rPr>
                <w:rFonts w:ascii="Arial" w:eastAsia="Times New Roman" w:hAnsi="Arial" w:cs="Arial"/>
                <w:color w:val="000000"/>
                <w:sz w:val="20"/>
                <w:szCs w:val="20"/>
              </w:rPr>
            </w:pPr>
            <w:r w:rsidRPr="00340BEE">
              <w:rPr>
                <w:rFonts w:ascii="Arial" w:eastAsia="Times New Roman" w:hAnsi="Arial" w:cs="Arial"/>
                <w:color w:val="000000"/>
                <w:sz w:val="20"/>
                <w:szCs w:val="20"/>
              </w:rPr>
              <w:t>12,984,300</w:t>
            </w:r>
          </w:p>
        </w:tc>
      </w:tr>
      <w:tr w:rsidR="00C67CCC" w:rsidRPr="00340BEE" w14:paraId="573572F1" w14:textId="77777777" w:rsidTr="001746B5">
        <w:trPr>
          <w:trHeight w:val="54"/>
        </w:trPr>
        <w:tc>
          <w:tcPr>
            <w:tcW w:w="690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2ACF11" w14:textId="77777777" w:rsidR="00C67CCC" w:rsidRPr="00340BEE" w:rsidRDefault="00C67CCC" w:rsidP="00EB76A0">
            <w:pPr>
              <w:spacing w:after="0" w:line="240" w:lineRule="auto"/>
              <w:jc w:val="both"/>
              <w:rPr>
                <w:rFonts w:ascii="Arial" w:eastAsia="Times New Roman" w:hAnsi="Arial" w:cs="Arial"/>
                <w:b/>
                <w:color w:val="000000"/>
                <w:sz w:val="20"/>
                <w:szCs w:val="20"/>
              </w:rPr>
            </w:pPr>
            <w:r w:rsidRPr="00340BEE">
              <w:rPr>
                <w:rFonts w:ascii="Arial" w:eastAsia="Times New Roman" w:hAnsi="Arial" w:cs="Arial"/>
                <w:b/>
                <w:color w:val="000000"/>
                <w:sz w:val="20"/>
                <w:szCs w:val="20"/>
              </w:rPr>
              <w:t>2.2 Control: Support Risk Management and Enforcement.</w:t>
            </w:r>
          </w:p>
          <w:p w14:paraId="4E56A407" w14:textId="77777777" w:rsidR="00175F2A" w:rsidRPr="00340BEE" w:rsidRDefault="00175F2A" w:rsidP="00EB76A0">
            <w:pPr>
              <w:spacing w:after="0" w:line="240" w:lineRule="auto"/>
              <w:ind w:left="342"/>
              <w:jc w:val="both"/>
              <w:rPr>
                <w:rFonts w:ascii="Arial" w:eastAsia="Times New Roman" w:hAnsi="Arial" w:cs="Arial"/>
                <w:color w:val="000000"/>
                <w:sz w:val="20"/>
                <w:szCs w:val="20"/>
              </w:rPr>
            </w:pPr>
            <w:r w:rsidRPr="00340BEE">
              <w:rPr>
                <w:rFonts w:ascii="Arial" w:eastAsia="Times New Roman" w:hAnsi="Arial" w:cs="Arial"/>
                <w:color w:val="000000"/>
                <w:sz w:val="20"/>
                <w:szCs w:val="20"/>
              </w:rPr>
              <w:t>(i) Risk, Case and Valuation Management Program; (ii) Intelligence and Investigations model; (iii) an enhanced post clearance audit system; (iv) a surveillance and fiscal security system; and (v) a customs laboratory to support classification and valuation of merchandise.</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F8D1D" w14:textId="77777777" w:rsidR="00C67CCC" w:rsidRPr="00340BEE" w:rsidRDefault="00C67CCC" w:rsidP="00175F2A">
            <w:pPr>
              <w:spacing w:after="0" w:line="240" w:lineRule="auto"/>
              <w:jc w:val="right"/>
              <w:rPr>
                <w:rFonts w:ascii="Arial" w:eastAsia="Times New Roman" w:hAnsi="Arial" w:cs="Arial"/>
                <w:color w:val="000000"/>
                <w:sz w:val="20"/>
                <w:szCs w:val="20"/>
              </w:rPr>
            </w:pPr>
            <w:r w:rsidRPr="00340BEE">
              <w:rPr>
                <w:rFonts w:ascii="Arial" w:eastAsia="Times New Roman" w:hAnsi="Arial" w:cs="Arial"/>
                <w:color w:val="000000"/>
                <w:sz w:val="20"/>
                <w:szCs w:val="20"/>
              </w:rPr>
              <w:t>3,915,800</w:t>
            </w:r>
          </w:p>
        </w:tc>
      </w:tr>
      <w:tr w:rsidR="00C67CCC" w:rsidRPr="00340BEE" w14:paraId="0A999058" w14:textId="77777777" w:rsidTr="001746B5">
        <w:trPr>
          <w:trHeight w:val="54"/>
        </w:trPr>
        <w:tc>
          <w:tcPr>
            <w:tcW w:w="690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87667C" w14:textId="77777777" w:rsidR="00C67CCC" w:rsidRPr="00340BEE" w:rsidRDefault="00C67CCC" w:rsidP="00EB76A0">
            <w:pPr>
              <w:spacing w:after="0" w:line="240" w:lineRule="auto"/>
              <w:jc w:val="both"/>
              <w:rPr>
                <w:rFonts w:ascii="Arial" w:eastAsia="Times New Roman" w:hAnsi="Arial" w:cs="Arial"/>
                <w:b/>
                <w:color w:val="000000"/>
                <w:sz w:val="20"/>
                <w:szCs w:val="20"/>
              </w:rPr>
            </w:pPr>
            <w:r w:rsidRPr="00340BEE">
              <w:rPr>
                <w:rFonts w:ascii="Arial" w:eastAsia="Times New Roman" w:hAnsi="Arial" w:cs="Arial"/>
                <w:b/>
                <w:color w:val="000000"/>
                <w:sz w:val="20"/>
                <w:szCs w:val="20"/>
              </w:rPr>
              <w:t>2.3 Trade Facilitation.</w:t>
            </w:r>
          </w:p>
          <w:p w14:paraId="3D738235" w14:textId="77777777" w:rsidR="00175F2A" w:rsidRPr="00340BEE" w:rsidRDefault="00175F2A" w:rsidP="00EB76A0">
            <w:pPr>
              <w:spacing w:after="0" w:line="240" w:lineRule="auto"/>
              <w:ind w:left="342"/>
              <w:jc w:val="both"/>
              <w:rPr>
                <w:rFonts w:ascii="Arial" w:eastAsia="Times New Roman" w:hAnsi="Arial" w:cs="Arial"/>
                <w:color w:val="000000"/>
                <w:sz w:val="20"/>
                <w:szCs w:val="20"/>
              </w:rPr>
            </w:pPr>
            <w:r w:rsidRPr="00340BEE">
              <w:rPr>
                <w:rFonts w:ascii="Arial" w:eastAsia="Times New Roman" w:hAnsi="Arial" w:cs="Arial"/>
                <w:color w:val="000000"/>
                <w:sz w:val="20"/>
                <w:szCs w:val="20"/>
              </w:rPr>
              <w:t>(i) readiness assessment of the stakeholder agencies; (ii) design of the Electronic Single Window (ESW) system, including assistance to other government agencies; and (iii) the implementation of the ESW in selected agencies.</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6F8F5" w14:textId="77777777" w:rsidR="00C67CCC" w:rsidRPr="00340BEE" w:rsidRDefault="00C67CCC" w:rsidP="00175F2A">
            <w:pPr>
              <w:spacing w:after="0" w:line="240" w:lineRule="auto"/>
              <w:jc w:val="right"/>
              <w:rPr>
                <w:rFonts w:ascii="Arial" w:eastAsia="Times New Roman" w:hAnsi="Arial" w:cs="Arial"/>
                <w:color w:val="000000"/>
                <w:sz w:val="20"/>
                <w:szCs w:val="20"/>
              </w:rPr>
            </w:pPr>
            <w:r w:rsidRPr="00340BEE">
              <w:rPr>
                <w:rFonts w:ascii="Arial" w:eastAsia="Times New Roman" w:hAnsi="Arial" w:cs="Arial"/>
                <w:color w:val="000000"/>
                <w:sz w:val="20"/>
                <w:szCs w:val="20"/>
              </w:rPr>
              <w:t>2,500,000</w:t>
            </w:r>
          </w:p>
        </w:tc>
      </w:tr>
      <w:tr w:rsidR="00C67CCC" w:rsidRPr="00340BEE" w14:paraId="2AA3D584" w14:textId="77777777" w:rsidTr="001746B5">
        <w:trPr>
          <w:trHeight w:val="54"/>
        </w:trPr>
        <w:tc>
          <w:tcPr>
            <w:tcW w:w="690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14:paraId="4043426E" w14:textId="77777777" w:rsidR="00C67CCC" w:rsidRPr="00340BEE" w:rsidRDefault="00C67CCC" w:rsidP="00EB76A0">
            <w:pPr>
              <w:spacing w:after="0" w:line="240" w:lineRule="auto"/>
              <w:jc w:val="both"/>
              <w:rPr>
                <w:rFonts w:ascii="Arial" w:eastAsia="Times New Roman" w:hAnsi="Arial" w:cs="Arial"/>
                <w:b/>
                <w:bCs/>
                <w:color w:val="000000"/>
                <w:sz w:val="20"/>
                <w:szCs w:val="20"/>
              </w:rPr>
            </w:pPr>
            <w:r w:rsidRPr="00340BEE">
              <w:rPr>
                <w:rFonts w:ascii="Arial" w:eastAsia="Times New Roman" w:hAnsi="Arial" w:cs="Arial"/>
                <w:b/>
                <w:bCs/>
                <w:color w:val="000000"/>
                <w:sz w:val="20"/>
                <w:szCs w:val="20"/>
              </w:rPr>
              <w:t>Debt Management</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6F585438" w14:textId="77777777" w:rsidR="00C67CCC" w:rsidRPr="00340BEE" w:rsidRDefault="00C67CCC" w:rsidP="00175F2A">
            <w:pPr>
              <w:spacing w:after="0" w:line="240" w:lineRule="auto"/>
              <w:jc w:val="right"/>
              <w:rPr>
                <w:rFonts w:ascii="Arial" w:eastAsia="Times New Roman" w:hAnsi="Arial" w:cs="Arial"/>
                <w:color w:val="000000"/>
                <w:sz w:val="20"/>
                <w:szCs w:val="20"/>
              </w:rPr>
            </w:pPr>
          </w:p>
        </w:tc>
      </w:tr>
      <w:tr w:rsidR="00C67CCC" w:rsidRPr="00340BEE" w14:paraId="49EC1D79" w14:textId="77777777" w:rsidTr="001746B5">
        <w:trPr>
          <w:trHeight w:val="54"/>
        </w:trPr>
        <w:tc>
          <w:tcPr>
            <w:tcW w:w="690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42F574" w14:textId="77777777" w:rsidR="00734E15" w:rsidRPr="00340BEE" w:rsidRDefault="00734E15" w:rsidP="00EB76A0">
            <w:pPr>
              <w:spacing w:after="0" w:line="240" w:lineRule="auto"/>
              <w:jc w:val="both"/>
              <w:rPr>
                <w:rFonts w:ascii="Arial" w:eastAsia="Times New Roman" w:hAnsi="Arial" w:cs="Arial"/>
                <w:color w:val="000000"/>
                <w:sz w:val="20"/>
                <w:szCs w:val="20"/>
              </w:rPr>
            </w:pPr>
            <w:r w:rsidRPr="00340BEE">
              <w:rPr>
                <w:rFonts w:ascii="Arial" w:eastAsiaTheme="minorHAnsi" w:hAnsi="Arial" w:cs="Arial"/>
                <w:b/>
                <w:sz w:val="20"/>
                <w:szCs w:val="20"/>
              </w:rPr>
              <w:t>3.1 Strengthening Debt Management operation</w:t>
            </w:r>
            <w:r w:rsidRPr="00340BEE">
              <w:rPr>
                <w:rFonts w:ascii="Arial" w:eastAsiaTheme="minorHAnsi" w:hAnsi="Arial" w:cs="Arial"/>
                <w:sz w:val="20"/>
                <w:szCs w:val="20"/>
              </w:rPr>
              <w:t>.</w:t>
            </w:r>
            <w:r w:rsidRPr="00340BEE">
              <w:rPr>
                <w:rFonts w:ascii="Arial" w:eastAsia="Times New Roman" w:hAnsi="Arial" w:cs="Arial"/>
                <w:color w:val="000000"/>
                <w:sz w:val="20"/>
                <w:szCs w:val="20"/>
              </w:rPr>
              <w:t xml:space="preserve"> </w:t>
            </w:r>
          </w:p>
          <w:p w14:paraId="25CF4E71" w14:textId="77777777" w:rsidR="00734E15" w:rsidRPr="00340BEE" w:rsidRDefault="00734E15" w:rsidP="00EB76A0">
            <w:pPr>
              <w:spacing w:after="0" w:line="240" w:lineRule="auto"/>
              <w:ind w:left="342"/>
              <w:jc w:val="both"/>
              <w:rPr>
                <w:rFonts w:ascii="Arial" w:eastAsia="Times New Roman" w:hAnsi="Arial" w:cs="Arial"/>
                <w:color w:val="000000"/>
                <w:sz w:val="20"/>
                <w:szCs w:val="20"/>
              </w:rPr>
            </w:pPr>
            <w:r w:rsidRPr="00340BEE">
              <w:rPr>
                <w:rFonts w:ascii="Arial" w:eastAsia="Times New Roman" w:hAnsi="Arial" w:cs="Arial"/>
                <w:color w:val="000000"/>
                <w:sz w:val="20"/>
                <w:szCs w:val="20"/>
              </w:rPr>
              <w:t>(i) Strengthening Front Office operation that will implement a new front office model including its corresponding procedure manuals, and the technological infrastructure; (ii) Implementation of Middle Office operations that will establish a new middle office, comprising a new business model and manuals; (iii) Strengthening the Back Office operations by implementing: (a) new back office model, comprising a new business model and corresponding manuals; and (b) new user-friendly Web page; and (iv) Modernizing the Public Enterprise Debt Management that will implement new regulations, business processes, and a financial analysis model.</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0FCBA" w14:textId="77777777" w:rsidR="00C67CCC" w:rsidRPr="00340BEE" w:rsidRDefault="00734E15" w:rsidP="00175F2A">
            <w:pPr>
              <w:spacing w:after="0" w:line="240" w:lineRule="auto"/>
              <w:jc w:val="right"/>
              <w:rPr>
                <w:rFonts w:ascii="Arial" w:eastAsia="Times New Roman" w:hAnsi="Arial" w:cs="Arial"/>
                <w:color w:val="000000"/>
                <w:sz w:val="20"/>
                <w:szCs w:val="20"/>
              </w:rPr>
            </w:pPr>
            <w:r w:rsidRPr="00340BEE">
              <w:rPr>
                <w:rFonts w:ascii="Arial" w:eastAsia="Times New Roman" w:hAnsi="Arial" w:cs="Arial"/>
                <w:color w:val="000000"/>
                <w:sz w:val="20"/>
                <w:szCs w:val="20"/>
              </w:rPr>
              <w:t>1.487,800</w:t>
            </w:r>
          </w:p>
        </w:tc>
      </w:tr>
      <w:tr w:rsidR="00C67CCC" w:rsidRPr="00340BEE" w14:paraId="21ACA295" w14:textId="77777777" w:rsidTr="001746B5">
        <w:trPr>
          <w:trHeight w:val="54"/>
        </w:trPr>
        <w:tc>
          <w:tcPr>
            <w:tcW w:w="690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14:paraId="023383C0" w14:textId="77777777" w:rsidR="00C67CCC" w:rsidRPr="00340BEE" w:rsidRDefault="00C67CCC" w:rsidP="00EB76A0">
            <w:pPr>
              <w:spacing w:after="0" w:line="240" w:lineRule="auto"/>
              <w:jc w:val="both"/>
              <w:rPr>
                <w:rFonts w:ascii="Arial" w:eastAsia="Times New Roman" w:hAnsi="Arial" w:cs="Arial"/>
                <w:b/>
                <w:bCs/>
                <w:color w:val="000000"/>
                <w:sz w:val="20"/>
                <w:szCs w:val="20"/>
              </w:rPr>
            </w:pPr>
            <w:r w:rsidRPr="00340BEE">
              <w:rPr>
                <w:rFonts w:ascii="Arial" w:eastAsia="Times New Roman" w:hAnsi="Arial" w:cs="Arial"/>
                <w:b/>
                <w:bCs/>
                <w:color w:val="000000"/>
                <w:sz w:val="20"/>
                <w:szCs w:val="20"/>
              </w:rPr>
              <w:t>Treasury</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0D521998" w14:textId="77777777" w:rsidR="00C67CCC" w:rsidRPr="00340BEE" w:rsidRDefault="00C67CCC" w:rsidP="00175F2A">
            <w:pPr>
              <w:spacing w:after="0" w:line="240" w:lineRule="auto"/>
              <w:jc w:val="right"/>
              <w:rPr>
                <w:rFonts w:ascii="Arial" w:eastAsia="Times New Roman" w:hAnsi="Arial" w:cs="Arial"/>
                <w:color w:val="000000"/>
                <w:sz w:val="20"/>
                <w:szCs w:val="20"/>
              </w:rPr>
            </w:pPr>
          </w:p>
        </w:tc>
      </w:tr>
      <w:tr w:rsidR="00C67CCC" w:rsidRPr="00340BEE" w14:paraId="4381FF59" w14:textId="77777777" w:rsidTr="001746B5">
        <w:trPr>
          <w:trHeight w:val="54"/>
        </w:trPr>
        <w:tc>
          <w:tcPr>
            <w:tcW w:w="690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E5E7BD" w14:textId="77777777" w:rsidR="00734E15" w:rsidRPr="00340BEE" w:rsidRDefault="00C67CCC" w:rsidP="00EB76A0">
            <w:pPr>
              <w:spacing w:after="0" w:line="240" w:lineRule="auto"/>
              <w:jc w:val="both"/>
              <w:rPr>
                <w:rFonts w:ascii="Arial" w:eastAsia="Times New Roman" w:hAnsi="Arial" w:cs="Arial"/>
                <w:color w:val="000000"/>
                <w:sz w:val="20"/>
                <w:szCs w:val="20"/>
              </w:rPr>
            </w:pPr>
            <w:r w:rsidRPr="00340BEE">
              <w:rPr>
                <w:rFonts w:ascii="Arial" w:eastAsia="Times New Roman" w:hAnsi="Arial" w:cs="Arial"/>
                <w:color w:val="000000"/>
                <w:sz w:val="20"/>
                <w:szCs w:val="20"/>
              </w:rPr>
              <w:t>4.1</w:t>
            </w:r>
            <w:r w:rsidR="00734E15" w:rsidRPr="00340BEE">
              <w:rPr>
                <w:rFonts w:ascii="Arial" w:eastAsiaTheme="minorHAnsi" w:hAnsi="Arial" w:cs="Arial"/>
                <w:b/>
                <w:sz w:val="20"/>
                <w:szCs w:val="20"/>
              </w:rPr>
              <w:t xml:space="preserve"> Strengthening Treasury Operations</w:t>
            </w:r>
          </w:p>
          <w:p w14:paraId="6CF82266" w14:textId="77777777" w:rsidR="00C67CCC" w:rsidRPr="00340BEE" w:rsidRDefault="00C67CCC" w:rsidP="00EB76A0">
            <w:pPr>
              <w:spacing w:after="0" w:line="240" w:lineRule="auto"/>
              <w:ind w:left="342"/>
              <w:jc w:val="both"/>
              <w:rPr>
                <w:rFonts w:ascii="Arial" w:eastAsia="Times New Roman" w:hAnsi="Arial" w:cs="Arial"/>
                <w:color w:val="000000"/>
                <w:sz w:val="20"/>
                <w:szCs w:val="20"/>
              </w:rPr>
            </w:pPr>
            <w:r w:rsidRPr="00340BEE">
              <w:rPr>
                <w:rFonts w:ascii="Arial" w:eastAsia="Times New Roman" w:hAnsi="Arial" w:cs="Arial"/>
                <w:color w:val="000000"/>
                <w:sz w:val="20"/>
                <w:szCs w:val="20"/>
              </w:rPr>
              <w:t xml:space="preserve"> </w:t>
            </w:r>
            <w:r w:rsidR="00734E15" w:rsidRPr="00340BEE">
              <w:rPr>
                <w:rFonts w:ascii="Arial" w:eastAsia="Times New Roman" w:hAnsi="Arial" w:cs="Arial"/>
                <w:color w:val="000000"/>
                <w:sz w:val="20"/>
                <w:szCs w:val="20"/>
              </w:rPr>
              <w:t xml:space="preserve">(i) Implementation of a </w:t>
            </w:r>
            <w:r w:rsidRPr="00340BEE">
              <w:rPr>
                <w:rFonts w:ascii="Arial" w:eastAsia="Times New Roman" w:hAnsi="Arial" w:cs="Arial"/>
                <w:color w:val="000000"/>
                <w:sz w:val="20"/>
                <w:szCs w:val="20"/>
              </w:rPr>
              <w:t>central cash management and payment system</w:t>
            </w:r>
            <w:r w:rsidR="00734E15" w:rsidRPr="00340BEE">
              <w:rPr>
                <w:rFonts w:ascii="Arial" w:eastAsia="Times New Roman" w:hAnsi="Arial" w:cs="Arial"/>
                <w:color w:val="000000"/>
                <w:sz w:val="20"/>
                <w:szCs w:val="20"/>
              </w:rPr>
              <w:t>; and (ii) Modernizing the technological and physical infrastructure.</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C9879" w14:textId="77777777" w:rsidR="00C67CCC" w:rsidRPr="00340BEE" w:rsidRDefault="00734E15" w:rsidP="00175F2A">
            <w:pPr>
              <w:spacing w:after="0" w:line="240" w:lineRule="auto"/>
              <w:jc w:val="right"/>
              <w:rPr>
                <w:rFonts w:ascii="Arial" w:eastAsia="Times New Roman" w:hAnsi="Arial" w:cs="Arial"/>
                <w:color w:val="000000"/>
                <w:sz w:val="20"/>
                <w:szCs w:val="20"/>
              </w:rPr>
            </w:pPr>
            <w:r w:rsidRPr="00340BEE">
              <w:rPr>
                <w:rFonts w:ascii="Arial" w:eastAsia="Times New Roman" w:hAnsi="Arial" w:cs="Arial"/>
                <w:color w:val="000000"/>
                <w:sz w:val="20"/>
                <w:szCs w:val="20"/>
              </w:rPr>
              <w:t>4,899,500</w:t>
            </w:r>
          </w:p>
        </w:tc>
      </w:tr>
      <w:tr w:rsidR="00C67CCC" w:rsidRPr="00340BEE" w14:paraId="1CA850BA" w14:textId="77777777" w:rsidTr="001746B5">
        <w:trPr>
          <w:trHeight w:val="54"/>
        </w:trPr>
        <w:tc>
          <w:tcPr>
            <w:tcW w:w="690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14:paraId="6D2DC54F" w14:textId="77777777" w:rsidR="00C67CCC" w:rsidRPr="00340BEE" w:rsidRDefault="00734E15" w:rsidP="00EB76A0">
            <w:pPr>
              <w:spacing w:after="0" w:line="240" w:lineRule="auto"/>
              <w:jc w:val="both"/>
              <w:rPr>
                <w:rFonts w:ascii="Arial" w:eastAsia="Times New Roman" w:hAnsi="Arial" w:cs="Arial"/>
                <w:b/>
                <w:color w:val="000000"/>
                <w:sz w:val="20"/>
                <w:szCs w:val="20"/>
              </w:rPr>
            </w:pPr>
            <w:r w:rsidRPr="00340BEE">
              <w:rPr>
                <w:rFonts w:ascii="Arial" w:eastAsia="Times New Roman" w:hAnsi="Arial" w:cs="Arial"/>
                <w:b/>
                <w:color w:val="000000"/>
                <w:sz w:val="20"/>
                <w:szCs w:val="20"/>
              </w:rPr>
              <w:t>Project Management</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0FF74896" w14:textId="77777777" w:rsidR="00C67CCC" w:rsidRPr="00340BEE" w:rsidRDefault="00C67CCC" w:rsidP="00734E15">
            <w:pPr>
              <w:spacing w:after="0" w:line="240" w:lineRule="auto"/>
              <w:jc w:val="center"/>
              <w:rPr>
                <w:rFonts w:ascii="Arial" w:eastAsia="Times New Roman" w:hAnsi="Arial" w:cs="Arial"/>
                <w:b/>
                <w:color w:val="000000"/>
                <w:sz w:val="20"/>
                <w:szCs w:val="20"/>
              </w:rPr>
            </w:pPr>
          </w:p>
        </w:tc>
      </w:tr>
      <w:tr w:rsidR="00C67CCC" w:rsidRPr="00340BEE" w14:paraId="7D2ABB40" w14:textId="77777777" w:rsidTr="001746B5">
        <w:trPr>
          <w:trHeight w:val="54"/>
        </w:trPr>
        <w:tc>
          <w:tcPr>
            <w:tcW w:w="690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2DA5D3" w14:textId="77777777" w:rsidR="00C67CCC" w:rsidRPr="00340BEE" w:rsidRDefault="00734E15" w:rsidP="00EB76A0">
            <w:pPr>
              <w:spacing w:after="0" w:line="240" w:lineRule="auto"/>
              <w:ind w:left="342"/>
              <w:jc w:val="both"/>
              <w:rPr>
                <w:rFonts w:ascii="Arial" w:eastAsia="Times New Roman" w:hAnsi="Arial" w:cs="Arial"/>
                <w:color w:val="000000"/>
                <w:sz w:val="20"/>
                <w:szCs w:val="20"/>
              </w:rPr>
            </w:pPr>
            <w:r w:rsidRPr="00340BEE">
              <w:rPr>
                <w:rFonts w:ascii="Arial" w:eastAsia="Times New Roman" w:hAnsi="Arial" w:cs="Arial"/>
                <w:color w:val="000000"/>
                <w:sz w:val="20"/>
                <w:szCs w:val="20"/>
              </w:rPr>
              <w:lastRenderedPageBreak/>
              <w:t xml:space="preserve">(i) </w:t>
            </w:r>
            <w:r w:rsidR="00580542" w:rsidRPr="00340BEE">
              <w:rPr>
                <w:rFonts w:ascii="Arial" w:eastAsia="Times New Roman" w:hAnsi="Arial" w:cs="Arial"/>
                <w:color w:val="000000"/>
                <w:sz w:val="20"/>
                <w:szCs w:val="20"/>
              </w:rPr>
              <w:t>Personal; (ii) audit; (iii) evaluations; (iv) contingency.</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F303E" w14:textId="77777777" w:rsidR="00C67CCC" w:rsidRPr="00340BEE" w:rsidRDefault="00C67CCC" w:rsidP="00175F2A">
            <w:pPr>
              <w:spacing w:after="0" w:line="240" w:lineRule="auto"/>
              <w:jc w:val="right"/>
              <w:rPr>
                <w:rFonts w:ascii="Arial" w:eastAsia="Times New Roman" w:hAnsi="Arial" w:cs="Arial"/>
                <w:color w:val="000000"/>
                <w:sz w:val="20"/>
                <w:szCs w:val="20"/>
              </w:rPr>
            </w:pPr>
            <w:r w:rsidRPr="00340BEE">
              <w:rPr>
                <w:rFonts w:ascii="Arial" w:eastAsia="Times New Roman" w:hAnsi="Arial" w:cs="Arial"/>
                <w:color w:val="000000"/>
                <w:sz w:val="20"/>
                <w:szCs w:val="20"/>
              </w:rPr>
              <w:t>5,816,300</w:t>
            </w:r>
          </w:p>
        </w:tc>
      </w:tr>
      <w:tr w:rsidR="00C67CCC" w:rsidRPr="00340BEE" w14:paraId="151AAD9C" w14:textId="77777777" w:rsidTr="001746B5">
        <w:trPr>
          <w:trHeight w:val="54"/>
        </w:trPr>
        <w:tc>
          <w:tcPr>
            <w:tcW w:w="6907"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6B5E70B9" w14:textId="77777777" w:rsidR="00C67CCC" w:rsidRPr="00340BEE" w:rsidRDefault="00C67CCC" w:rsidP="00C67CCC">
            <w:pPr>
              <w:spacing w:after="0" w:line="240" w:lineRule="auto"/>
              <w:rPr>
                <w:rFonts w:ascii="Arial" w:eastAsia="Times New Roman" w:hAnsi="Arial" w:cs="Arial"/>
                <w:b/>
                <w:bCs/>
                <w:color w:val="000000"/>
                <w:sz w:val="20"/>
                <w:szCs w:val="20"/>
              </w:rPr>
            </w:pPr>
            <w:r w:rsidRPr="00340BEE">
              <w:rPr>
                <w:rFonts w:ascii="Arial" w:eastAsia="Times New Roman" w:hAnsi="Arial" w:cs="Arial"/>
                <w:b/>
                <w:bCs/>
                <w:color w:val="000000"/>
                <w:sz w:val="20"/>
                <w:szCs w:val="20"/>
              </w:rPr>
              <w:t>Total</w:t>
            </w:r>
          </w:p>
        </w:tc>
        <w:tc>
          <w:tcPr>
            <w:tcW w:w="135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1174765" w14:textId="77777777" w:rsidR="00C67CCC" w:rsidRPr="00340BEE" w:rsidRDefault="00C67CCC" w:rsidP="00C67CCC">
            <w:pPr>
              <w:spacing w:after="0" w:line="240" w:lineRule="auto"/>
              <w:jc w:val="right"/>
              <w:rPr>
                <w:rFonts w:ascii="Arial" w:eastAsia="Times New Roman" w:hAnsi="Arial" w:cs="Arial"/>
                <w:b/>
                <w:bCs/>
                <w:color w:val="000000"/>
                <w:sz w:val="20"/>
                <w:szCs w:val="20"/>
              </w:rPr>
            </w:pPr>
            <w:r w:rsidRPr="00340BEE">
              <w:rPr>
                <w:rFonts w:ascii="Arial" w:eastAsia="Times New Roman" w:hAnsi="Arial" w:cs="Arial"/>
                <w:b/>
                <w:bCs/>
                <w:color w:val="000000"/>
                <w:sz w:val="20"/>
                <w:szCs w:val="20"/>
              </w:rPr>
              <w:t>65,000,000</w:t>
            </w:r>
          </w:p>
        </w:tc>
      </w:tr>
    </w:tbl>
    <w:p w14:paraId="61A1DF12" w14:textId="77777777" w:rsidR="003E5234" w:rsidRDefault="003E5234" w:rsidP="003E5234">
      <w:pPr>
        <w:sectPr w:rsidR="003E5234" w:rsidSect="00C7573A">
          <w:footerReference w:type="even" r:id="rId32"/>
          <w:footerReference w:type="default" r:id="rId33"/>
          <w:type w:val="continuous"/>
          <w:pgSz w:w="12240" w:h="15840"/>
          <w:pgMar w:top="1440" w:right="1800" w:bottom="1440" w:left="1800" w:header="720" w:footer="720" w:gutter="0"/>
          <w:cols w:space="720"/>
          <w:docGrid w:linePitch="360"/>
        </w:sectPr>
      </w:pPr>
    </w:p>
    <w:p w14:paraId="2115D70F" w14:textId="72AC9375" w:rsidR="00935737" w:rsidRPr="003E5234" w:rsidRDefault="00804BAE" w:rsidP="003E5234">
      <w:pPr>
        <w:pStyle w:val="Chapter"/>
        <w:rPr>
          <w:rFonts w:ascii="Arial" w:hAnsi="Arial" w:cs="Arial"/>
        </w:rPr>
      </w:pPr>
      <w:r w:rsidRPr="003E5234">
        <w:rPr>
          <w:rFonts w:ascii="Arial" w:hAnsi="Arial" w:cs="Arial"/>
        </w:rPr>
        <w:lastRenderedPageBreak/>
        <w:t xml:space="preserve">SENSITIVITY </w:t>
      </w:r>
      <w:r w:rsidR="000E2236" w:rsidRPr="003E5234">
        <w:rPr>
          <w:rFonts w:ascii="Arial" w:hAnsi="Arial" w:cs="Arial"/>
        </w:rPr>
        <w:t>ANALYSIS</w:t>
      </w:r>
    </w:p>
    <w:p w14:paraId="2D2B4F16" w14:textId="77777777" w:rsidR="00057A36" w:rsidRPr="003E5234" w:rsidRDefault="009C1D8A" w:rsidP="003E5234">
      <w:pPr>
        <w:pStyle w:val="Paragraph"/>
        <w:rPr>
          <w:rFonts w:ascii="Arial" w:hAnsi="Arial" w:cs="Arial"/>
          <w:sz w:val="22"/>
        </w:rPr>
      </w:pPr>
      <w:r w:rsidRPr="003E5234">
        <w:rPr>
          <w:rFonts w:ascii="Arial" w:hAnsi="Arial" w:cs="Arial"/>
          <w:sz w:val="22"/>
        </w:rPr>
        <w:t xml:space="preserve">Three scenarios were considered for the </w:t>
      </w:r>
      <w:r w:rsidR="00804BAE" w:rsidRPr="003E5234">
        <w:rPr>
          <w:rFonts w:ascii="Arial" w:hAnsi="Arial" w:cs="Arial"/>
          <w:sz w:val="22"/>
        </w:rPr>
        <w:t xml:space="preserve">sensitivity </w:t>
      </w:r>
      <w:r w:rsidRPr="003E5234">
        <w:rPr>
          <w:rFonts w:ascii="Arial" w:hAnsi="Arial" w:cs="Arial"/>
          <w:sz w:val="22"/>
        </w:rPr>
        <w:t xml:space="preserve">analysis: </w:t>
      </w:r>
    </w:p>
    <w:p w14:paraId="7185CC2A" w14:textId="77777777" w:rsidR="00057A36" w:rsidRPr="00340BEE" w:rsidRDefault="00966767" w:rsidP="00773CA8">
      <w:pPr>
        <w:pStyle w:val="ListParagraph"/>
        <w:numPr>
          <w:ilvl w:val="0"/>
          <w:numId w:val="9"/>
        </w:numPr>
        <w:spacing w:before="120" w:after="120" w:line="240" w:lineRule="auto"/>
        <w:contextualSpacing w:val="0"/>
        <w:jc w:val="both"/>
        <w:rPr>
          <w:rFonts w:ascii="Arial" w:hAnsi="Arial" w:cs="Arial"/>
          <w:sz w:val="20"/>
          <w:szCs w:val="20"/>
        </w:rPr>
      </w:pPr>
      <w:r w:rsidRPr="00340BEE">
        <w:rPr>
          <w:rFonts w:ascii="Arial" w:hAnsi="Arial" w:cs="Arial"/>
          <w:sz w:val="20"/>
          <w:szCs w:val="20"/>
        </w:rPr>
        <w:t xml:space="preserve">The </w:t>
      </w:r>
      <w:r w:rsidR="001410C9" w:rsidRPr="00340BEE">
        <w:rPr>
          <w:rFonts w:ascii="Arial" w:hAnsi="Arial" w:cs="Arial"/>
          <w:sz w:val="20"/>
          <w:szCs w:val="20"/>
        </w:rPr>
        <w:t xml:space="preserve">US$ </w:t>
      </w:r>
      <w:r w:rsidR="00871F10" w:rsidRPr="00340BEE">
        <w:rPr>
          <w:rFonts w:ascii="Arial" w:hAnsi="Arial" w:cs="Arial"/>
          <w:sz w:val="20"/>
          <w:szCs w:val="20"/>
        </w:rPr>
        <w:t xml:space="preserve">X Jamaica </w:t>
      </w:r>
      <w:r w:rsidRPr="00340BEE">
        <w:rPr>
          <w:rFonts w:ascii="Arial" w:hAnsi="Arial" w:cs="Arial"/>
          <w:sz w:val="20"/>
          <w:szCs w:val="20"/>
        </w:rPr>
        <w:t>exchange</w:t>
      </w:r>
      <w:r w:rsidR="001410C9" w:rsidRPr="00340BEE">
        <w:rPr>
          <w:rFonts w:ascii="Arial" w:hAnsi="Arial" w:cs="Arial"/>
          <w:sz w:val="20"/>
          <w:szCs w:val="20"/>
        </w:rPr>
        <w:t xml:space="preserve"> rate pace </w:t>
      </w:r>
      <w:r w:rsidRPr="00340BEE">
        <w:rPr>
          <w:rFonts w:ascii="Arial" w:hAnsi="Arial" w:cs="Arial"/>
          <w:sz w:val="20"/>
          <w:szCs w:val="20"/>
        </w:rPr>
        <w:t>increases</w:t>
      </w:r>
      <w:r w:rsidR="00882119" w:rsidRPr="00340BEE">
        <w:rPr>
          <w:rFonts w:ascii="Arial" w:hAnsi="Arial" w:cs="Arial"/>
          <w:sz w:val="20"/>
          <w:szCs w:val="20"/>
        </w:rPr>
        <w:t xml:space="preserve"> </w:t>
      </w:r>
      <w:r w:rsidR="001410C9" w:rsidRPr="00340BEE">
        <w:rPr>
          <w:rFonts w:ascii="Arial" w:hAnsi="Arial" w:cs="Arial"/>
          <w:sz w:val="20"/>
          <w:szCs w:val="20"/>
        </w:rPr>
        <w:t>due to the</w:t>
      </w:r>
      <w:r w:rsidR="00882119" w:rsidRPr="00340BEE">
        <w:rPr>
          <w:rFonts w:ascii="Arial" w:hAnsi="Arial" w:cs="Arial"/>
          <w:sz w:val="20"/>
          <w:szCs w:val="20"/>
        </w:rPr>
        <w:t xml:space="preserve"> </w:t>
      </w:r>
      <w:r w:rsidR="001410C9" w:rsidRPr="00340BEE">
        <w:rPr>
          <w:rFonts w:ascii="Arial" w:hAnsi="Arial" w:cs="Arial"/>
          <w:sz w:val="20"/>
          <w:szCs w:val="20"/>
        </w:rPr>
        <w:t xml:space="preserve">recent </w:t>
      </w:r>
      <w:r w:rsidR="00882119" w:rsidRPr="00340BEE">
        <w:rPr>
          <w:rFonts w:ascii="Arial" w:hAnsi="Arial" w:cs="Arial"/>
          <w:sz w:val="20"/>
          <w:szCs w:val="20"/>
        </w:rPr>
        <w:t xml:space="preserve">improvements in the </w:t>
      </w:r>
      <w:r w:rsidRPr="00340BEE">
        <w:rPr>
          <w:rFonts w:ascii="Arial" w:hAnsi="Arial" w:cs="Arial"/>
          <w:sz w:val="20"/>
          <w:szCs w:val="20"/>
        </w:rPr>
        <w:t>USA economy</w:t>
      </w:r>
      <w:r w:rsidR="00057A36" w:rsidRPr="00340BEE">
        <w:rPr>
          <w:rFonts w:ascii="Arial" w:hAnsi="Arial" w:cs="Arial"/>
          <w:sz w:val="20"/>
          <w:szCs w:val="20"/>
        </w:rPr>
        <w:t>. The following graphic provides an overview about the recently USA Dollar Performance (</w:t>
      </w:r>
      <w:hyperlink r:id="rId34" w:history="1">
        <w:r w:rsidR="00057A36" w:rsidRPr="00340BEE">
          <w:rPr>
            <w:rStyle w:val="Hyperlink"/>
            <w:rFonts w:ascii="Arial" w:hAnsi="Arial" w:cs="Arial"/>
            <w:sz w:val="20"/>
            <w:szCs w:val="20"/>
          </w:rPr>
          <w:t>http://globaleconomicanalysis.blogspot.com/2015/03/major-currencies-vs-us-dollar-2015.html</w:t>
        </w:r>
      </w:hyperlink>
      <w:r w:rsidR="00057A36" w:rsidRPr="00340BEE">
        <w:rPr>
          <w:rFonts w:ascii="Arial" w:hAnsi="Arial" w:cs="Arial"/>
          <w:sz w:val="20"/>
          <w:szCs w:val="20"/>
        </w:rPr>
        <w:t>)</w:t>
      </w:r>
      <w:r w:rsidR="00057A36" w:rsidRPr="00340BEE">
        <w:rPr>
          <w:rFonts w:ascii="Arial" w:hAnsi="Arial" w:cs="Arial"/>
          <w:sz w:val="20"/>
          <w:szCs w:val="20"/>
        </w:rPr>
        <w:tab/>
      </w:r>
    </w:p>
    <w:p w14:paraId="34F66AE8" w14:textId="77777777" w:rsidR="00057A36" w:rsidRPr="00340BEE" w:rsidRDefault="00057A36" w:rsidP="00862F67">
      <w:pPr>
        <w:pStyle w:val="ListParagraph"/>
        <w:spacing w:before="120" w:after="120" w:line="240" w:lineRule="auto"/>
        <w:ind w:left="450"/>
        <w:contextualSpacing w:val="0"/>
        <w:jc w:val="both"/>
        <w:rPr>
          <w:rFonts w:ascii="Arial" w:hAnsi="Arial" w:cs="Arial"/>
          <w:sz w:val="20"/>
          <w:szCs w:val="20"/>
        </w:rPr>
      </w:pPr>
      <w:r w:rsidRPr="00340BEE">
        <w:rPr>
          <w:rFonts w:ascii="Arial" w:hAnsi="Arial" w:cs="Arial"/>
          <w:noProof/>
          <w:sz w:val="20"/>
          <w:szCs w:val="20"/>
          <w:lang w:val="es-ES" w:eastAsia="es-ES"/>
        </w:rPr>
        <w:drawing>
          <wp:inline distT="0" distB="0" distL="0" distR="0" wp14:anchorId="7C523ADD" wp14:editId="33E4F836">
            <wp:extent cx="6313133" cy="2494483"/>
            <wp:effectExtent l="0" t="0" r="0" b="1270"/>
            <wp:docPr id="77" name="Image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6336959" cy="2503897"/>
                    </a:xfrm>
                    <a:prstGeom prst="rect">
                      <a:avLst/>
                    </a:prstGeom>
                  </pic:spPr>
                </pic:pic>
              </a:graphicData>
            </a:graphic>
          </wp:inline>
        </w:drawing>
      </w:r>
    </w:p>
    <w:p w14:paraId="6C7025AA" w14:textId="77777777" w:rsidR="00994082" w:rsidRPr="00340BEE" w:rsidRDefault="00966767" w:rsidP="00773CA8">
      <w:pPr>
        <w:pStyle w:val="ListParagraph"/>
        <w:numPr>
          <w:ilvl w:val="0"/>
          <w:numId w:val="9"/>
        </w:numPr>
        <w:spacing w:before="120" w:after="120" w:line="240" w:lineRule="auto"/>
        <w:contextualSpacing w:val="0"/>
        <w:jc w:val="both"/>
        <w:rPr>
          <w:rFonts w:ascii="Arial" w:hAnsi="Arial" w:cs="Arial"/>
          <w:sz w:val="20"/>
          <w:szCs w:val="20"/>
        </w:rPr>
      </w:pPr>
      <w:r w:rsidRPr="00340BEE">
        <w:rPr>
          <w:rFonts w:ascii="Arial" w:hAnsi="Arial" w:cs="Arial"/>
          <w:sz w:val="20"/>
          <w:szCs w:val="20"/>
        </w:rPr>
        <w:t xml:space="preserve">The </w:t>
      </w:r>
      <w:r w:rsidR="001410C9" w:rsidRPr="00340BEE">
        <w:rPr>
          <w:rFonts w:ascii="Arial" w:hAnsi="Arial" w:cs="Arial"/>
          <w:sz w:val="20"/>
          <w:szCs w:val="20"/>
        </w:rPr>
        <w:t>Jamaica economic growth pace decrease</w:t>
      </w:r>
      <w:r w:rsidR="00994082" w:rsidRPr="00340BEE">
        <w:rPr>
          <w:rFonts w:ascii="Arial" w:hAnsi="Arial" w:cs="Arial"/>
          <w:sz w:val="20"/>
          <w:szCs w:val="20"/>
        </w:rPr>
        <w:t>s</w:t>
      </w:r>
      <w:r w:rsidRPr="00340BEE">
        <w:rPr>
          <w:rFonts w:ascii="Arial" w:hAnsi="Arial" w:cs="Arial"/>
          <w:sz w:val="20"/>
          <w:szCs w:val="20"/>
        </w:rPr>
        <w:t xml:space="preserve"> </w:t>
      </w:r>
      <w:r w:rsidR="00882119" w:rsidRPr="00340BEE">
        <w:rPr>
          <w:rFonts w:ascii="Arial" w:hAnsi="Arial" w:cs="Arial"/>
          <w:sz w:val="20"/>
          <w:szCs w:val="20"/>
        </w:rPr>
        <w:t>due</w:t>
      </w:r>
      <w:r w:rsidR="00663DE6" w:rsidRPr="00340BEE">
        <w:rPr>
          <w:rFonts w:ascii="Arial" w:hAnsi="Arial" w:cs="Arial"/>
          <w:sz w:val="20"/>
          <w:szCs w:val="20"/>
        </w:rPr>
        <w:t xml:space="preserve"> to</w:t>
      </w:r>
      <w:r w:rsidR="00882119" w:rsidRPr="00340BEE">
        <w:rPr>
          <w:rFonts w:ascii="Arial" w:hAnsi="Arial" w:cs="Arial"/>
          <w:sz w:val="20"/>
          <w:szCs w:val="20"/>
        </w:rPr>
        <w:t xml:space="preserve"> </w:t>
      </w:r>
      <w:r w:rsidR="00994082" w:rsidRPr="00340BEE">
        <w:rPr>
          <w:rFonts w:ascii="Arial" w:hAnsi="Arial" w:cs="Arial"/>
          <w:sz w:val="20"/>
          <w:szCs w:val="20"/>
        </w:rPr>
        <w:t xml:space="preserve"> the </w:t>
      </w:r>
      <w:r w:rsidR="00663DE6" w:rsidRPr="00340BEE">
        <w:rPr>
          <w:rFonts w:ascii="Arial" w:hAnsi="Arial" w:cs="Arial"/>
          <w:sz w:val="20"/>
          <w:szCs w:val="20"/>
        </w:rPr>
        <w:t xml:space="preserve">main trading country is </w:t>
      </w:r>
      <w:r w:rsidR="00404909" w:rsidRPr="00340BEE">
        <w:rPr>
          <w:rFonts w:ascii="Arial" w:hAnsi="Arial" w:cs="Arial"/>
          <w:sz w:val="20"/>
          <w:szCs w:val="20"/>
        </w:rPr>
        <w:t xml:space="preserve">the </w:t>
      </w:r>
      <w:r w:rsidR="00663DE6" w:rsidRPr="00340BEE">
        <w:rPr>
          <w:rFonts w:ascii="Arial" w:hAnsi="Arial" w:cs="Arial"/>
          <w:sz w:val="20"/>
          <w:szCs w:val="20"/>
        </w:rPr>
        <w:t>USA</w:t>
      </w:r>
      <w:r w:rsidR="00994082" w:rsidRPr="00340BEE">
        <w:rPr>
          <w:rFonts w:ascii="Arial" w:hAnsi="Arial" w:cs="Arial"/>
          <w:sz w:val="20"/>
          <w:szCs w:val="20"/>
        </w:rPr>
        <w:t xml:space="preserve">. </w:t>
      </w:r>
      <w:r w:rsidR="00663DE6" w:rsidRPr="00340BEE">
        <w:rPr>
          <w:rFonts w:ascii="Arial" w:hAnsi="Arial" w:cs="Arial"/>
          <w:sz w:val="20"/>
          <w:szCs w:val="20"/>
        </w:rPr>
        <w:t xml:space="preserve">In 2014 Jamaica imported US$ 2.2 billion and exported </w:t>
      </w:r>
      <w:r w:rsidR="00994082" w:rsidRPr="00340BEE">
        <w:rPr>
          <w:rFonts w:ascii="Arial" w:hAnsi="Arial" w:cs="Arial"/>
          <w:sz w:val="20"/>
          <w:szCs w:val="20"/>
        </w:rPr>
        <w:t xml:space="preserve">only </w:t>
      </w:r>
      <w:r w:rsidR="00663DE6" w:rsidRPr="00340BEE">
        <w:rPr>
          <w:rFonts w:ascii="Arial" w:hAnsi="Arial" w:cs="Arial"/>
          <w:sz w:val="20"/>
          <w:szCs w:val="20"/>
        </w:rPr>
        <w:t>US$ 542 million from and to USA respectively.</w:t>
      </w:r>
      <w:r w:rsidR="00994082" w:rsidRPr="00340BEE">
        <w:rPr>
          <w:rFonts w:ascii="Arial" w:hAnsi="Arial" w:cs="Arial"/>
          <w:sz w:val="20"/>
          <w:szCs w:val="20"/>
        </w:rPr>
        <w:t xml:space="preserve"> As a result of the </w:t>
      </w:r>
      <w:r w:rsidR="007B6F78" w:rsidRPr="00340BEE">
        <w:rPr>
          <w:rFonts w:ascii="Arial" w:hAnsi="Arial" w:cs="Arial"/>
          <w:sz w:val="20"/>
          <w:szCs w:val="20"/>
        </w:rPr>
        <w:t xml:space="preserve">USA </w:t>
      </w:r>
      <w:r w:rsidR="00994082" w:rsidRPr="00340BEE">
        <w:rPr>
          <w:rFonts w:ascii="Arial" w:hAnsi="Arial" w:cs="Arial"/>
          <w:sz w:val="20"/>
          <w:szCs w:val="20"/>
        </w:rPr>
        <w:t>dollar in</w:t>
      </w:r>
      <w:r w:rsidR="00871F10" w:rsidRPr="00340BEE">
        <w:rPr>
          <w:rFonts w:ascii="Arial" w:hAnsi="Arial" w:cs="Arial"/>
          <w:sz w:val="20"/>
          <w:szCs w:val="20"/>
        </w:rPr>
        <w:t>crease,</w:t>
      </w:r>
      <w:r w:rsidR="00994082" w:rsidRPr="00340BEE">
        <w:rPr>
          <w:rFonts w:ascii="Arial" w:hAnsi="Arial" w:cs="Arial"/>
          <w:sz w:val="20"/>
          <w:szCs w:val="20"/>
        </w:rPr>
        <w:t xml:space="preserve"> the imported products </w:t>
      </w:r>
      <w:r w:rsidR="00871F10" w:rsidRPr="00340BEE">
        <w:rPr>
          <w:rFonts w:ascii="Arial" w:hAnsi="Arial" w:cs="Arial"/>
          <w:sz w:val="20"/>
          <w:szCs w:val="20"/>
        </w:rPr>
        <w:t xml:space="preserve">in Jamaica </w:t>
      </w:r>
      <w:r w:rsidR="00994082" w:rsidRPr="00340BEE">
        <w:rPr>
          <w:rFonts w:ascii="Arial" w:hAnsi="Arial" w:cs="Arial"/>
          <w:sz w:val="20"/>
          <w:szCs w:val="20"/>
        </w:rPr>
        <w:t>will become more expensive. In addition, the Jamaica GDP in dollar will have a negative impact. (</w:t>
      </w:r>
      <w:hyperlink r:id="rId36" w:history="1">
        <w:r w:rsidR="00994082" w:rsidRPr="00340BEE">
          <w:rPr>
            <w:rStyle w:val="Hyperlink"/>
            <w:rFonts w:ascii="Arial" w:hAnsi="Arial" w:cs="Arial"/>
            <w:sz w:val="20"/>
            <w:szCs w:val="20"/>
          </w:rPr>
          <w:t>http://statinja.gov.jm/Trade-Econ%20Statistics/InternationalMerchandiseTrade/TradeRankine.aspx</w:t>
        </w:r>
      </w:hyperlink>
      <w:r w:rsidR="00994082" w:rsidRPr="00340BEE">
        <w:rPr>
          <w:rFonts w:ascii="Arial" w:hAnsi="Arial" w:cs="Arial"/>
          <w:sz w:val="20"/>
          <w:szCs w:val="20"/>
        </w:rPr>
        <w:t>).</w:t>
      </w:r>
    </w:p>
    <w:p w14:paraId="50BC0036" w14:textId="5242A244" w:rsidR="003E5234" w:rsidRPr="00C7573A" w:rsidRDefault="00994082" w:rsidP="00C7573A">
      <w:pPr>
        <w:pStyle w:val="ListParagraph"/>
        <w:spacing w:before="120" w:after="120" w:line="240" w:lineRule="auto"/>
        <w:ind w:left="540"/>
        <w:contextualSpacing w:val="0"/>
        <w:jc w:val="both"/>
      </w:pPr>
      <w:r w:rsidRPr="00340BEE">
        <w:rPr>
          <w:rFonts w:ascii="Arial" w:hAnsi="Arial" w:cs="Arial"/>
          <w:noProof/>
          <w:sz w:val="20"/>
          <w:szCs w:val="20"/>
          <w:lang w:val="es-ES" w:eastAsia="es-ES"/>
        </w:rPr>
        <w:drawing>
          <wp:inline distT="0" distB="0" distL="0" distR="0" wp14:anchorId="6A6E2076" wp14:editId="38C2C2C5">
            <wp:extent cx="6031162" cy="2494483"/>
            <wp:effectExtent l="0" t="0" r="8255" b="1270"/>
            <wp:docPr id="78" name="Image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6044858" cy="2500148"/>
                    </a:xfrm>
                    <a:prstGeom prst="rect">
                      <a:avLst/>
                    </a:prstGeom>
                  </pic:spPr>
                </pic:pic>
              </a:graphicData>
            </a:graphic>
          </wp:inline>
        </w:drawing>
      </w:r>
      <w:r w:rsidR="00663DE6" w:rsidRPr="00340BEE">
        <w:rPr>
          <w:rFonts w:ascii="Arial" w:hAnsi="Arial" w:cs="Arial"/>
          <w:sz w:val="20"/>
          <w:szCs w:val="20"/>
        </w:rPr>
        <w:t xml:space="preserve">   </w:t>
      </w:r>
    </w:p>
    <w:p w14:paraId="34104420" w14:textId="77777777" w:rsidR="009C1D8A" w:rsidRPr="00340BEE" w:rsidRDefault="00E23B6F" w:rsidP="00773CA8">
      <w:pPr>
        <w:pStyle w:val="ListParagraph"/>
        <w:numPr>
          <w:ilvl w:val="0"/>
          <w:numId w:val="9"/>
        </w:numPr>
        <w:spacing w:before="120" w:after="120" w:line="240" w:lineRule="auto"/>
        <w:contextualSpacing w:val="0"/>
        <w:jc w:val="both"/>
        <w:rPr>
          <w:rFonts w:ascii="Arial" w:hAnsi="Arial" w:cs="Arial"/>
          <w:sz w:val="20"/>
          <w:szCs w:val="20"/>
        </w:rPr>
      </w:pPr>
      <w:r w:rsidRPr="00340BEE">
        <w:rPr>
          <w:rFonts w:ascii="Arial" w:hAnsi="Arial" w:cs="Arial"/>
          <w:sz w:val="20"/>
          <w:szCs w:val="20"/>
        </w:rPr>
        <w:lastRenderedPageBreak/>
        <w:t>Occurrence of both Scenarios.</w:t>
      </w:r>
    </w:p>
    <w:tbl>
      <w:tblPr>
        <w:tblW w:w="8910" w:type="dxa"/>
        <w:tblInd w:w="610" w:type="dxa"/>
        <w:tblLayout w:type="fixed"/>
        <w:tblCellMar>
          <w:left w:w="70" w:type="dxa"/>
          <w:right w:w="70" w:type="dxa"/>
        </w:tblCellMar>
        <w:tblLook w:val="04A0" w:firstRow="1" w:lastRow="0" w:firstColumn="1" w:lastColumn="0" w:noHBand="0" w:noVBand="1"/>
      </w:tblPr>
      <w:tblGrid>
        <w:gridCol w:w="2250"/>
        <w:gridCol w:w="1260"/>
        <w:gridCol w:w="2070"/>
        <w:gridCol w:w="1710"/>
        <w:gridCol w:w="1620"/>
      </w:tblGrid>
      <w:tr w:rsidR="00C306A2" w:rsidRPr="00340BEE" w14:paraId="2AA94250" w14:textId="77777777" w:rsidTr="00D247A1">
        <w:trPr>
          <w:trHeight w:val="123"/>
        </w:trPr>
        <w:tc>
          <w:tcPr>
            <w:tcW w:w="8910" w:type="dxa"/>
            <w:gridSpan w:val="5"/>
            <w:tcBorders>
              <w:top w:val="single" w:sz="12" w:space="0" w:color="auto"/>
              <w:left w:val="single" w:sz="12" w:space="0" w:color="auto"/>
              <w:bottom w:val="single" w:sz="4" w:space="0" w:color="auto"/>
              <w:right w:val="single" w:sz="12" w:space="0" w:color="auto"/>
            </w:tcBorders>
            <w:shd w:val="clear" w:color="auto" w:fill="D9D9D9"/>
            <w:hideMark/>
          </w:tcPr>
          <w:p w14:paraId="6F124335" w14:textId="77777777" w:rsidR="00C306A2" w:rsidRPr="00340BEE" w:rsidRDefault="00C306A2" w:rsidP="009A7DF1">
            <w:pPr>
              <w:spacing w:before="120" w:after="120" w:line="240" w:lineRule="auto"/>
              <w:jc w:val="center"/>
              <w:rPr>
                <w:rFonts w:ascii="Arial" w:eastAsia="Times New Roman" w:hAnsi="Arial" w:cs="Arial"/>
                <w:b/>
                <w:color w:val="000000"/>
                <w:sz w:val="20"/>
                <w:szCs w:val="20"/>
                <w:lang w:eastAsia="es-ES"/>
              </w:rPr>
            </w:pPr>
            <w:r w:rsidRPr="00340BEE">
              <w:rPr>
                <w:rFonts w:ascii="Arial" w:eastAsia="Times New Roman" w:hAnsi="Arial" w:cs="Arial"/>
                <w:b/>
                <w:color w:val="000000"/>
                <w:sz w:val="20"/>
                <w:szCs w:val="20"/>
                <w:lang w:eastAsia="es-ES"/>
              </w:rPr>
              <w:br w:type="page"/>
              <w:t>Sensitivity Analysis Summary</w:t>
            </w:r>
          </w:p>
        </w:tc>
      </w:tr>
      <w:tr w:rsidR="00C306A2" w:rsidRPr="00340BEE" w14:paraId="1DC3F04D" w14:textId="77777777" w:rsidTr="00D247A1">
        <w:trPr>
          <w:trHeight w:val="942"/>
        </w:trPr>
        <w:tc>
          <w:tcPr>
            <w:tcW w:w="2250" w:type="dxa"/>
            <w:tcBorders>
              <w:top w:val="single" w:sz="12" w:space="0" w:color="auto"/>
              <w:left w:val="single" w:sz="12" w:space="0" w:color="auto"/>
              <w:bottom w:val="single" w:sz="4" w:space="0" w:color="auto"/>
              <w:right w:val="single" w:sz="4" w:space="0" w:color="auto"/>
            </w:tcBorders>
            <w:shd w:val="clear" w:color="auto" w:fill="D9D9D9"/>
            <w:hideMark/>
          </w:tcPr>
          <w:p w14:paraId="3A61CCDB" w14:textId="77777777" w:rsidR="00C306A2" w:rsidRPr="00340BEE" w:rsidRDefault="00C306A2" w:rsidP="009A7DF1">
            <w:pPr>
              <w:spacing w:before="120" w:after="120" w:line="240" w:lineRule="auto"/>
              <w:jc w:val="center"/>
              <w:rPr>
                <w:rFonts w:ascii="Arial" w:eastAsia="Times New Roman" w:hAnsi="Arial" w:cs="Arial"/>
                <w:b/>
                <w:color w:val="000000"/>
                <w:sz w:val="20"/>
                <w:szCs w:val="20"/>
                <w:lang w:eastAsia="es-ES"/>
              </w:rPr>
            </w:pPr>
            <w:r w:rsidRPr="00340BEE">
              <w:rPr>
                <w:rFonts w:ascii="Arial" w:eastAsia="Times New Roman" w:hAnsi="Arial" w:cs="Arial"/>
                <w:b/>
                <w:color w:val="000000"/>
                <w:sz w:val="20"/>
                <w:szCs w:val="20"/>
                <w:lang w:eastAsia="es-ES"/>
              </w:rPr>
              <w:t>Indicators</w:t>
            </w:r>
          </w:p>
        </w:tc>
        <w:tc>
          <w:tcPr>
            <w:tcW w:w="1260" w:type="dxa"/>
            <w:tcBorders>
              <w:top w:val="single" w:sz="12" w:space="0" w:color="auto"/>
              <w:left w:val="nil"/>
              <w:bottom w:val="single" w:sz="4" w:space="0" w:color="auto"/>
              <w:right w:val="single" w:sz="4" w:space="0" w:color="auto"/>
            </w:tcBorders>
            <w:shd w:val="clear" w:color="auto" w:fill="D9D9D9"/>
            <w:hideMark/>
          </w:tcPr>
          <w:p w14:paraId="54FCC693" w14:textId="77777777" w:rsidR="00C306A2" w:rsidRPr="00340BEE" w:rsidRDefault="00C306A2" w:rsidP="009A7DF1">
            <w:pPr>
              <w:spacing w:before="120" w:after="120" w:line="240" w:lineRule="auto"/>
              <w:jc w:val="center"/>
              <w:rPr>
                <w:rFonts w:ascii="Arial" w:eastAsia="Times New Roman" w:hAnsi="Arial" w:cs="Arial"/>
                <w:b/>
                <w:color w:val="000000"/>
                <w:sz w:val="20"/>
                <w:szCs w:val="20"/>
                <w:lang w:eastAsia="es-ES"/>
              </w:rPr>
            </w:pPr>
            <w:r w:rsidRPr="00340BEE">
              <w:rPr>
                <w:rFonts w:ascii="Arial" w:eastAsia="Times New Roman" w:hAnsi="Arial" w:cs="Arial"/>
                <w:b/>
                <w:color w:val="000000"/>
                <w:sz w:val="20"/>
                <w:szCs w:val="20"/>
                <w:lang w:eastAsia="es-ES"/>
              </w:rPr>
              <w:t>Base Scenario</w:t>
            </w:r>
          </w:p>
        </w:tc>
        <w:tc>
          <w:tcPr>
            <w:tcW w:w="2070" w:type="dxa"/>
            <w:tcBorders>
              <w:top w:val="single" w:sz="12" w:space="0" w:color="auto"/>
              <w:left w:val="nil"/>
              <w:bottom w:val="single" w:sz="4" w:space="0" w:color="auto"/>
              <w:right w:val="single" w:sz="4" w:space="0" w:color="auto"/>
            </w:tcBorders>
            <w:shd w:val="clear" w:color="auto" w:fill="D9D9D9"/>
            <w:hideMark/>
          </w:tcPr>
          <w:p w14:paraId="005AC727" w14:textId="77777777" w:rsidR="00C306A2" w:rsidRPr="00340BEE" w:rsidRDefault="00C306A2">
            <w:pPr>
              <w:spacing w:before="120" w:after="120" w:line="240" w:lineRule="auto"/>
              <w:jc w:val="center"/>
              <w:rPr>
                <w:rFonts w:ascii="Arial" w:eastAsia="Times New Roman" w:hAnsi="Arial" w:cs="Arial"/>
                <w:b/>
                <w:color w:val="000000"/>
                <w:sz w:val="20"/>
                <w:szCs w:val="20"/>
                <w:lang w:eastAsia="es-ES"/>
              </w:rPr>
            </w:pPr>
            <w:r w:rsidRPr="00340BEE">
              <w:rPr>
                <w:rFonts w:ascii="Arial" w:eastAsia="Times New Roman" w:hAnsi="Arial" w:cs="Arial"/>
                <w:b/>
                <w:color w:val="000000"/>
                <w:sz w:val="20"/>
                <w:szCs w:val="20"/>
                <w:lang w:eastAsia="es-ES"/>
              </w:rPr>
              <w:t xml:space="preserve">Scenario 1: </w:t>
            </w:r>
            <w:r w:rsidR="001410C9" w:rsidRPr="00340BEE">
              <w:rPr>
                <w:rFonts w:ascii="Arial" w:eastAsia="Times New Roman" w:hAnsi="Arial" w:cs="Arial"/>
                <w:b/>
                <w:color w:val="000000"/>
                <w:sz w:val="20"/>
                <w:szCs w:val="20"/>
                <w:lang w:eastAsia="es-ES"/>
              </w:rPr>
              <w:t>The US$</w:t>
            </w:r>
            <w:r w:rsidR="00DD6A56" w:rsidRPr="00340BEE">
              <w:rPr>
                <w:rFonts w:ascii="Arial" w:eastAsia="Times New Roman" w:hAnsi="Arial" w:cs="Arial"/>
                <w:b/>
                <w:color w:val="000000"/>
                <w:sz w:val="20"/>
                <w:szCs w:val="20"/>
                <w:lang w:eastAsia="es-ES"/>
              </w:rPr>
              <w:t xml:space="preserve"> X Jamaica </w:t>
            </w:r>
            <w:r w:rsidR="001410C9" w:rsidRPr="00340BEE">
              <w:rPr>
                <w:rFonts w:ascii="Arial" w:eastAsia="Times New Roman" w:hAnsi="Arial" w:cs="Arial"/>
                <w:b/>
                <w:color w:val="000000"/>
                <w:sz w:val="20"/>
                <w:szCs w:val="20"/>
                <w:lang w:eastAsia="es-ES"/>
              </w:rPr>
              <w:t>exchange rate pace increases, due to the recent improvements in the USA economy.</w:t>
            </w:r>
          </w:p>
        </w:tc>
        <w:tc>
          <w:tcPr>
            <w:tcW w:w="1710" w:type="dxa"/>
            <w:tcBorders>
              <w:top w:val="single" w:sz="12" w:space="0" w:color="auto"/>
              <w:left w:val="nil"/>
              <w:bottom w:val="single" w:sz="4" w:space="0" w:color="auto"/>
              <w:right w:val="single" w:sz="4" w:space="0" w:color="auto"/>
            </w:tcBorders>
            <w:shd w:val="clear" w:color="auto" w:fill="D9D9D9"/>
            <w:hideMark/>
          </w:tcPr>
          <w:p w14:paraId="3596DD2A" w14:textId="77777777" w:rsidR="00C306A2" w:rsidRPr="00340BEE" w:rsidRDefault="00C306A2">
            <w:pPr>
              <w:spacing w:before="120" w:after="120" w:line="240" w:lineRule="auto"/>
              <w:jc w:val="center"/>
              <w:rPr>
                <w:rFonts w:ascii="Arial" w:eastAsia="Times New Roman" w:hAnsi="Arial" w:cs="Arial"/>
                <w:b/>
                <w:color w:val="000000"/>
                <w:sz w:val="20"/>
                <w:szCs w:val="20"/>
                <w:lang w:eastAsia="es-ES"/>
              </w:rPr>
            </w:pPr>
            <w:r w:rsidRPr="00340BEE">
              <w:rPr>
                <w:rFonts w:ascii="Arial" w:eastAsia="Times New Roman" w:hAnsi="Arial" w:cs="Arial"/>
                <w:b/>
                <w:color w:val="000000"/>
                <w:sz w:val="20"/>
                <w:szCs w:val="20"/>
                <w:lang w:eastAsia="es-ES"/>
              </w:rPr>
              <w:t xml:space="preserve">Scenario 2: </w:t>
            </w:r>
            <w:r w:rsidR="00994082" w:rsidRPr="00340BEE">
              <w:rPr>
                <w:rFonts w:ascii="Arial" w:eastAsia="Times New Roman" w:hAnsi="Arial" w:cs="Arial"/>
                <w:b/>
                <w:color w:val="000000"/>
                <w:sz w:val="20"/>
                <w:szCs w:val="20"/>
                <w:lang w:eastAsia="es-ES"/>
              </w:rPr>
              <w:t xml:space="preserve">The Jamaica economic growth pace decrease due to the main Jamaica trading country is </w:t>
            </w:r>
            <w:r w:rsidR="00404909" w:rsidRPr="00340BEE">
              <w:rPr>
                <w:rFonts w:ascii="Arial" w:eastAsia="Times New Roman" w:hAnsi="Arial" w:cs="Arial"/>
                <w:b/>
                <w:color w:val="000000"/>
                <w:sz w:val="20"/>
                <w:szCs w:val="20"/>
                <w:lang w:eastAsia="es-ES"/>
              </w:rPr>
              <w:t xml:space="preserve">the </w:t>
            </w:r>
            <w:r w:rsidR="00994082" w:rsidRPr="00340BEE">
              <w:rPr>
                <w:rFonts w:ascii="Arial" w:eastAsia="Times New Roman" w:hAnsi="Arial" w:cs="Arial"/>
                <w:b/>
                <w:color w:val="000000"/>
                <w:sz w:val="20"/>
                <w:szCs w:val="20"/>
                <w:lang w:eastAsia="es-ES"/>
              </w:rPr>
              <w:t>USA</w:t>
            </w:r>
          </w:p>
        </w:tc>
        <w:tc>
          <w:tcPr>
            <w:tcW w:w="1620" w:type="dxa"/>
            <w:tcBorders>
              <w:top w:val="single" w:sz="12" w:space="0" w:color="auto"/>
              <w:left w:val="nil"/>
              <w:bottom w:val="single" w:sz="4" w:space="0" w:color="auto"/>
              <w:right w:val="single" w:sz="12" w:space="0" w:color="auto"/>
            </w:tcBorders>
            <w:shd w:val="clear" w:color="auto" w:fill="D9D9D9"/>
            <w:hideMark/>
          </w:tcPr>
          <w:p w14:paraId="77AF5E5C" w14:textId="77777777" w:rsidR="00C306A2" w:rsidRPr="00340BEE" w:rsidRDefault="00C306A2" w:rsidP="009A7DF1">
            <w:pPr>
              <w:spacing w:before="120" w:after="120" w:line="240" w:lineRule="auto"/>
              <w:jc w:val="center"/>
              <w:rPr>
                <w:rFonts w:ascii="Arial" w:eastAsia="Times New Roman" w:hAnsi="Arial" w:cs="Arial"/>
                <w:b/>
                <w:color w:val="000000"/>
                <w:sz w:val="20"/>
                <w:szCs w:val="20"/>
                <w:lang w:eastAsia="es-ES"/>
              </w:rPr>
            </w:pPr>
            <w:r w:rsidRPr="00340BEE">
              <w:rPr>
                <w:rFonts w:ascii="Arial" w:eastAsia="Times New Roman" w:hAnsi="Arial" w:cs="Arial"/>
                <w:b/>
                <w:color w:val="000000"/>
                <w:sz w:val="20"/>
                <w:szCs w:val="20"/>
                <w:lang w:eastAsia="es-ES"/>
              </w:rPr>
              <w:t>Scenario 3: Occurrence of both scenarios.</w:t>
            </w:r>
          </w:p>
        </w:tc>
      </w:tr>
      <w:tr w:rsidR="00C306A2" w:rsidRPr="00340BEE" w14:paraId="37BAAE84" w14:textId="77777777" w:rsidTr="00BF3D2F">
        <w:trPr>
          <w:trHeight w:val="485"/>
        </w:trPr>
        <w:tc>
          <w:tcPr>
            <w:tcW w:w="2250" w:type="dxa"/>
            <w:tcBorders>
              <w:top w:val="nil"/>
              <w:left w:val="single" w:sz="12" w:space="0" w:color="auto"/>
              <w:bottom w:val="single" w:sz="4" w:space="0" w:color="auto"/>
              <w:right w:val="single" w:sz="4" w:space="0" w:color="auto"/>
            </w:tcBorders>
            <w:shd w:val="clear" w:color="auto" w:fill="auto"/>
            <w:noWrap/>
            <w:vAlign w:val="bottom"/>
            <w:hideMark/>
          </w:tcPr>
          <w:p w14:paraId="00E67DA3" w14:textId="77777777" w:rsidR="00C306A2" w:rsidRPr="00340BEE" w:rsidRDefault="00C306A2" w:rsidP="009A7DF1">
            <w:pPr>
              <w:spacing w:before="120" w:after="120" w:line="240" w:lineRule="auto"/>
              <w:rPr>
                <w:rFonts w:ascii="Arial" w:eastAsia="Times New Roman" w:hAnsi="Arial" w:cs="Arial"/>
                <w:color w:val="000000"/>
                <w:sz w:val="20"/>
                <w:szCs w:val="20"/>
                <w:lang w:eastAsia="es-ES"/>
              </w:rPr>
            </w:pPr>
            <w:r w:rsidRPr="00340BEE">
              <w:rPr>
                <w:rFonts w:ascii="Arial" w:eastAsia="Times New Roman" w:hAnsi="Arial" w:cs="Arial"/>
                <w:color w:val="000000"/>
                <w:sz w:val="20"/>
                <w:szCs w:val="20"/>
                <w:lang w:eastAsia="es-ES"/>
              </w:rPr>
              <w:t>Net Benefit (Present Value) US$ million</w:t>
            </w:r>
          </w:p>
        </w:tc>
        <w:tc>
          <w:tcPr>
            <w:tcW w:w="1260" w:type="dxa"/>
            <w:tcBorders>
              <w:top w:val="nil"/>
              <w:left w:val="nil"/>
              <w:bottom w:val="single" w:sz="4" w:space="0" w:color="auto"/>
              <w:right w:val="single" w:sz="4" w:space="0" w:color="auto"/>
            </w:tcBorders>
            <w:shd w:val="clear" w:color="auto" w:fill="auto"/>
            <w:noWrap/>
            <w:vAlign w:val="center"/>
          </w:tcPr>
          <w:p w14:paraId="256E8A84" w14:textId="746FC05B" w:rsidR="00C306A2" w:rsidRPr="00340BEE" w:rsidRDefault="00BF3D2F" w:rsidP="009A7DF1">
            <w:pPr>
              <w:spacing w:before="120" w:after="120" w:line="240" w:lineRule="auto"/>
              <w:ind w:right="110"/>
              <w:jc w:val="center"/>
              <w:rPr>
                <w:rFonts w:ascii="Arial" w:eastAsia="Times New Roman" w:hAnsi="Arial" w:cs="Arial"/>
                <w:color w:val="000000"/>
                <w:sz w:val="20"/>
                <w:szCs w:val="20"/>
                <w:lang w:eastAsia="es-ES"/>
              </w:rPr>
            </w:pPr>
            <w:r w:rsidRPr="00340BEE">
              <w:rPr>
                <w:rFonts w:ascii="Arial" w:eastAsia="Times New Roman" w:hAnsi="Arial" w:cs="Arial"/>
                <w:color w:val="000000"/>
                <w:sz w:val="20"/>
                <w:szCs w:val="20"/>
                <w:lang w:eastAsia="es-ES"/>
              </w:rPr>
              <w:t>294.4</w:t>
            </w:r>
          </w:p>
        </w:tc>
        <w:tc>
          <w:tcPr>
            <w:tcW w:w="2070" w:type="dxa"/>
            <w:tcBorders>
              <w:top w:val="nil"/>
              <w:left w:val="nil"/>
              <w:bottom w:val="single" w:sz="4" w:space="0" w:color="auto"/>
              <w:right w:val="single" w:sz="4" w:space="0" w:color="auto"/>
            </w:tcBorders>
            <w:shd w:val="clear" w:color="auto" w:fill="auto"/>
            <w:noWrap/>
            <w:vAlign w:val="center"/>
          </w:tcPr>
          <w:p w14:paraId="1CC4BB8E" w14:textId="53F1230B" w:rsidR="00C306A2" w:rsidRPr="00340BEE" w:rsidRDefault="00BF3D2F" w:rsidP="009A7DF1">
            <w:pPr>
              <w:spacing w:before="120" w:after="120" w:line="240" w:lineRule="auto"/>
              <w:ind w:right="110"/>
              <w:jc w:val="center"/>
              <w:rPr>
                <w:rFonts w:ascii="Arial" w:eastAsia="Times New Roman" w:hAnsi="Arial" w:cs="Arial"/>
                <w:color w:val="000000"/>
                <w:sz w:val="20"/>
                <w:szCs w:val="20"/>
                <w:lang w:eastAsia="es-ES"/>
              </w:rPr>
            </w:pPr>
            <w:r w:rsidRPr="00340BEE">
              <w:rPr>
                <w:rFonts w:ascii="Arial" w:eastAsia="Times New Roman" w:hAnsi="Arial" w:cs="Arial"/>
                <w:color w:val="000000"/>
                <w:sz w:val="20"/>
                <w:szCs w:val="20"/>
                <w:lang w:eastAsia="es-ES"/>
              </w:rPr>
              <w:t>274.9</w:t>
            </w:r>
          </w:p>
        </w:tc>
        <w:tc>
          <w:tcPr>
            <w:tcW w:w="1710" w:type="dxa"/>
            <w:tcBorders>
              <w:top w:val="nil"/>
              <w:left w:val="nil"/>
              <w:bottom w:val="single" w:sz="4" w:space="0" w:color="auto"/>
              <w:right w:val="single" w:sz="4" w:space="0" w:color="auto"/>
            </w:tcBorders>
            <w:shd w:val="clear" w:color="auto" w:fill="auto"/>
            <w:noWrap/>
            <w:vAlign w:val="center"/>
          </w:tcPr>
          <w:p w14:paraId="425BEE25" w14:textId="3E99623F" w:rsidR="00C306A2" w:rsidRPr="00340BEE" w:rsidRDefault="00BF3D2F" w:rsidP="009A7DF1">
            <w:pPr>
              <w:spacing w:before="120" w:after="120" w:line="240" w:lineRule="auto"/>
              <w:ind w:right="110"/>
              <w:jc w:val="center"/>
              <w:rPr>
                <w:rFonts w:ascii="Arial" w:eastAsia="Times New Roman" w:hAnsi="Arial" w:cs="Arial"/>
                <w:color w:val="000000"/>
                <w:sz w:val="20"/>
                <w:szCs w:val="20"/>
                <w:lang w:eastAsia="es-ES"/>
              </w:rPr>
            </w:pPr>
            <w:r w:rsidRPr="00340BEE">
              <w:rPr>
                <w:rFonts w:ascii="Arial" w:eastAsia="Times New Roman" w:hAnsi="Arial" w:cs="Arial"/>
                <w:color w:val="000000"/>
                <w:sz w:val="20"/>
                <w:szCs w:val="20"/>
                <w:lang w:eastAsia="es-ES"/>
              </w:rPr>
              <w:t>244.6</w:t>
            </w:r>
          </w:p>
        </w:tc>
        <w:tc>
          <w:tcPr>
            <w:tcW w:w="1620" w:type="dxa"/>
            <w:tcBorders>
              <w:top w:val="nil"/>
              <w:left w:val="nil"/>
              <w:bottom w:val="single" w:sz="4" w:space="0" w:color="auto"/>
              <w:right w:val="single" w:sz="12" w:space="0" w:color="auto"/>
            </w:tcBorders>
            <w:shd w:val="clear" w:color="auto" w:fill="auto"/>
            <w:noWrap/>
            <w:vAlign w:val="center"/>
          </w:tcPr>
          <w:p w14:paraId="5BCBE26F" w14:textId="2F325367" w:rsidR="00C306A2" w:rsidRPr="00340BEE" w:rsidRDefault="00BF3D2F" w:rsidP="009A7DF1">
            <w:pPr>
              <w:spacing w:before="120" w:after="120" w:line="240" w:lineRule="auto"/>
              <w:ind w:right="110"/>
              <w:jc w:val="center"/>
              <w:rPr>
                <w:rFonts w:ascii="Arial" w:eastAsia="Times New Roman" w:hAnsi="Arial" w:cs="Arial"/>
                <w:color w:val="000000"/>
                <w:sz w:val="20"/>
                <w:szCs w:val="20"/>
                <w:lang w:eastAsia="es-ES"/>
              </w:rPr>
            </w:pPr>
            <w:r w:rsidRPr="00340BEE">
              <w:rPr>
                <w:rFonts w:ascii="Arial" w:eastAsia="Times New Roman" w:hAnsi="Arial" w:cs="Arial"/>
                <w:color w:val="000000"/>
                <w:sz w:val="20"/>
                <w:szCs w:val="20"/>
                <w:lang w:eastAsia="es-ES"/>
              </w:rPr>
              <w:t>225</w:t>
            </w:r>
          </w:p>
        </w:tc>
      </w:tr>
      <w:tr w:rsidR="00C306A2" w:rsidRPr="00340BEE" w14:paraId="7437C48B" w14:textId="77777777" w:rsidTr="00D247A1">
        <w:trPr>
          <w:trHeight w:val="134"/>
        </w:trPr>
        <w:tc>
          <w:tcPr>
            <w:tcW w:w="2250" w:type="dxa"/>
            <w:tcBorders>
              <w:top w:val="nil"/>
              <w:left w:val="single" w:sz="12" w:space="0" w:color="auto"/>
              <w:bottom w:val="single" w:sz="12" w:space="0" w:color="auto"/>
              <w:right w:val="single" w:sz="4" w:space="0" w:color="auto"/>
            </w:tcBorders>
            <w:shd w:val="clear" w:color="auto" w:fill="auto"/>
            <w:noWrap/>
            <w:vAlign w:val="bottom"/>
            <w:hideMark/>
          </w:tcPr>
          <w:p w14:paraId="0FC5D0E7" w14:textId="77777777" w:rsidR="00C306A2" w:rsidRPr="00340BEE" w:rsidRDefault="00C306A2" w:rsidP="009A7DF1">
            <w:pPr>
              <w:spacing w:before="120" w:after="120" w:line="240" w:lineRule="auto"/>
              <w:rPr>
                <w:rFonts w:ascii="Arial" w:eastAsia="Times New Roman" w:hAnsi="Arial" w:cs="Arial"/>
                <w:color w:val="000000"/>
                <w:sz w:val="20"/>
                <w:szCs w:val="20"/>
                <w:lang w:eastAsia="es-ES"/>
              </w:rPr>
            </w:pPr>
            <w:r w:rsidRPr="00340BEE">
              <w:rPr>
                <w:rFonts w:ascii="Arial" w:eastAsia="Times New Roman" w:hAnsi="Arial" w:cs="Arial"/>
                <w:color w:val="000000"/>
                <w:sz w:val="20"/>
                <w:szCs w:val="20"/>
                <w:lang w:eastAsia="es-ES"/>
              </w:rPr>
              <w:t>Internal Rate of Return (%)</w:t>
            </w:r>
          </w:p>
        </w:tc>
        <w:tc>
          <w:tcPr>
            <w:tcW w:w="1260" w:type="dxa"/>
            <w:tcBorders>
              <w:top w:val="nil"/>
              <w:left w:val="nil"/>
              <w:bottom w:val="single" w:sz="12" w:space="0" w:color="auto"/>
              <w:right w:val="single" w:sz="4" w:space="0" w:color="auto"/>
            </w:tcBorders>
            <w:shd w:val="clear" w:color="auto" w:fill="auto"/>
            <w:noWrap/>
            <w:vAlign w:val="center"/>
          </w:tcPr>
          <w:p w14:paraId="32EBE451" w14:textId="4E22375A" w:rsidR="00C306A2" w:rsidRPr="00340BEE" w:rsidRDefault="00BF3D2F" w:rsidP="009A7DF1">
            <w:pPr>
              <w:spacing w:before="120" w:after="120" w:line="240" w:lineRule="auto"/>
              <w:ind w:right="110"/>
              <w:jc w:val="center"/>
              <w:rPr>
                <w:rFonts w:ascii="Arial" w:eastAsia="Times New Roman" w:hAnsi="Arial" w:cs="Arial"/>
                <w:color w:val="000000"/>
                <w:sz w:val="20"/>
                <w:szCs w:val="20"/>
                <w:lang w:eastAsia="es-ES"/>
              </w:rPr>
            </w:pPr>
            <w:r w:rsidRPr="00340BEE">
              <w:rPr>
                <w:rFonts w:ascii="Arial" w:eastAsia="Times New Roman" w:hAnsi="Arial" w:cs="Arial"/>
                <w:color w:val="000000"/>
                <w:sz w:val="20"/>
                <w:szCs w:val="20"/>
                <w:lang w:eastAsia="es-ES"/>
              </w:rPr>
              <w:t>78</w:t>
            </w:r>
          </w:p>
        </w:tc>
        <w:tc>
          <w:tcPr>
            <w:tcW w:w="2070" w:type="dxa"/>
            <w:tcBorders>
              <w:top w:val="nil"/>
              <w:left w:val="nil"/>
              <w:bottom w:val="single" w:sz="12" w:space="0" w:color="auto"/>
              <w:right w:val="single" w:sz="4" w:space="0" w:color="auto"/>
            </w:tcBorders>
            <w:shd w:val="clear" w:color="auto" w:fill="auto"/>
            <w:noWrap/>
            <w:vAlign w:val="center"/>
          </w:tcPr>
          <w:p w14:paraId="1EA2CC52" w14:textId="13CDD91F" w:rsidR="00C306A2" w:rsidRPr="00340BEE" w:rsidRDefault="00BF3D2F" w:rsidP="009A7DF1">
            <w:pPr>
              <w:spacing w:before="120" w:after="120" w:line="240" w:lineRule="auto"/>
              <w:ind w:right="110"/>
              <w:jc w:val="center"/>
              <w:rPr>
                <w:rFonts w:ascii="Arial" w:eastAsia="Times New Roman" w:hAnsi="Arial" w:cs="Arial"/>
                <w:color w:val="000000"/>
                <w:sz w:val="20"/>
                <w:szCs w:val="20"/>
                <w:lang w:eastAsia="es-ES"/>
              </w:rPr>
            </w:pPr>
            <w:r w:rsidRPr="00340BEE">
              <w:rPr>
                <w:rFonts w:ascii="Arial" w:eastAsia="Times New Roman" w:hAnsi="Arial" w:cs="Arial"/>
                <w:color w:val="000000"/>
                <w:sz w:val="20"/>
                <w:szCs w:val="20"/>
                <w:lang w:eastAsia="es-ES"/>
              </w:rPr>
              <w:t>75</w:t>
            </w:r>
          </w:p>
        </w:tc>
        <w:tc>
          <w:tcPr>
            <w:tcW w:w="1710" w:type="dxa"/>
            <w:tcBorders>
              <w:top w:val="nil"/>
              <w:left w:val="nil"/>
              <w:bottom w:val="single" w:sz="12" w:space="0" w:color="auto"/>
              <w:right w:val="single" w:sz="4" w:space="0" w:color="auto"/>
            </w:tcBorders>
            <w:shd w:val="clear" w:color="auto" w:fill="auto"/>
            <w:noWrap/>
            <w:vAlign w:val="center"/>
          </w:tcPr>
          <w:p w14:paraId="668537E9" w14:textId="273C1069" w:rsidR="00C306A2" w:rsidRPr="00340BEE" w:rsidRDefault="00BF3D2F" w:rsidP="009A7DF1">
            <w:pPr>
              <w:spacing w:before="120" w:after="120" w:line="240" w:lineRule="auto"/>
              <w:ind w:right="110"/>
              <w:jc w:val="center"/>
              <w:rPr>
                <w:rFonts w:ascii="Arial" w:eastAsia="Times New Roman" w:hAnsi="Arial" w:cs="Arial"/>
                <w:color w:val="000000"/>
                <w:sz w:val="20"/>
                <w:szCs w:val="20"/>
                <w:lang w:eastAsia="es-ES"/>
              </w:rPr>
            </w:pPr>
            <w:r w:rsidRPr="00340BEE">
              <w:rPr>
                <w:rFonts w:ascii="Arial" w:eastAsia="Times New Roman" w:hAnsi="Arial" w:cs="Arial"/>
                <w:color w:val="000000"/>
                <w:sz w:val="20"/>
                <w:szCs w:val="20"/>
                <w:lang w:eastAsia="es-ES"/>
              </w:rPr>
              <w:t>71</w:t>
            </w:r>
          </w:p>
        </w:tc>
        <w:tc>
          <w:tcPr>
            <w:tcW w:w="1620" w:type="dxa"/>
            <w:tcBorders>
              <w:top w:val="nil"/>
              <w:left w:val="nil"/>
              <w:bottom w:val="single" w:sz="12" w:space="0" w:color="auto"/>
              <w:right w:val="single" w:sz="12" w:space="0" w:color="auto"/>
            </w:tcBorders>
            <w:shd w:val="clear" w:color="auto" w:fill="auto"/>
            <w:noWrap/>
            <w:vAlign w:val="center"/>
          </w:tcPr>
          <w:p w14:paraId="1FBEC27C" w14:textId="6B160D01" w:rsidR="00C306A2" w:rsidRPr="00340BEE" w:rsidRDefault="00BF3D2F" w:rsidP="009A7DF1">
            <w:pPr>
              <w:spacing w:before="120" w:after="120" w:line="240" w:lineRule="auto"/>
              <w:ind w:right="110"/>
              <w:jc w:val="center"/>
              <w:rPr>
                <w:rFonts w:ascii="Arial" w:eastAsia="Times New Roman" w:hAnsi="Arial" w:cs="Arial"/>
                <w:color w:val="000000"/>
                <w:sz w:val="20"/>
                <w:szCs w:val="20"/>
                <w:lang w:eastAsia="es-ES"/>
              </w:rPr>
            </w:pPr>
            <w:r w:rsidRPr="00340BEE">
              <w:rPr>
                <w:rFonts w:ascii="Arial" w:eastAsia="Times New Roman" w:hAnsi="Arial" w:cs="Arial"/>
                <w:color w:val="000000"/>
                <w:sz w:val="20"/>
                <w:szCs w:val="20"/>
                <w:lang w:eastAsia="es-ES"/>
              </w:rPr>
              <w:t>68</w:t>
            </w:r>
          </w:p>
        </w:tc>
      </w:tr>
    </w:tbl>
    <w:p w14:paraId="1A7BFCDD" w14:textId="77777777" w:rsidR="00C306A2" w:rsidRPr="00340BEE" w:rsidRDefault="00C306A2" w:rsidP="00C306A2">
      <w:pPr>
        <w:pStyle w:val="ListParagraph"/>
        <w:spacing w:before="120" w:after="120" w:line="240" w:lineRule="auto"/>
        <w:ind w:left="547"/>
        <w:contextualSpacing w:val="0"/>
        <w:jc w:val="both"/>
        <w:rPr>
          <w:rFonts w:ascii="Arial" w:hAnsi="Arial" w:cs="Arial"/>
          <w:sz w:val="20"/>
          <w:szCs w:val="20"/>
        </w:rPr>
      </w:pPr>
    </w:p>
    <w:p w14:paraId="21A06136" w14:textId="77777777" w:rsidR="00BE0DB9" w:rsidRPr="003E5234" w:rsidRDefault="00500E7A" w:rsidP="003E5234">
      <w:pPr>
        <w:pStyle w:val="Paragraph"/>
        <w:rPr>
          <w:rFonts w:ascii="Arial" w:hAnsi="Arial" w:cs="Arial"/>
          <w:sz w:val="20"/>
        </w:rPr>
      </w:pPr>
      <w:r w:rsidRPr="003E5234">
        <w:rPr>
          <w:rFonts w:ascii="Arial" w:hAnsi="Arial" w:cs="Arial"/>
          <w:sz w:val="20"/>
        </w:rPr>
        <w:t>The results of the simulation</w:t>
      </w:r>
      <w:r w:rsidR="008B56A3" w:rsidRPr="003E5234">
        <w:rPr>
          <w:rFonts w:ascii="Arial" w:hAnsi="Arial" w:cs="Arial"/>
          <w:sz w:val="20"/>
        </w:rPr>
        <w:t>s</w:t>
      </w:r>
      <w:r w:rsidRPr="003E5234">
        <w:rPr>
          <w:rFonts w:ascii="Arial" w:hAnsi="Arial" w:cs="Arial"/>
          <w:sz w:val="20"/>
        </w:rPr>
        <w:t xml:space="preserve"> do not modify the </w:t>
      </w:r>
      <w:r w:rsidR="00F94437" w:rsidRPr="003E5234">
        <w:rPr>
          <w:rFonts w:ascii="Arial" w:hAnsi="Arial" w:cs="Arial"/>
          <w:sz w:val="20"/>
        </w:rPr>
        <w:t xml:space="preserve">findings </w:t>
      </w:r>
      <w:r w:rsidR="00640808" w:rsidRPr="003E5234">
        <w:rPr>
          <w:rFonts w:ascii="Arial" w:hAnsi="Arial" w:cs="Arial"/>
          <w:sz w:val="20"/>
        </w:rPr>
        <w:t>regarding</w:t>
      </w:r>
      <w:r w:rsidRPr="003E5234">
        <w:rPr>
          <w:rFonts w:ascii="Arial" w:hAnsi="Arial" w:cs="Arial"/>
          <w:sz w:val="20"/>
        </w:rPr>
        <w:t xml:space="preserve"> the viability of the Program, </w:t>
      </w:r>
      <w:r w:rsidR="008B56A3" w:rsidRPr="003E5234">
        <w:rPr>
          <w:rFonts w:ascii="Arial" w:hAnsi="Arial" w:cs="Arial"/>
          <w:sz w:val="20"/>
        </w:rPr>
        <w:t xml:space="preserve">as </w:t>
      </w:r>
      <w:r w:rsidRPr="003E5234">
        <w:rPr>
          <w:rFonts w:ascii="Arial" w:hAnsi="Arial" w:cs="Arial"/>
          <w:sz w:val="20"/>
        </w:rPr>
        <w:t xml:space="preserve">the Net </w:t>
      </w:r>
      <w:r w:rsidR="00640808" w:rsidRPr="003E5234">
        <w:rPr>
          <w:rFonts w:ascii="Arial" w:hAnsi="Arial" w:cs="Arial"/>
          <w:sz w:val="20"/>
        </w:rPr>
        <w:t>Present Value of the a</w:t>
      </w:r>
      <w:r w:rsidRPr="003E5234">
        <w:rPr>
          <w:rFonts w:ascii="Arial" w:hAnsi="Arial" w:cs="Arial"/>
          <w:sz w:val="20"/>
        </w:rPr>
        <w:t xml:space="preserve">ccumulated </w:t>
      </w:r>
      <w:r w:rsidR="00640808" w:rsidRPr="003E5234">
        <w:rPr>
          <w:rFonts w:ascii="Arial" w:hAnsi="Arial" w:cs="Arial"/>
          <w:sz w:val="20"/>
        </w:rPr>
        <w:t>benefits remains p</w:t>
      </w:r>
      <w:r w:rsidRPr="003E5234">
        <w:rPr>
          <w:rFonts w:ascii="Arial" w:hAnsi="Arial" w:cs="Arial"/>
          <w:sz w:val="20"/>
        </w:rPr>
        <w:t>ositiv</w:t>
      </w:r>
      <w:r w:rsidR="00640808" w:rsidRPr="003E5234">
        <w:rPr>
          <w:rFonts w:ascii="Arial" w:hAnsi="Arial" w:cs="Arial"/>
          <w:sz w:val="20"/>
        </w:rPr>
        <w:t>e</w:t>
      </w:r>
      <w:r w:rsidRPr="003E5234">
        <w:rPr>
          <w:rFonts w:ascii="Arial" w:hAnsi="Arial" w:cs="Arial"/>
          <w:sz w:val="20"/>
        </w:rPr>
        <w:t xml:space="preserve"> in </w:t>
      </w:r>
      <w:r w:rsidR="00804BAE" w:rsidRPr="003E5234">
        <w:rPr>
          <w:rFonts w:ascii="Arial" w:hAnsi="Arial" w:cs="Arial"/>
          <w:sz w:val="20"/>
        </w:rPr>
        <w:t xml:space="preserve">each of </w:t>
      </w:r>
      <w:r w:rsidRPr="003E5234">
        <w:rPr>
          <w:rFonts w:ascii="Arial" w:hAnsi="Arial" w:cs="Arial"/>
          <w:sz w:val="20"/>
        </w:rPr>
        <w:t>the three different scenarios</w:t>
      </w:r>
      <w:r w:rsidR="00FE2EED" w:rsidRPr="003E5234">
        <w:rPr>
          <w:rFonts w:ascii="Arial" w:hAnsi="Arial" w:cs="Arial"/>
          <w:sz w:val="20"/>
        </w:rPr>
        <w:t>:</w:t>
      </w:r>
    </w:p>
    <w:p w14:paraId="361B28F3" w14:textId="77777777" w:rsidR="009C1D8A" w:rsidRPr="00340BEE" w:rsidRDefault="00181049" w:rsidP="0072725D">
      <w:pPr>
        <w:spacing w:before="120" w:after="120" w:line="240" w:lineRule="auto"/>
        <w:jc w:val="center"/>
        <w:rPr>
          <w:rFonts w:ascii="Arial" w:hAnsi="Arial" w:cs="Arial"/>
          <w:b/>
          <w:sz w:val="20"/>
          <w:szCs w:val="20"/>
        </w:rPr>
      </w:pPr>
      <w:r w:rsidRPr="00340BEE">
        <w:rPr>
          <w:rFonts w:ascii="Arial" w:hAnsi="Arial" w:cs="Arial"/>
          <w:b/>
          <w:sz w:val="20"/>
          <w:szCs w:val="20"/>
        </w:rPr>
        <w:t xml:space="preserve">SENSITIVITY </w:t>
      </w:r>
      <w:r w:rsidR="0072725D" w:rsidRPr="00340BEE">
        <w:rPr>
          <w:rFonts w:ascii="Arial" w:hAnsi="Arial" w:cs="Arial"/>
          <w:b/>
          <w:sz w:val="20"/>
          <w:szCs w:val="20"/>
        </w:rPr>
        <w:t>1</w:t>
      </w:r>
    </w:p>
    <w:p w14:paraId="4AFED1BC" w14:textId="2A70BACA" w:rsidR="00BE5F27" w:rsidRPr="00340BEE" w:rsidRDefault="00BF3D2F" w:rsidP="00285687">
      <w:pPr>
        <w:spacing w:before="120" w:after="120" w:line="240" w:lineRule="auto"/>
        <w:rPr>
          <w:rFonts w:ascii="Arial" w:hAnsi="Arial" w:cs="Arial"/>
          <w:sz w:val="20"/>
          <w:szCs w:val="20"/>
        </w:rPr>
      </w:pPr>
      <w:r w:rsidRPr="00340BEE">
        <w:rPr>
          <w:rFonts w:ascii="Arial" w:hAnsi="Arial" w:cs="Arial"/>
          <w:noProof/>
          <w:sz w:val="20"/>
          <w:szCs w:val="20"/>
          <w:lang w:val="es-ES" w:eastAsia="es-ES"/>
        </w:rPr>
        <w:drawing>
          <wp:inline distT="0" distB="0" distL="0" distR="0" wp14:anchorId="1CBF26F6" wp14:editId="5B585686">
            <wp:extent cx="6225347" cy="2443277"/>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256195" cy="2455384"/>
                    </a:xfrm>
                    <a:prstGeom prst="rect">
                      <a:avLst/>
                    </a:prstGeom>
                    <a:noFill/>
                    <a:ln>
                      <a:noFill/>
                    </a:ln>
                  </pic:spPr>
                </pic:pic>
              </a:graphicData>
            </a:graphic>
          </wp:inline>
        </w:drawing>
      </w:r>
    </w:p>
    <w:p w14:paraId="2CC102DF" w14:textId="4E7E9691" w:rsidR="00E34332" w:rsidRPr="00340BEE" w:rsidRDefault="00BF3D2F" w:rsidP="00285687">
      <w:pPr>
        <w:spacing w:before="120" w:after="120" w:line="240" w:lineRule="auto"/>
        <w:rPr>
          <w:rFonts w:ascii="Arial" w:hAnsi="Arial" w:cs="Arial"/>
          <w:sz w:val="20"/>
          <w:szCs w:val="20"/>
        </w:rPr>
      </w:pPr>
      <w:r w:rsidRPr="00340BEE">
        <w:rPr>
          <w:rFonts w:ascii="Arial" w:hAnsi="Arial" w:cs="Arial"/>
          <w:noProof/>
          <w:sz w:val="20"/>
          <w:szCs w:val="20"/>
          <w:lang w:val="es-ES" w:eastAsia="es-ES"/>
        </w:rPr>
        <w:lastRenderedPageBreak/>
        <w:drawing>
          <wp:inline distT="0" distB="0" distL="0" distR="0" wp14:anchorId="52961F2B" wp14:editId="63FF32B2">
            <wp:extent cx="6224692" cy="3503981"/>
            <wp:effectExtent l="0" t="0" r="508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258149" cy="3522815"/>
                    </a:xfrm>
                    <a:prstGeom prst="rect">
                      <a:avLst/>
                    </a:prstGeom>
                    <a:noFill/>
                    <a:ln>
                      <a:noFill/>
                    </a:ln>
                  </pic:spPr>
                </pic:pic>
              </a:graphicData>
            </a:graphic>
          </wp:inline>
        </w:drawing>
      </w:r>
    </w:p>
    <w:p w14:paraId="40987686" w14:textId="4AA42F9E" w:rsidR="00CE4109" w:rsidRPr="00340BEE" w:rsidRDefault="00CE4109">
      <w:pPr>
        <w:rPr>
          <w:rFonts w:ascii="Arial" w:hAnsi="Arial" w:cs="Arial"/>
          <w:b/>
          <w:sz w:val="20"/>
          <w:szCs w:val="20"/>
        </w:rPr>
      </w:pPr>
      <w:r w:rsidRPr="00340BEE">
        <w:rPr>
          <w:rFonts w:ascii="Arial" w:hAnsi="Arial" w:cs="Arial"/>
          <w:b/>
          <w:sz w:val="20"/>
          <w:szCs w:val="20"/>
        </w:rPr>
        <w:br w:type="page"/>
      </w:r>
    </w:p>
    <w:p w14:paraId="32581DDE" w14:textId="77777777" w:rsidR="00E34332" w:rsidRPr="00340BEE" w:rsidRDefault="00BB2273">
      <w:pPr>
        <w:spacing w:before="120" w:after="120" w:line="240" w:lineRule="auto"/>
        <w:jc w:val="center"/>
        <w:rPr>
          <w:rFonts w:ascii="Arial" w:hAnsi="Arial" w:cs="Arial"/>
          <w:b/>
          <w:sz w:val="20"/>
          <w:szCs w:val="20"/>
        </w:rPr>
      </w:pPr>
      <w:r w:rsidRPr="00340BEE">
        <w:rPr>
          <w:rFonts w:ascii="Arial" w:hAnsi="Arial" w:cs="Arial"/>
          <w:b/>
          <w:sz w:val="20"/>
          <w:szCs w:val="20"/>
        </w:rPr>
        <w:lastRenderedPageBreak/>
        <w:t>SENSITIVITY 2</w:t>
      </w:r>
    </w:p>
    <w:p w14:paraId="797E8EE8" w14:textId="3EBA1171" w:rsidR="00BB2273" w:rsidRPr="00340BEE" w:rsidRDefault="00BF3D2F">
      <w:pPr>
        <w:spacing w:before="120" w:after="120" w:line="240" w:lineRule="auto"/>
        <w:jc w:val="center"/>
        <w:rPr>
          <w:rFonts w:ascii="Arial" w:hAnsi="Arial" w:cs="Arial"/>
          <w:b/>
          <w:sz w:val="20"/>
          <w:szCs w:val="20"/>
        </w:rPr>
      </w:pPr>
      <w:r w:rsidRPr="00340BEE">
        <w:rPr>
          <w:rFonts w:ascii="Arial" w:hAnsi="Arial" w:cs="Arial"/>
          <w:noProof/>
          <w:sz w:val="20"/>
          <w:szCs w:val="20"/>
          <w:lang w:val="es-ES" w:eastAsia="es-ES"/>
        </w:rPr>
        <w:drawing>
          <wp:inline distT="0" distB="0" distL="0" distR="0" wp14:anchorId="469EE33B" wp14:editId="02E21151">
            <wp:extent cx="6228080" cy="1916583"/>
            <wp:effectExtent l="0" t="0" r="127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235750" cy="1918943"/>
                    </a:xfrm>
                    <a:prstGeom prst="rect">
                      <a:avLst/>
                    </a:prstGeom>
                    <a:noFill/>
                    <a:ln>
                      <a:noFill/>
                    </a:ln>
                  </pic:spPr>
                </pic:pic>
              </a:graphicData>
            </a:graphic>
          </wp:inline>
        </w:drawing>
      </w:r>
    </w:p>
    <w:p w14:paraId="073D6281" w14:textId="237AD52A" w:rsidR="004C1AF3" w:rsidRPr="00340BEE" w:rsidRDefault="00BF3D2F">
      <w:pPr>
        <w:rPr>
          <w:rFonts w:ascii="Arial" w:hAnsi="Arial" w:cs="Arial"/>
          <w:b/>
          <w:sz w:val="20"/>
          <w:szCs w:val="20"/>
        </w:rPr>
      </w:pPr>
      <w:r w:rsidRPr="00340BEE">
        <w:rPr>
          <w:rFonts w:ascii="Arial" w:hAnsi="Arial" w:cs="Arial"/>
          <w:noProof/>
          <w:sz w:val="20"/>
          <w:szCs w:val="20"/>
          <w:lang w:val="es-ES" w:eastAsia="es-ES"/>
        </w:rPr>
        <w:drawing>
          <wp:inline distT="0" distB="0" distL="0" distR="0" wp14:anchorId="2C200D3F" wp14:editId="0C7F72E7">
            <wp:extent cx="6226165" cy="3379623"/>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251896" cy="3393590"/>
                    </a:xfrm>
                    <a:prstGeom prst="rect">
                      <a:avLst/>
                    </a:prstGeom>
                    <a:noFill/>
                    <a:ln>
                      <a:noFill/>
                    </a:ln>
                  </pic:spPr>
                </pic:pic>
              </a:graphicData>
            </a:graphic>
          </wp:inline>
        </w:drawing>
      </w:r>
    </w:p>
    <w:p w14:paraId="58F8AB08" w14:textId="77777777" w:rsidR="00E34332" w:rsidRPr="00340BEE" w:rsidRDefault="001D375D">
      <w:pPr>
        <w:spacing w:before="120" w:after="120" w:line="240" w:lineRule="auto"/>
        <w:jc w:val="center"/>
        <w:rPr>
          <w:rFonts w:ascii="Arial" w:hAnsi="Arial" w:cs="Arial"/>
          <w:b/>
          <w:sz w:val="20"/>
          <w:szCs w:val="20"/>
        </w:rPr>
      </w:pPr>
      <w:r w:rsidRPr="00340BEE">
        <w:rPr>
          <w:rFonts w:ascii="Arial" w:hAnsi="Arial" w:cs="Arial"/>
          <w:b/>
          <w:sz w:val="20"/>
          <w:szCs w:val="20"/>
        </w:rPr>
        <w:t>SENSITIVITY 3</w:t>
      </w:r>
    </w:p>
    <w:p w14:paraId="56C62646" w14:textId="56CB920D" w:rsidR="00E34332" w:rsidRPr="00340BEE" w:rsidRDefault="00BF3D2F" w:rsidP="00862F67">
      <w:pPr>
        <w:spacing w:before="120" w:after="120" w:line="240" w:lineRule="auto"/>
        <w:rPr>
          <w:rFonts w:ascii="Arial" w:hAnsi="Arial" w:cs="Arial"/>
          <w:b/>
          <w:sz w:val="20"/>
          <w:szCs w:val="20"/>
        </w:rPr>
      </w:pPr>
      <w:r w:rsidRPr="00340BEE">
        <w:rPr>
          <w:rFonts w:ascii="Arial" w:hAnsi="Arial" w:cs="Arial"/>
          <w:noProof/>
          <w:sz w:val="20"/>
          <w:szCs w:val="20"/>
          <w:lang w:val="es-ES" w:eastAsia="es-ES"/>
        </w:rPr>
        <w:drawing>
          <wp:inline distT="0" distB="0" distL="0" distR="0" wp14:anchorId="3BF5E1A5" wp14:editId="4946362D">
            <wp:extent cx="6227258" cy="2399385"/>
            <wp:effectExtent l="0" t="0" r="254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243559" cy="2405666"/>
                    </a:xfrm>
                    <a:prstGeom prst="rect">
                      <a:avLst/>
                    </a:prstGeom>
                    <a:noFill/>
                    <a:ln>
                      <a:noFill/>
                    </a:ln>
                  </pic:spPr>
                </pic:pic>
              </a:graphicData>
            </a:graphic>
          </wp:inline>
        </w:drawing>
      </w:r>
    </w:p>
    <w:p w14:paraId="0AB73981" w14:textId="77777777" w:rsidR="00B438B0" w:rsidRPr="00340BEE" w:rsidRDefault="00B438B0" w:rsidP="00862F67">
      <w:pPr>
        <w:keepNext/>
        <w:keepLines/>
        <w:spacing w:before="120" w:after="120" w:line="240" w:lineRule="auto"/>
        <w:jc w:val="center"/>
        <w:rPr>
          <w:rFonts w:ascii="Arial" w:hAnsi="Arial" w:cs="Arial"/>
          <w:sz w:val="20"/>
          <w:szCs w:val="20"/>
        </w:rPr>
      </w:pPr>
    </w:p>
    <w:p w14:paraId="3225B6D2" w14:textId="1A06599B" w:rsidR="00647FFA" w:rsidRPr="00340BEE" w:rsidRDefault="00311C65" w:rsidP="00C306A2">
      <w:pPr>
        <w:keepNext/>
        <w:keepLines/>
        <w:rPr>
          <w:rFonts w:ascii="Arial" w:hAnsi="Arial" w:cs="Arial"/>
          <w:sz w:val="20"/>
          <w:szCs w:val="20"/>
        </w:rPr>
      </w:pPr>
      <w:r w:rsidRPr="00340BEE" w:rsidDel="00311C65">
        <w:rPr>
          <w:rFonts w:ascii="Arial" w:hAnsi="Arial" w:cs="Arial"/>
          <w:sz w:val="20"/>
          <w:szCs w:val="20"/>
        </w:rPr>
        <w:t xml:space="preserve"> </w:t>
      </w:r>
      <w:r w:rsidR="00BF3D2F" w:rsidRPr="00340BEE">
        <w:rPr>
          <w:rFonts w:ascii="Arial" w:hAnsi="Arial" w:cs="Arial"/>
          <w:noProof/>
          <w:sz w:val="20"/>
          <w:szCs w:val="20"/>
          <w:lang w:val="es-ES" w:eastAsia="es-ES"/>
        </w:rPr>
        <w:drawing>
          <wp:inline distT="0" distB="0" distL="0" distR="0" wp14:anchorId="512F3A39" wp14:editId="601F5383">
            <wp:extent cx="6229069" cy="3182112"/>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246571" cy="3191053"/>
                    </a:xfrm>
                    <a:prstGeom prst="rect">
                      <a:avLst/>
                    </a:prstGeom>
                    <a:noFill/>
                    <a:ln>
                      <a:noFill/>
                    </a:ln>
                  </pic:spPr>
                </pic:pic>
              </a:graphicData>
            </a:graphic>
          </wp:inline>
        </w:drawing>
      </w:r>
      <w:r w:rsidR="00640808" w:rsidRPr="00340BEE">
        <w:rPr>
          <w:rFonts w:ascii="Arial" w:hAnsi="Arial" w:cs="Arial"/>
          <w:sz w:val="20"/>
          <w:szCs w:val="20"/>
        </w:rPr>
        <w:t xml:space="preserve"> </w:t>
      </w:r>
    </w:p>
    <w:p w14:paraId="6BE36F87" w14:textId="77777777" w:rsidR="004C1AF3" w:rsidRPr="00340BEE" w:rsidRDefault="00E34332">
      <w:pPr>
        <w:rPr>
          <w:rFonts w:ascii="Arial" w:hAnsi="Arial" w:cs="Arial"/>
          <w:sz w:val="20"/>
          <w:szCs w:val="20"/>
        </w:rPr>
      </w:pPr>
      <w:r w:rsidRPr="00340BEE">
        <w:rPr>
          <w:rFonts w:ascii="Arial" w:hAnsi="Arial" w:cs="Arial"/>
          <w:sz w:val="20"/>
          <w:szCs w:val="20"/>
        </w:rPr>
        <w:br w:type="page"/>
      </w:r>
    </w:p>
    <w:p w14:paraId="0F3A74B3" w14:textId="77777777" w:rsidR="0072725D" w:rsidRPr="003E5234" w:rsidRDefault="00647FFA" w:rsidP="00C33B72">
      <w:pPr>
        <w:keepNext/>
        <w:keepLines/>
        <w:jc w:val="center"/>
        <w:rPr>
          <w:rFonts w:ascii="Arial" w:hAnsi="Arial" w:cs="Arial"/>
          <w:b/>
          <w:sz w:val="20"/>
          <w:szCs w:val="20"/>
        </w:rPr>
      </w:pPr>
      <w:r w:rsidRPr="003E5234">
        <w:rPr>
          <w:rFonts w:ascii="Arial" w:hAnsi="Arial" w:cs="Arial"/>
          <w:b/>
          <w:sz w:val="20"/>
          <w:szCs w:val="20"/>
        </w:rPr>
        <w:lastRenderedPageBreak/>
        <w:t>ANNEX I</w:t>
      </w:r>
    </w:p>
    <w:p w14:paraId="509BA4CF"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
          <w:bCs/>
          <w:sz w:val="20"/>
          <w:szCs w:val="20"/>
        </w:rPr>
        <w:t>A Dynamic Computable General Equilibrium (DCGE)</w:t>
      </w:r>
      <w:r w:rsidRPr="00340BEE">
        <w:rPr>
          <w:rFonts w:ascii="Arial" w:hAnsi="Arial" w:cs="Arial"/>
          <w:bCs/>
          <w:sz w:val="20"/>
          <w:szCs w:val="20"/>
        </w:rPr>
        <w:t xml:space="preserve"> models are a class of economic models that allow economists to systematically analyze the most important policy challenges and economic shocks in an inter-temporal basis. Their structure is similar to the structure of Computable General equilibrium (CGE) models with the added feature of being dynamic to allow the impact analysis of a given policy or shock to be traced over a number of years. This feature is especially important when analyzing policies that are introduced over given period of years.</w:t>
      </w:r>
    </w:p>
    <w:p w14:paraId="7E0E725C"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Cs/>
          <w:sz w:val="20"/>
          <w:szCs w:val="20"/>
        </w:rPr>
        <w:t>The DCGE is an “economy-wide” model because it describes the behavior of producers and consumers and the linkages among them. Producers are depicted by 3 Cobb-Douglas production functions (primary, secondary and tertiary sectors) and consumers by a 10 consumption category Linear Expenditure System (LES). The income generated by factors of production (capital and labor) and other sources   of income (remittances from abroad, transfers, and other sources of income) is discriminated by income distribution categories (quintiles). This structure allows the analysis of policy impact on poverty levels and income distribution as well as on sector economic growth and employment.</w:t>
      </w:r>
    </w:p>
    <w:p w14:paraId="0B463979"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Cs/>
          <w:sz w:val="20"/>
          <w:szCs w:val="20"/>
        </w:rPr>
        <w:t>The main dynamic elements of the model are the annual level of investment in each sector together with population growth and sectorial employment. Sectorial investment is discriminated between public and private investment. The closure of the model is done through the equilibrium between savings and investment and equilibrium between each sectorial production function and its corresponding sectorial demand. In the latter case, equilibrium is guaranteed by the capital utilization factor embodied on each Cobb-Douglas production function.</w:t>
      </w:r>
    </w:p>
    <w:p w14:paraId="201788C9"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Cs/>
          <w:sz w:val="20"/>
          <w:szCs w:val="20"/>
        </w:rPr>
        <w:t>To conduct experiments with the DCGE model, the analyst first elaborates a base scenario of the Jamaican economy based in most recent performance (calibration of the model). Then defines alternative policy scenarios and measures the differences between the alternative scenarios and the base scenario to draw conclusions on the impact of the proposed policies on economic growth, poverty levels, income distribution, tax revenue, etc. Hence, the model is not a forecasting model but instead a model that allows to study the impact of alternative policy scenarios on a given economic path (the base scenario). The proposed model structure is based in a similar model implemented for the government of Cape Verde that is currently being used as an analytical tool to define its medium term macroeconomic framework.</w:t>
      </w:r>
    </w:p>
    <w:p w14:paraId="41E758D7"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Cs/>
          <w:sz w:val="20"/>
          <w:szCs w:val="20"/>
        </w:rPr>
        <w:t>The model has been implemented utilizing the software package “Eviews 7” and consists of 10 blocks, namely: 1) Population; 2) Production; 3) Income; 4) Consumption; 5) Prices; 6) External Sector; 7) Fiscal Sector; 8) Public debt; 9) Monetary sector; and 10) Equilibrium block. Macro data (statistical information) for the period 1980 – 2011 has been obtained from various government sources. The information received has allowed the implementation of the DCGEM for Jamaica that was used to assess the impact of the incentives and waivers schemes on the Jamaican Economy. In this regards STATIN has been the main source of information together with the MOF and the BOJ.</w:t>
      </w:r>
    </w:p>
    <w:p w14:paraId="6348176E"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Cs/>
          <w:sz w:val="20"/>
          <w:szCs w:val="20"/>
        </w:rPr>
        <w:t>A first version of the model has been implemented and presented to the Tax Incentives Study Working Group. The model encompasses 10 blocks that interact with each other to generate general equilibrium solutions on a yearly basis. The DCGEM has been the main analytical tool used to assess the impact of incentives and waivers on economic growth, unemployment, poverty, and income distribution. The structure and logical framework of each of the 10 blocks of the model is briefly described in the following paragraphs.</w:t>
      </w:r>
    </w:p>
    <w:p w14:paraId="5FB7C34E"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Cs/>
          <w:sz w:val="20"/>
          <w:szCs w:val="20"/>
        </w:rPr>
        <w:t xml:space="preserve">(i) Population Block. This component describes population dynamics grouped by age brackets (0 – 4 years, 5 – 9 years, up to 80 to + years) to model evolution of the working age population, the labor force, and total population depending upon net survival rates by age bracket, net fertility rates and expenditure on health. </w:t>
      </w:r>
    </w:p>
    <w:p w14:paraId="27CC7A34"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Cs/>
          <w:sz w:val="20"/>
          <w:szCs w:val="20"/>
        </w:rPr>
        <w:t xml:space="preserve">(ii) Production Block. This block is comprised of three Cobb Douglas Production Functions corresponding to the Primary, Secondary, and Tertiary sectors of the Jamaican economy. For each production function, capital stocks and labor employed have been estimated to obtain capital-output </w:t>
      </w:r>
      <w:r w:rsidRPr="00340BEE">
        <w:rPr>
          <w:rFonts w:ascii="Arial" w:hAnsi="Arial" w:cs="Arial"/>
          <w:bCs/>
          <w:sz w:val="20"/>
          <w:szCs w:val="20"/>
        </w:rPr>
        <w:lastRenderedPageBreak/>
        <w:t>and capital-labor ratios. Data for the period 1980 – 2011 have been used to estimate each production function. Factor elasticities for Capital and Labor, and Total Factor Productivity have been estimated and analyzed for each economic sector. This block will determine employment levels in each of the 3 sectors and the economy-wide unemployment level.</w:t>
      </w:r>
    </w:p>
    <w:p w14:paraId="6A78E1D3"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Cs/>
          <w:sz w:val="20"/>
          <w:szCs w:val="20"/>
        </w:rPr>
        <w:t xml:space="preserve">(iii) Consumption Block. Five Linear Expenditures System (LES) consumption functions have been estimated corresponding to each of the Quintiles included in the model. Income elasticity for each quintile and price elasticity for each of the 11 categories of consumption reported in the Household Expenditure Survey have been estimated for the period 1989 – 2010. This block allows for measuring the impact of changes on relative prices (changes of indirect tax rates) and income (changes on direct tax rates) on income distribution. </w:t>
      </w:r>
    </w:p>
    <w:p w14:paraId="3A7C39B0"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Cs/>
          <w:sz w:val="20"/>
          <w:szCs w:val="20"/>
        </w:rPr>
        <w:t>(iv) Income Block. This component describes the income distribution among the quintiles of each of the 9 types of income considered in the model (wages for each sector, operating sur</w:t>
      </w:r>
      <w:bookmarkStart w:id="15" w:name="_GoBack"/>
      <w:bookmarkEnd w:id="15"/>
      <w:r w:rsidRPr="00340BEE">
        <w:rPr>
          <w:rFonts w:ascii="Arial" w:hAnsi="Arial" w:cs="Arial"/>
          <w:bCs/>
          <w:sz w:val="20"/>
          <w:szCs w:val="20"/>
        </w:rPr>
        <w:t>plus for each sector, pensions, remittances and other income). Income distribution for each quintile has been obtained from the expenditure distribution of the Jamaica Survey of Living Conditions and by adding a savings estimation for each quintile. These values have been reconciled with the values for each category of income so as to obtain data consistency between the expenditure side (consumption) and the National Income side.  This block is crucial to studying the impact of removing preferential tax treatments on poverty and income distribution.</w:t>
      </w:r>
    </w:p>
    <w:p w14:paraId="4ABDED34"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Cs/>
          <w:sz w:val="20"/>
          <w:szCs w:val="20"/>
        </w:rPr>
        <w:t>(v) Prices Block. This block comprises price indices for each of the 11 categories of consumption, for each of the 3 GDP deflators (primary, secondary and tertiary), deflators for investment, exports, and imports. This component also describes the exchange rate, average wage for each sector, and interest rates. The price indices of the 11 categories of consumption are explained in terms of international price indices (USA price index), exchange rate, and domestic public sector borrowing requirements (public sector credit). The nominal exchange rate is adjusted to maintain purchasing power parity (PPP). Average wages and interest rates are exogenous to the model. GDP deflators are weighted averages of the 11 consumption categories of price indices and adjustment factors to preserve equilibrium conditions between nominal supply and demand.</w:t>
      </w:r>
    </w:p>
    <w:p w14:paraId="7341BCAE"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Cs/>
          <w:sz w:val="20"/>
          <w:szCs w:val="20"/>
        </w:rPr>
        <w:t xml:space="preserve">(vi) Fiscal Sector Block. This block describes each of the government receipts by tax type and the main items of government expenditures to explain the financing gaps (surplus/deficit) and the nature of financing requirements (domestic/external debt). It also encompasses the fiscal expenditures by Ministry to discriminate the allocation of public capital expenditures between the three different economic sectors of the model. It also takes into account expenditures on education and health that link improvements in the Total Factor Productivity parameter of the three Cobb Douglas production functions and on the net survival rates in each of the age brackets of the population component of the model.  </w:t>
      </w:r>
    </w:p>
    <w:p w14:paraId="3BF0426B"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Cs/>
          <w:sz w:val="20"/>
          <w:szCs w:val="20"/>
        </w:rPr>
        <w:t>(vii) External Block. This component covers both exports and imports of goods and services and the main items of the Balance of Payments. Exports and Imports of goods and services are modeled on current and constant terms to link with the demand side of GDP. The exchange rate and terms of trade play an important role in the dynamics of this component.</w:t>
      </w:r>
    </w:p>
    <w:p w14:paraId="0B30C93B"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Cs/>
          <w:sz w:val="20"/>
          <w:szCs w:val="20"/>
        </w:rPr>
        <w:t>(viii) Monetary Block. This block comprises the Net International Reserves linked to the BOP block, the Public and Private Credit aggregates and other items of Total Liquidity including the Monetary Base, M1, M2 and M3.</w:t>
      </w:r>
    </w:p>
    <w:p w14:paraId="69A4A569"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Cs/>
          <w:sz w:val="20"/>
          <w:szCs w:val="20"/>
        </w:rPr>
        <w:t>(ix) Debt Block. This block links with the Fiscal Sector Block to describe the debt dynamics, both external and domestic, and including amortization, interest payments, and new loans. It allows for estimation of debt/GDP ratios and its impact on risk levels.</w:t>
      </w:r>
    </w:p>
    <w:p w14:paraId="6C6AAA33"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Cs/>
          <w:sz w:val="20"/>
          <w:szCs w:val="20"/>
        </w:rPr>
        <w:t xml:space="preserve">(x) Equilibrium Block. This component encompasses three different equilibrium conditions that guarantee a consistent closure of the model making possible the conditions of a general equilibrium model. The first condition is the equilibrium between total investment and savings. This condition guarantees that the level of total investment is equal to the three different sources of savings, namely external, fiscal (government) and private savings. The second equilibrium condition is the equilibrium </w:t>
      </w:r>
      <w:r w:rsidRPr="00340BEE">
        <w:rPr>
          <w:rFonts w:ascii="Arial" w:hAnsi="Arial" w:cs="Arial"/>
          <w:bCs/>
          <w:sz w:val="20"/>
          <w:szCs w:val="20"/>
        </w:rPr>
        <w:lastRenderedPageBreak/>
        <w:t>between the Real GDP on the production side and the Real GDP on the demand side. This equilibrium is realized at the level of each of the economic sector contemplated in the model. The equilibrium is guaranteed by the Capital Utilization factor in each of the three Cobb Douglas Production Functions. The third equilibrium condition is the equilibrium between nominal GDP on the production side and nominal GDP on the demand side. This equilibrium is realized through the adjustment of the price deflators of the three economic sector of the model.</w:t>
      </w:r>
    </w:p>
    <w:p w14:paraId="5310466F"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Cs/>
          <w:sz w:val="20"/>
          <w:szCs w:val="20"/>
        </w:rPr>
        <w:t>The logical framework of each block of the model is presented below together with some econometric results of the main equations of the model (production and consumption functions, and price indices equations). An analysis of the evolution of TFP for each sector and global GDP is also presented.</w:t>
      </w:r>
    </w:p>
    <w:p w14:paraId="326AFD59" w14:textId="77777777" w:rsidR="00647FFA" w:rsidRPr="00340BEE" w:rsidRDefault="00647FFA" w:rsidP="003E5234">
      <w:pPr>
        <w:spacing w:before="120" w:after="120" w:line="240" w:lineRule="auto"/>
        <w:ind w:left="360" w:right="450"/>
        <w:jc w:val="both"/>
        <w:rPr>
          <w:rFonts w:ascii="Arial" w:hAnsi="Arial" w:cs="Arial"/>
          <w:bCs/>
          <w:sz w:val="20"/>
          <w:szCs w:val="20"/>
        </w:rPr>
      </w:pPr>
      <w:r w:rsidRPr="00340BEE">
        <w:rPr>
          <w:rFonts w:ascii="Arial" w:hAnsi="Arial" w:cs="Arial"/>
          <w:bCs/>
          <w:sz w:val="20"/>
          <w:szCs w:val="20"/>
        </w:rPr>
        <w:t>A complete specification of the model with its database, equations, estimation procedures, baseline and 11 scenarios results, and graphing procedures in Eviews 7 format is available upon request.</w:t>
      </w:r>
    </w:p>
    <w:p w14:paraId="4D85FDD2" w14:textId="77777777" w:rsidR="00647FFA" w:rsidRPr="00B2640B" w:rsidRDefault="00647FFA" w:rsidP="00DE6675">
      <w:pPr>
        <w:keepNext/>
        <w:keepLines/>
        <w:jc w:val="center"/>
        <w:rPr>
          <w:rFonts w:ascii="Times New Roman" w:hAnsi="Times New Roman" w:cs="Times New Roman"/>
          <w:sz w:val="24"/>
          <w:szCs w:val="24"/>
        </w:rPr>
      </w:pPr>
    </w:p>
    <w:sectPr w:rsidR="00647FFA" w:rsidRPr="00B2640B" w:rsidSect="00340BEE">
      <w:type w:val="continuous"/>
      <w:pgSz w:w="12240" w:h="15840"/>
      <w:pgMar w:top="1080" w:right="1170" w:bottom="540" w:left="12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AF9162" w14:textId="77777777" w:rsidR="00096D5E" w:rsidRDefault="00096D5E" w:rsidP="00AB1648">
      <w:pPr>
        <w:spacing w:after="0" w:line="240" w:lineRule="auto"/>
      </w:pPr>
      <w:r>
        <w:separator/>
      </w:r>
    </w:p>
  </w:endnote>
  <w:endnote w:type="continuationSeparator" w:id="0">
    <w:p w14:paraId="69B65A95" w14:textId="77777777" w:rsidR="00096D5E" w:rsidRDefault="00096D5E" w:rsidP="00AB1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418A2" w14:textId="77777777" w:rsidR="00C07AB7" w:rsidRDefault="00C07AB7" w:rsidP="00073D43">
    <w:pPr>
      <w:pStyle w:val="Footer"/>
      <w:framePr w:wrap="around" w:vAnchor="text" w:hAnchor="margin" w:xAlign="center"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1C1206C6" w14:textId="77777777" w:rsidR="00C07AB7" w:rsidRDefault="00C07A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6423534"/>
      <w:docPartObj>
        <w:docPartGallery w:val="Page Numbers (Bottom of Page)"/>
        <w:docPartUnique/>
      </w:docPartObj>
    </w:sdtPr>
    <w:sdtEndPr>
      <w:rPr>
        <w:noProof/>
      </w:rPr>
    </w:sdtEndPr>
    <w:sdtContent>
      <w:p w14:paraId="730778C4" w14:textId="78E583F7" w:rsidR="00340BEE" w:rsidRDefault="00340BEE">
        <w:pPr>
          <w:pStyle w:val="Footer"/>
          <w:jc w:val="center"/>
        </w:pPr>
        <w:r w:rsidRPr="00340BEE">
          <w:rPr>
            <w:rFonts w:ascii="Arial" w:hAnsi="Arial" w:cs="Arial"/>
            <w:sz w:val="18"/>
          </w:rPr>
          <w:t>- </w:t>
        </w:r>
        <w:r w:rsidRPr="00340BEE">
          <w:rPr>
            <w:rFonts w:ascii="Arial" w:hAnsi="Arial" w:cs="Arial"/>
            <w:sz w:val="18"/>
          </w:rPr>
          <w:fldChar w:fldCharType="begin"/>
        </w:r>
        <w:r w:rsidRPr="00340BEE">
          <w:rPr>
            <w:rFonts w:ascii="Arial" w:hAnsi="Arial" w:cs="Arial"/>
            <w:sz w:val="18"/>
          </w:rPr>
          <w:instrText xml:space="preserve"> PAGE   \* MERGEFORMAT </w:instrText>
        </w:r>
        <w:r w:rsidRPr="00340BEE">
          <w:rPr>
            <w:rFonts w:ascii="Arial" w:hAnsi="Arial" w:cs="Arial"/>
            <w:sz w:val="18"/>
          </w:rPr>
          <w:fldChar w:fldCharType="separate"/>
        </w:r>
        <w:r w:rsidR="00C7573A">
          <w:rPr>
            <w:rFonts w:ascii="Arial" w:hAnsi="Arial" w:cs="Arial"/>
            <w:noProof/>
            <w:sz w:val="18"/>
          </w:rPr>
          <w:t>26</w:t>
        </w:r>
        <w:r w:rsidRPr="00340BEE">
          <w:rPr>
            <w:rFonts w:ascii="Arial" w:hAnsi="Arial" w:cs="Arial"/>
            <w:noProof/>
            <w:sz w:val="18"/>
          </w:rPr>
          <w:fldChar w:fldCharType="end"/>
        </w:r>
        <w:r w:rsidRPr="00340BEE">
          <w:rPr>
            <w:rFonts w:ascii="Arial" w:hAnsi="Arial" w:cs="Arial"/>
            <w:noProof/>
            <w:sz w:val="18"/>
          </w:rPr>
          <w:t xml:space="preserve"> </w:t>
        </w:r>
        <w:r w:rsidRPr="00340BEE">
          <w:rPr>
            <w:rFonts w:ascii="Arial" w:hAnsi="Arial" w:cs="Arial"/>
            <w:noProof/>
            <w:sz w:val="18"/>
          </w:rPr>
          <w:noBreakHyphen/>
        </w:r>
      </w:p>
    </w:sdtContent>
  </w:sdt>
  <w:p w14:paraId="02953FB2" w14:textId="77777777" w:rsidR="00C07AB7" w:rsidRDefault="00C07AB7" w:rsidP="006B44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8C0A69" w14:textId="77777777" w:rsidR="00096D5E" w:rsidRDefault="00096D5E" w:rsidP="00AB1648">
      <w:pPr>
        <w:spacing w:after="0" w:line="240" w:lineRule="auto"/>
      </w:pPr>
      <w:r>
        <w:separator/>
      </w:r>
    </w:p>
  </w:footnote>
  <w:footnote w:type="continuationSeparator" w:id="0">
    <w:p w14:paraId="05994ED1" w14:textId="77777777" w:rsidR="00096D5E" w:rsidRDefault="00096D5E" w:rsidP="00AB1648">
      <w:pPr>
        <w:spacing w:after="0" w:line="240" w:lineRule="auto"/>
      </w:pPr>
      <w:r>
        <w:continuationSeparator/>
      </w:r>
    </w:p>
  </w:footnote>
  <w:footnote w:id="1">
    <w:p w14:paraId="4FD4DDBE" w14:textId="7EF36893" w:rsidR="00C07AB7" w:rsidRPr="00C7573A" w:rsidRDefault="00C07AB7" w:rsidP="00C7573A">
      <w:pPr>
        <w:pStyle w:val="FootnoteText"/>
        <w:ind w:left="630" w:hanging="450"/>
        <w:rPr>
          <w:rFonts w:ascii="Arial" w:hAnsi="Arial" w:cs="Arial"/>
          <w:sz w:val="18"/>
          <w:szCs w:val="18"/>
        </w:rPr>
      </w:pPr>
      <w:r w:rsidRPr="00C7573A">
        <w:rPr>
          <w:rStyle w:val="FootnoteReference"/>
          <w:rFonts w:ascii="Arial" w:hAnsi="Arial" w:cs="Arial"/>
          <w:sz w:val="18"/>
          <w:szCs w:val="18"/>
        </w:rPr>
        <w:footnoteRef/>
      </w:r>
      <w:r w:rsidR="00C7573A">
        <w:rPr>
          <w:rFonts w:ascii="Arial" w:hAnsi="Arial" w:cs="Arial"/>
          <w:sz w:val="18"/>
          <w:szCs w:val="18"/>
        </w:rPr>
        <w:t xml:space="preserve"> </w:t>
      </w:r>
      <w:r w:rsidR="00C7573A">
        <w:rPr>
          <w:rFonts w:ascii="Arial" w:hAnsi="Arial" w:cs="Arial"/>
          <w:sz w:val="18"/>
          <w:szCs w:val="18"/>
        </w:rPr>
        <w:tab/>
      </w:r>
      <w:hyperlink r:id="rId1" w:history="1">
        <w:r w:rsidRPr="00C7573A">
          <w:rPr>
            <w:rStyle w:val="Hyperlink"/>
            <w:rFonts w:ascii="Arial" w:hAnsi="Arial" w:cs="Arial"/>
            <w:sz w:val="18"/>
            <w:szCs w:val="18"/>
          </w:rPr>
          <w:t>WB Doing Business</w:t>
        </w:r>
      </w:hyperlink>
      <w:r w:rsidRPr="00C7573A">
        <w:rPr>
          <w:rFonts w:ascii="Arial" w:hAnsi="Arial" w:cs="Arial"/>
          <w:sz w:val="18"/>
          <w:szCs w:val="18"/>
        </w:rPr>
        <w:t xml:space="preserve"> </w:t>
      </w:r>
    </w:p>
  </w:footnote>
  <w:footnote w:id="2">
    <w:p w14:paraId="344BA5FB" w14:textId="3B9B2A96" w:rsidR="000E4D4C" w:rsidRPr="00C7573A" w:rsidRDefault="000E4D4C" w:rsidP="00C7573A">
      <w:pPr>
        <w:pStyle w:val="FootnoteText"/>
        <w:spacing w:after="0"/>
        <w:ind w:left="630" w:hanging="450"/>
        <w:contextualSpacing/>
        <w:rPr>
          <w:rFonts w:ascii="Arial" w:hAnsi="Arial" w:cs="Arial"/>
          <w:sz w:val="18"/>
          <w:szCs w:val="18"/>
        </w:rPr>
      </w:pPr>
      <w:r w:rsidRPr="00C7573A">
        <w:rPr>
          <w:rStyle w:val="FootnoteReference"/>
          <w:rFonts w:ascii="Arial" w:hAnsi="Arial" w:cs="Arial"/>
          <w:sz w:val="18"/>
          <w:szCs w:val="18"/>
        </w:rPr>
        <w:footnoteRef/>
      </w:r>
      <w:r w:rsidRPr="00C7573A">
        <w:rPr>
          <w:rFonts w:ascii="Arial" w:hAnsi="Arial" w:cs="Arial"/>
          <w:sz w:val="18"/>
          <w:szCs w:val="18"/>
        </w:rPr>
        <w:t xml:space="preserve"> </w:t>
      </w:r>
      <w:r w:rsidR="00C7573A">
        <w:rPr>
          <w:rFonts w:ascii="Arial" w:hAnsi="Arial" w:cs="Arial"/>
          <w:sz w:val="18"/>
          <w:szCs w:val="18"/>
        </w:rPr>
        <w:tab/>
      </w:r>
      <w:r w:rsidRPr="00C7573A">
        <w:rPr>
          <w:rFonts w:ascii="Arial" w:hAnsi="Arial" w:cs="Arial"/>
          <w:sz w:val="18"/>
          <w:szCs w:val="18"/>
        </w:rPr>
        <w:t>The 50%, half of NIS was defined in terms of budget limitations. This is a policy decision; it was selected based on model simulations. More than 50% would mean to much money given as a tax credit.</w:t>
      </w:r>
    </w:p>
  </w:footnote>
  <w:footnote w:id="3">
    <w:p w14:paraId="552B4D7F" w14:textId="241961C5" w:rsidR="000E4D4C" w:rsidRPr="00C7573A" w:rsidRDefault="000E4D4C" w:rsidP="00C7573A">
      <w:pPr>
        <w:pStyle w:val="FootnoteText"/>
        <w:spacing w:after="0"/>
        <w:ind w:left="630" w:hanging="450"/>
        <w:contextualSpacing/>
        <w:rPr>
          <w:rFonts w:ascii="Arial" w:hAnsi="Arial" w:cs="Arial"/>
          <w:sz w:val="18"/>
          <w:szCs w:val="18"/>
        </w:rPr>
      </w:pPr>
      <w:r w:rsidRPr="00C7573A">
        <w:rPr>
          <w:rStyle w:val="FootnoteReference"/>
          <w:rFonts w:ascii="Arial" w:hAnsi="Arial" w:cs="Arial"/>
          <w:sz w:val="18"/>
          <w:szCs w:val="18"/>
        </w:rPr>
        <w:footnoteRef/>
      </w:r>
      <w:r w:rsidRPr="00C7573A">
        <w:rPr>
          <w:rFonts w:ascii="Arial" w:hAnsi="Arial" w:cs="Arial"/>
          <w:sz w:val="18"/>
          <w:szCs w:val="18"/>
        </w:rPr>
        <w:t xml:space="preserve"> </w:t>
      </w:r>
      <w:r w:rsidR="00C7573A">
        <w:rPr>
          <w:rFonts w:ascii="Arial" w:hAnsi="Arial" w:cs="Arial"/>
          <w:sz w:val="18"/>
          <w:szCs w:val="18"/>
        </w:rPr>
        <w:tab/>
      </w:r>
      <w:r w:rsidR="00EA6A03" w:rsidRPr="00C7573A">
        <w:rPr>
          <w:rFonts w:ascii="Arial" w:hAnsi="Arial" w:cs="Arial"/>
          <w:sz w:val="18"/>
          <w:szCs w:val="18"/>
        </w:rPr>
        <w:t>The</w:t>
      </w:r>
      <w:r w:rsidRPr="00C7573A">
        <w:rPr>
          <w:rFonts w:ascii="Arial" w:hAnsi="Arial" w:cs="Arial"/>
          <w:sz w:val="18"/>
          <w:szCs w:val="18"/>
        </w:rPr>
        <w:t xml:space="preserve"> information was provided by the Ministry of Finance.</w:t>
      </w:r>
    </w:p>
  </w:footnote>
  <w:footnote w:id="4">
    <w:p w14:paraId="7948EDA1" w14:textId="7CC880E7" w:rsidR="000E4D4C" w:rsidRPr="00C7573A" w:rsidRDefault="000E4D4C" w:rsidP="00C7573A">
      <w:pPr>
        <w:pStyle w:val="FootnoteText"/>
        <w:spacing w:after="0"/>
        <w:ind w:left="630" w:hanging="450"/>
        <w:contextualSpacing/>
        <w:rPr>
          <w:rFonts w:ascii="Arial" w:hAnsi="Arial" w:cs="Arial"/>
          <w:sz w:val="18"/>
          <w:szCs w:val="18"/>
        </w:rPr>
      </w:pPr>
      <w:r w:rsidRPr="00C7573A">
        <w:rPr>
          <w:rStyle w:val="FootnoteReference"/>
          <w:rFonts w:ascii="Arial" w:hAnsi="Arial" w:cs="Arial"/>
          <w:sz w:val="18"/>
          <w:szCs w:val="18"/>
        </w:rPr>
        <w:footnoteRef/>
      </w:r>
      <w:r w:rsidRPr="00C7573A">
        <w:rPr>
          <w:rFonts w:ascii="Arial" w:hAnsi="Arial" w:cs="Arial"/>
          <w:sz w:val="18"/>
          <w:szCs w:val="18"/>
        </w:rPr>
        <w:t xml:space="preserve"> </w:t>
      </w:r>
      <w:r w:rsidR="00C7573A">
        <w:rPr>
          <w:rFonts w:ascii="Arial" w:hAnsi="Arial" w:cs="Arial"/>
          <w:sz w:val="18"/>
          <w:szCs w:val="18"/>
        </w:rPr>
        <w:tab/>
      </w:r>
      <w:r w:rsidRPr="00C7573A">
        <w:rPr>
          <w:rFonts w:ascii="Arial" w:hAnsi="Arial" w:cs="Arial"/>
          <w:sz w:val="18"/>
          <w:szCs w:val="18"/>
        </w:rPr>
        <w:t>The 5% for new employees was defined as the average of new employees entering each year to the formal labor force.</w:t>
      </w:r>
    </w:p>
  </w:footnote>
  <w:footnote w:id="5">
    <w:p w14:paraId="7DD13A49" w14:textId="330622EB" w:rsidR="000E4D4C" w:rsidRPr="00C7573A" w:rsidRDefault="000E4D4C" w:rsidP="00C7573A">
      <w:pPr>
        <w:pStyle w:val="FootnoteText"/>
        <w:spacing w:after="0"/>
        <w:ind w:left="630" w:hanging="450"/>
        <w:contextualSpacing/>
        <w:rPr>
          <w:rFonts w:ascii="Arial" w:hAnsi="Arial" w:cs="Arial"/>
          <w:sz w:val="18"/>
          <w:szCs w:val="18"/>
        </w:rPr>
      </w:pPr>
      <w:r w:rsidRPr="00C7573A">
        <w:rPr>
          <w:rStyle w:val="FootnoteReference"/>
          <w:rFonts w:ascii="Arial" w:hAnsi="Arial" w:cs="Arial"/>
          <w:sz w:val="18"/>
          <w:szCs w:val="18"/>
        </w:rPr>
        <w:footnoteRef/>
      </w:r>
      <w:r w:rsidRPr="00C7573A">
        <w:rPr>
          <w:rFonts w:ascii="Arial" w:hAnsi="Arial" w:cs="Arial"/>
          <w:sz w:val="18"/>
          <w:szCs w:val="18"/>
        </w:rPr>
        <w:t xml:space="preserve"> </w:t>
      </w:r>
      <w:r w:rsidR="00C7573A">
        <w:rPr>
          <w:rFonts w:ascii="Arial" w:hAnsi="Arial" w:cs="Arial"/>
          <w:sz w:val="18"/>
          <w:szCs w:val="18"/>
        </w:rPr>
        <w:tab/>
      </w:r>
      <w:r w:rsidRPr="00C7573A">
        <w:rPr>
          <w:rFonts w:ascii="Arial" w:hAnsi="Arial" w:cs="Arial"/>
          <w:sz w:val="18"/>
          <w:szCs w:val="18"/>
        </w:rPr>
        <w:t>The same applies to 20% of the value of imported capital goods. Higher than 20% would mean to much money given away.</w:t>
      </w:r>
    </w:p>
  </w:footnote>
  <w:footnote w:id="6">
    <w:p w14:paraId="5EB60C03" w14:textId="0D7654BC" w:rsidR="000E4D4C" w:rsidRPr="00C7573A" w:rsidRDefault="000E4D4C" w:rsidP="00C7573A">
      <w:pPr>
        <w:pStyle w:val="FootnoteText"/>
        <w:spacing w:after="0"/>
        <w:ind w:left="630" w:hanging="450"/>
        <w:contextualSpacing/>
        <w:rPr>
          <w:rFonts w:ascii="Arial" w:hAnsi="Arial" w:cs="Arial"/>
          <w:sz w:val="18"/>
          <w:szCs w:val="18"/>
        </w:rPr>
      </w:pPr>
      <w:r w:rsidRPr="00C7573A">
        <w:rPr>
          <w:rStyle w:val="FootnoteReference"/>
          <w:rFonts w:ascii="Arial" w:hAnsi="Arial" w:cs="Arial"/>
          <w:sz w:val="18"/>
          <w:szCs w:val="18"/>
        </w:rPr>
        <w:footnoteRef/>
      </w:r>
      <w:r w:rsidRPr="00C7573A">
        <w:rPr>
          <w:rFonts w:ascii="Arial" w:hAnsi="Arial" w:cs="Arial"/>
          <w:sz w:val="18"/>
          <w:szCs w:val="18"/>
        </w:rPr>
        <w:t xml:space="preserve"> </w:t>
      </w:r>
      <w:r w:rsidR="00C7573A">
        <w:rPr>
          <w:rFonts w:ascii="Arial" w:hAnsi="Arial" w:cs="Arial"/>
          <w:sz w:val="18"/>
          <w:szCs w:val="18"/>
        </w:rPr>
        <w:tab/>
      </w:r>
      <w:r w:rsidR="00EA6A03" w:rsidRPr="00C7573A">
        <w:rPr>
          <w:rFonts w:ascii="Arial" w:hAnsi="Arial" w:cs="Arial"/>
          <w:sz w:val="18"/>
          <w:szCs w:val="18"/>
        </w:rPr>
        <w:t>The</w:t>
      </w:r>
      <w:r w:rsidRPr="00C7573A">
        <w:rPr>
          <w:rFonts w:ascii="Arial" w:hAnsi="Arial" w:cs="Arial"/>
          <w:sz w:val="18"/>
          <w:szCs w:val="18"/>
        </w:rPr>
        <w:t xml:space="preserve"> information was provided by the Ministry of Finance.</w:t>
      </w:r>
    </w:p>
  </w:footnote>
  <w:footnote w:id="7">
    <w:p w14:paraId="08F7B4EC" w14:textId="0F9D6F17" w:rsidR="000E4D4C" w:rsidRPr="00C7573A" w:rsidRDefault="000E4D4C" w:rsidP="00C7573A">
      <w:pPr>
        <w:pStyle w:val="FootnoteText"/>
        <w:spacing w:after="0"/>
        <w:ind w:left="630" w:hanging="450"/>
        <w:contextualSpacing/>
        <w:rPr>
          <w:rFonts w:ascii="Arial" w:hAnsi="Arial" w:cs="Arial"/>
          <w:sz w:val="18"/>
          <w:szCs w:val="18"/>
        </w:rPr>
      </w:pPr>
      <w:r w:rsidRPr="00C7573A">
        <w:rPr>
          <w:rStyle w:val="FootnoteReference"/>
          <w:rFonts w:ascii="Arial" w:hAnsi="Arial" w:cs="Arial"/>
          <w:sz w:val="18"/>
          <w:szCs w:val="18"/>
        </w:rPr>
        <w:footnoteRef/>
      </w:r>
      <w:r w:rsidRPr="00C7573A">
        <w:rPr>
          <w:rFonts w:ascii="Arial" w:hAnsi="Arial" w:cs="Arial"/>
          <w:sz w:val="18"/>
          <w:szCs w:val="18"/>
        </w:rPr>
        <w:t xml:space="preserve"> </w:t>
      </w:r>
      <w:r w:rsidR="00C7573A">
        <w:rPr>
          <w:rFonts w:ascii="Arial" w:hAnsi="Arial" w:cs="Arial"/>
          <w:sz w:val="18"/>
          <w:szCs w:val="18"/>
        </w:rPr>
        <w:tab/>
      </w:r>
      <w:r w:rsidRPr="00C7573A">
        <w:rPr>
          <w:rFonts w:ascii="Arial" w:hAnsi="Arial" w:cs="Arial"/>
          <w:sz w:val="18"/>
          <w:szCs w:val="18"/>
        </w:rPr>
        <w:t xml:space="preserve">The reductions % were estimated assuming that a 50% of the firms will opt for staying with the old incentive regime </w:t>
      </w:r>
      <w:r w:rsidR="00EA6A03" w:rsidRPr="00C7573A">
        <w:rPr>
          <w:rFonts w:ascii="Arial" w:hAnsi="Arial" w:cs="Arial"/>
          <w:sz w:val="18"/>
          <w:szCs w:val="18"/>
        </w:rPr>
        <w:t>(grandfathering</w:t>
      </w:r>
      <w:r w:rsidRPr="00C7573A">
        <w:rPr>
          <w:rFonts w:ascii="Arial" w:hAnsi="Arial" w:cs="Arial"/>
          <w:sz w:val="18"/>
          <w:szCs w:val="18"/>
        </w:rPr>
        <w:t>)</w:t>
      </w:r>
      <w:r w:rsidR="00EA6A03" w:rsidRPr="00C7573A">
        <w:rPr>
          <w:rFonts w:ascii="Arial" w:hAnsi="Arial" w:cs="Arial"/>
          <w:sz w:val="18"/>
          <w:szCs w:val="18"/>
        </w:rPr>
        <w:t>.</w:t>
      </w:r>
    </w:p>
  </w:footnote>
  <w:footnote w:id="8">
    <w:p w14:paraId="21E46F71" w14:textId="25BB8113" w:rsidR="00EA6A03" w:rsidRPr="00C7573A" w:rsidRDefault="00EA6A03" w:rsidP="00C7573A">
      <w:pPr>
        <w:pStyle w:val="FootnoteText"/>
        <w:spacing w:after="0"/>
        <w:ind w:left="630" w:hanging="450"/>
        <w:contextualSpacing/>
        <w:rPr>
          <w:rFonts w:ascii="Arial" w:hAnsi="Arial" w:cs="Arial"/>
          <w:sz w:val="18"/>
          <w:szCs w:val="18"/>
        </w:rPr>
      </w:pPr>
      <w:r w:rsidRPr="00C7573A">
        <w:rPr>
          <w:rStyle w:val="FootnoteReference"/>
          <w:rFonts w:ascii="Arial" w:hAnsi="Arial" w:cs="Arial"/>
          <w:sz w:val="18"/>
          <w:szCs w:val="18"/>
        </w:rPr>
        <w:footnoteRef/>
      </w:r>
      <w:r w:rsidRPr="00C7573A">
        <w:rPr>
          <w:rFonts w:ascii="Arial" w:hAnsi="Arial" w:cs="Arial"/>
          <w:sz w:val="18"/>
          <w:szCs w:val="18"/>
        </w:rPr>
        <w:t xml:space="preserve"> </w:t>
      </w:r>
      <w:r w:rsidR="00C7573A">
        <w:rPr>
          <w:rFonts w:ascii="Arial" w:hAnsi="Arial" w:cs="Arial"/>
          <w:sz w:val="18"/>
          <w:szCs w:val="18"/>
        </w:rPr>
        <w:tab/>
      </w:r>
      <w:r w:rsidRPr="00C7573A">
        <w:rPr>
          <w:rFonts w:ascii="Arial" w:hAnsi="Arial" w:cs="Arial"/>
          <w:sz w:val="18"/>
          <w:szCs w:val="18"/>
        </w:rPr>
        <w:t>A 30% reduction was assumed for the taxpayers remaining in the old regime, since these taxpayers by law could not receive the incentives in NIS deductions nor the 20% reduction on imported capital goods.</w:t>
      </w:r>
    </w:p>
  </w:footnote>
  <w:footnote w:id="9">
    <w:p w14:paraId="5394143F" w14:textId="255386D4" w:rsidR="00EA6A03" w:rsidRPr="00C7573A" w:rsidRDefault="00EA6A03" w:rsidP="00C7573A">
      <w:pPr>
        <w:pStyle w:val="FootnoteText"/>
        <w:spacing w:after="0"/>
        <w:ind w:left="630" w:hanging="450"/>
        <w:contextualSpacing/>
        <w:rPr>
          <w:rFonts w:ascii="Arial" w:hAnsi="Arial" w:cs="Arial"/>
          <w:sz w:val="18"/>
          <w:szCs w:val="18"/>
        </w:rPr>
      </w:pPr>
      <w:r w:rsidRPr="00C7573A">
        <w:rPr>
          <w:rStyle w:val="FootnoteReference"/>
          <w:rFonts w:ascii="Arial" w:hAnsi="Arial" w:cs="Arial"/>
          <w:sz w:val="18"/>
          <w:szCs w:val="18"/>
        </w:rPr>
        <w:footnoteRef/>
      </w:r>
      <w:r w:rsidRPr="00C7573A">
        <w:rPr>
          <w:rFonts w:ascii="Arial" w:hAnsi="Arial" w:cs="Arial"/>
          <w:sz w:val="18"/>
          <w:szCs w:val="18"/>
        </w:rPr>
        <w:t xml:space="preserve"> </w:t>
      </w:r>
      <w:r w:rsidR="00C7573A">
        <w:rPr>
          <w:rFonts w:ascii="Arial" w:hAnsi="Arial" w:cs="Arial"/>
          <w:sz w:val="18"/>
          <w:szCs w:val="18"/>
        </w:rPr>
        <w:tab/>
      </w:r>
      <w:r w:rsidRPr="00C7573A">
        <w:rPr>
          <w:rFonts w:ascii="Arial" w:hAnsi="Arial" w:cs="Arial"/>
          <w:sz w:val="18"/>
          <w:szCs w:val="18"/>
        </w:rPr>
        <w:t xml:space="preserve">According to </w:t>
      </w:r>
      <w:r w:rsidR="00FE2213" w:rsidRPr="00C7573A">
        <w:rPr>
          <w:rFonts w:ascii="Arial" w:hAnsi="Arial" w:cs="Arial"/>
          <w:sz w:val="18"/>
          <w:szCs w:val="18"/>
        </w:rPr>
        <w:t xml:space="preserve">CIT </w:t>
      </w:r>
      <w:r w:rsidRPr="00C7573A">
        <w:rPr>
          <w:rFonts w:ascii="Arial" w:hAnsi="Arial" w:cs="Arial"/>
          <w:sz w:val="18"/>
          <w:szCs w:val="18"/>
        </w:rPr>
        <w:t>simulation model, only 1/3 of the firms in 2011 presented interest payments received.</w:t>
      </w:r>
    </w:p>
  </w:footnote>
  <w:footnote w:id="10">
    <w:p w14:paraId="72D998B0" w14:textId="10682D17" w:rsidR="00EA6A03" w:rsidRPr="00C7573A" w:rsidRDefault="00EA6A03" w:rsidP="00C7573A">
      <w:pPr>
        <w:pStyle w:val="FootnoteText"/>
        <w:spacing w:after="0"/>
        <w:ind w:left="630" w:hanging="450"/>
        <w:contextualSpacing/>
        <w:rPr>
          <w:rFonts w:ascii="Arial" w:hAnsi="Arial" w:cs="Arial"/>
          <w:sz w:val="18"/>
          <w:szCs w:val="18"/>
        </w:rPr>
      </w:pPr>
      <w:r w:rsidRPr="00C7573A">
        <w:rPr>
          <w:rStyle w:val="FootnoteReference"/>
          <w:rFonts w:ascii="Arial" w:hAnsi="Arial" w:cs="Arial"/>
          <w:sz w:val="18"/>
          <w:szCs w:val="18"/>
        </w:rPr>
        <w:footnoteRef/>
      </w:r>
      <w:r w:rsidRPr="00C7573A">
        <w:rPr>
          <w:rFonts w:ascii="Arial" w:hAnsi="Arial" w:cs="Arial"/>
          <w:sz w:val="18"/>
          <w:szCs w:val="18"/>
        </w:rPr>
        <w:t xml:space="preserve"> </w:t>
      </w:r>
      <w:r w:rsidR="00C7573A">
        <w:rPr>
          <w:rFonts w:ascii="Arial" w:hAnsi="Arial" w:cs="Arial"/>
          <w:sz w:val="18"/>
          <w:szCs w:val="18"/>
        </w:rPr>
        <w:tab/>
      </w:r>
      <w:r w:rsidRPr="00C7573A">
        <w:rPr>
          <w:rFonts w:ascii="Arial" w:hAnsi="Arial" w:cs="Arial"/>
          <w:sz w:val="18"/>
          <w:szCs w:val="18"/>
        </w:rPr>
        <w:t>The information was provided by the Ministry of Finance.</w:t>
      </w:r>
    </w:p>
  </w:footnote>
  <w:footnote w:id="11">
    <w:p w14:paraId="20C3960B" w14:textId="07967612" w:rsidR="00EA6A03" w:rsidRPr="00C7573A" w:rsidRDefault="00EA6A03" w:rsidP="00C7573A">
      <w:pPr>
        <w:pStyle w:val="FootnoteText"/>
        <w:ind w:left="630" w:hanging="450"/>
        <w:rPr>
          <w:rFonts w:ascii="Arial" w:hAnsi="Arial" w:cs="Arial"/>
          <w:sz w:val="18"/>
          <w:szCs w:val="18"/>
        </w:rPr>
      </w:pPr>
      <w:r w:rsidRPr="00C7573A">
        <w:rPr>
          <w:rStyle w:val="FootnoteReference"/>
          <w:rFonts w:ascii="Arial" w:hAnsi="Arial" w:cs="Arial"/>
          <w:sz w:val="18"/>
          <w:szCs w:val="18"/>
        </w:rPr>
        <w:footnoteRef/>
      </w:r>
      <w:r w:rsidRPr="00C7573A">
        <w:rPr>
          <w:rFonts w:ascii="Arial" w:hAnsi="Arial" w:cs="Arial"/>
          <w:sz w:val="18"/>
          <w:szCs w:val="18"/>
        </w:rPr>
        <w:t xml:space="preserve"> </w:t>
      </w:r>
      <w:r w:rsidR="00C7573A">
        <w:rPr>
          <w:rFonts w:ascii="Arial" w:hAnsi="Arial" w:cs="Arial"/>
          <w:sz w:val="18"/>
          <w:szCs w:val="18"/>
        </w:rPr>
        <w:tab/>
      </w:r>
      <w:r w:rsidR="00FE2213" w:rsidRPr="00C7573A">
        <w:rPr>
          <w:rFonts w:ascii="Arial" w:hAnsi="Arial" w:cs="Arial"/>
          <w:sz w:val="18"/>
          <w:szCs w:val="18"/>
        </w:rPr>
        <w:t>According to CIT</w:t>
      </w:r>
      <w:r w:rsidRPr="00C7573A">
        <w:rPr>
          <w:rFonts w:ascii="Arial" w:hAnsi="Arial" w:cs="Arial"/>
          <w:sz w:val="18"/>
          <w:szCs w:val="18"/>
        </w:rPr>
        <w:t xml:space="preserve"> simulation model, only 1/3 of the firms in 2011 presented losses in previous years.</w:t>
      </w:r>
    </w:p>
  </w:footnote>
  <w:footnote w:id="12">
    <w:p w14:paraId="0A5FF273" w14:textId="323C322F" w:rsidR="00EA6A03" w:rsidRPr="00C7573A" w:rsidRDefault="00EA6A03" w:rsidP="00C7573A">
      <w:pPr>
        <w:pStyle w:val="FootnoteText"/>
        <w:spacing w:after="0"/>
        <w:ind w:left="630" w:hanging="450"/>
        <w:contextualSpacing/>
        <w:rPr>
          <w:rFonts w:ascii="Arial" w:hAnsi="Arial" w:cs="Arial"/>
          <w:sz w:val="18"/>
          <w:szCs w:val="18"/>
        </w:rPr>
      </w:pPr>
      <w:r w:rsidRPr="00C7573A">
        <w:rPr>
          <w:rStyle w:val="FootnoteReference"/>
          <w:rFonts w:ascii="Arial" w:hAnsi="Arial" w:cs="Arial"/>
          <w:sz w:val="18"/>
          <w:szCs w:val="18"/>
        </w:rPr>
        <w:footnoteRef/>
      </w:r>
      <w:r w:rsidRPr="00C7573A">
        <w:rPr>
          <w:rFonts w:ascii="Arial" w:hAnsi="Arial" w:cs="Arial"/>
          <w:sz w:val="18"/>
          <w:szCs w:val="18"/>
        </w:rPr>
        <w:t xml:space="preserve"> </w:t>
      </w:r>
      <w:r w:rsidR="00C7573A">
        <w:rPr>
          <w:rFonts w:ascii="Arial" w:hAnsi="Arial" w:cs="Arial"/>
          <w:sz w:val="18"/>
          <w:szCs w:val="18"/>
        </w:rPr>
        <w:tab/>
      </w:r>
      <w:r w:rsidRPr="00C7573A">
        <w:rPr>
          <w:rFonts w:ascii="Arial" w:hAnsi="Arial" w:cs="Arial"/>
          <w:sz w:val="18"/>
          <w:szCs w:val="18"/>
        </w:rPr>
        <w:t xml:space="preserve">According to </w:t>
      </w:r>
      <w:r w:rsidR="00FE2213" w:rsidRPr="00C7573A">
        <w:rPr>
          <w:rFonts w:ascii="Arial" w:hAnsi="Arial" w:cs="Arial"/>
          <w:sz w:val="18"/>
          <w:szCs w:val="18"/>
        </w:rPr>
        <w:t>CIT</w:t>
      </w:r>
      <w:r w:rsidRPr="00C7573A">
        <w:rPr>
          <w:rFonts w:ascii="Arial" w:hAnsi="Arial" w:cs="Arial"/>
          <w:sz w:val="18"/>
          <w:szCs w:val="18"/>
        </w:rPr>
        <w:t xml:space="preserve"> simulation model, only 1/3 of the firms in 2011 presented interest payments received.</w:t>
      </w:r>
    </w:p>
  </w:footnote>
  <w:footnote w:id="13">
    <w:p w14:paraId="1DE4E013" w14:textId="4A5DFDE7" w:rsidR="00EA6A03" w:rsidRPr="00C7573A" w:rsidRDefault="00EA6A03" w:rsidP="00C7573A">
      <w:pPr>
        <w:pStyle w:val="FootnoteText"/>
        <w:spacing w:after="0"/>
        <w:ind w:left="630" w:hanging="450"/>
        <w:contextualSpacing/>
        <w:rPr>
          <w:rFonts w:ascii="Arial" w:hAnsi="Arial" w:cs="Arial"/>
          <w:sz w:val="18"/>
          <w:szCs w:val="18"/>
        </w:rPr>
      </w:pPr>
      <w:r w:rsidRPr="00C7573A">
        <w:rPr>
          <w:rStyle w:val="FootnoteReference"/>
          <w:rFonts w:ascii="Arial" w:hAnsi="Arial" w:cs="Arial"/>
          <w:sz w:val="18"/>
          <w:szCs w:val="18"/>
        </w:rPr>
        <w:footnoteRef/>
      </w:r>
      <w:r w:rsidRPr="00C7573A">
        <w:rPr>
          <w:rFonts w:ascii="Arial" w:hAnsi="Arial" w:cs="Arial"/>
          <w:sz w:val="18"/>
          <w:szCs w:val="18"/>
        </w:rPr>
        <w:t xml:space="preserve"> </w:t>
      </w:r>
      <w:r w:rsidR="00C7573A">
        <w:rPr>
          <w:rFonts w:ascii="Arial" w:hAnsi="Arial" w:cs="Arial"/>
          <w:sz w:val="18"/>
          <w:szCs w:val="18"/>
        </w:rPr>
        <w:tab/>
      </w:r>
      <w:r w:rsidRPr="00C7573A">
        <w:rPr>
          <w:rFonts w:ascii="Arial" w:hAnsi="Arial" w:cs="Arial"/>
          <w:sz w:val="18"/>
          <w:szCs w:val="18"/>
        </w:rPr>
        <w:t xml:space="preserve">According to </w:t>
      </w:r>
      <w:r w:rsidR="00FE2213" w:rsidRPr="00C7573A">
        <w:rPr>
          <w:rFonts w:ascii="Arial" w:hAnsi="Arial" w:cs="Arial"/>
          <w:sz w:val="18"/>
          <w:szCs w:val="18"/>
        </w:rPr>
        <w:t>CIT</w:t>
      </w:r>
      <w:r w:rsidRPr="00C7573A">
        <w:rPr>
          <w:rFonts w:ascii="Arial" w:hAnsi="Arial" w:cs="Arial"/>
          <w:sz w:val="18"/>
          <w:szCs w:val="18"/>
        </w:rPr>
        <w:t xml:space="preserve"> simulation model, only 1/3 of the firms in 2011 presented losses in previous years</w:t>
      </w:r>
      <w:r w:rsidR="00340BEE" w:rsidRPr="00C7573A">
        <w:rPr>
          <w:rFonts w:ascii="Arial" w:hAnsi="Arial" w:cs="Arial"/>
          <w:sz w:val="18"/>
          <w:szCs w:val="18"/>
        </w:rPr>
        <w:t>.</w:t>
      </w:r>
    </w:p>
  </w:footnote>
  <w:footnote w:id="14">
    <w:p w14:paraId="7074F884" w14:textId="41B85E16" w:rsidR="00C07AB7" w:rsidRPr="00C7573A" w:rsidRDefault="00C07AB7" w:rsidP="00C7573A">
      <w:pPr>
        <w:pStyle w:val="FootnoteText"/>
        <w:ind w:left="630" w:hanging="450"/>
        <w:rPr>
          <w:rFonts w:ascii="Arial" w:hAnsi="Arial" w:cs="Arial"/>
          <w:sz w:val="18"/>
          <w:szCs w:val="18"/>
        </w:rPr>
      </w:pPr>
      <w:r w:rsidRPr="00C7573A">
        <w:rPr>
          <w:rStyle w:val="FootnoteReference"/>
          <w:rFonts w:ascii="Arial" w:hAnsi="Arial" w:cs="Arial"/>
          <w:sz w:val="18"/>
          <w:szCs w:val="18"/>
        </w:rPr>
        <w:footnoteRef/>
      </w:r>
      <w:r w:rsidRPr="00C7573A">
        <w:rPr>
          <w:rFonts w:ascii="Arial" w:hAnsi="Arial" w:cs="Arial"/>
          <w:sz w:val="18"/>
          <w:szCs w:val="18"/>
        </w:rPr>
        <w:t xml:space="preserve"> </w:t>
      </w:r>
      <w:r w:rsidR="00C7573A">
        <w:rPr>
          <w:rFonts w:ascii="Arial" w:hAnsi="Arial" w:cs="Arial"/>
          <w:sz w:val="18"/>
          <w:szCs w:val="18"/>
        </w:rPr>
        <w:tab/>
      </w:r>
      <w:hyperlink r:id="rId2" w:history="1">
        <w:r w:rsidRPr="00C7573A">
          <w:rPr>
            <w:rStyle w:val="Hyperlink"/>
            <w:rFonts w:ascii="Arial" w:hAnsi="Arial" w:cs="Arial"/>
            <w:sz w:val="18"/>
            <w:szCs w:val="18"/>
          </w:rPr>
          <w:t>WB Doing Business</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15725"/>
    <w:multiLevelType w:val="hybridMultilevel"/>
    <w:tmpl w:val="4922EE6E"/>
    <w:lvl w:ilvl="0" w:tplc="4CD60984">
      <w:start w:val="1"/>
      <w:numFmt w:val="lowerRoman"/>
      <w:lvlText w:val="(%1)"/>
      <w:lvlJc w:val="left"/>
      <w:pPr>
        <w:ind w:left="1267" w:hanging="72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
    <w:nsid w:val="0FC93FA1"/>
    <w:multiLevelType w:val="hybridMultilevel"/>
    <w:tmpl w:val="B7B63D36"/>
    <w:lvl w:ilvl="0" w:tplc="8C46DEB8">
      <w:start w:val="1"/>
      <w:numFmt w:val="lowerLetter"/>
      <w:lvlText w:val="%1."/>
      <w:lvlJc w:val="left"/>
      <w:pPr>
        <w:ind w:left="1020" w:hanging="360"/>
      </w:pPr>
      <w:rPr>
        <w:rFonts w:hint="default"/>
        <w:b w:val="0"/>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
    <w:nsid w:val="14105CA9"/>
    <w:multiLevelType w:val="hybridMultilevel"/>
    <w:tmpl w:val="C2C8208A"/>
    <w:lvl w:ilvl="0" w:tplc="80C232FC">
      <w:start w:val="1"/>
      <w:numFmt w:val="decimal"/>
      <w:pStyle w:val="ParagraphNumbering"/>
      <w:lvlText w:val="%1."/>
      <w:lvlJc w:val="left"/>
      <w:pPr>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51B581B"/>
    <w:multiLevelType w:val="multilevel"/>
    <w:tmpl w:val="F9746D74"/>
    <w:lvl w:ilvl="0">
      <w:start w:val="1"/>
      <w:numFmt w:val="bullet"/>
      <w:pStyle w:val="ListBullet"/>
      <w:lvlText w:val=""/>
      <w:lvlJc w:val="left"/>
      <w:pPr>
        <w:ind w:left="1080" w:hanging="360"/>
      </w:pPr>
      <w:rPr>
        <w:rFonts w:ascii="Symbol" w:hAnsi="Symbol" w:hint="default"/>
      </w:rPr>
    </w:lvl>
    <w:lvl w:ilvl="1">
      <w:start w:val="1"/>
      <w:numFmt w:val="upperLetter"/>
      <w:suff w:val="nothing"/>
      <w:lvlText w:val="%2.   "/>
      <w:lvlJc w:val="left"/>
      <w:pPr>
        <w:ind w:left="720" w:firstLine="0"/>
      </w:pPr>
    </w:lvl>
    <w:lvl w:ilvl="2">
      <w:start w:val="1"/>
      <w:numFmt w:val="decimal"/>
      <w:lvlText w:val="%3."/>
      <w:lvlJc w:val="left"/>
      <w:pPr>
        <w:tabs>
          <w:tab w:val="num" w:pos="2520"/>
        </w:tabs>
        <w:ind w:left="2160" w:firstLine="0"/>
      </w:pPr>
    </w:lvl>
    <w:lvl w:ilvl="3">
      <w:start w:val="1"/>
      <w:numFmt w:val="lowerLetter"/>
      <w:lvlText w:val="%4)"/>
      <w:lvlJc w:val="left"/>
      <w:pPr>
        <w:tabs>
          <w:tab w:val="num" w:pos="3240"/>
        </w:tabs>
        <w:ind w:left="2880" w:firstLine="0"/>
      </w:pPr>
    </w:lvl>
    <w:lvl w:ilvl="4">
      <w:start w:val="1"/>
      <w:numFmt w:val="decimal"/>
      <w:lvlText w:val="(%5)"/>
      <w:lvlJc w:val="left"/>
      <w:pPr>
        <w:tabs>
          <w:tab w:val="num" w:pos="3960"/>
        </w:tabs>
        <w:ind w:left="3600" w:firstLine="0"/>
      </w:pPr>
    </w:lvl>
    <w:lvl w:ilvl="5">
      <w:start w:val="1"/>
      <w:numFmt w:val="lowerLetter"/>
      <w:lvlText w:val="(%6)"/>
      <w:lvlJc w:val="left"/>
      <w:pPr>
        <w:tabs>
          <w:tab w:val="num" w:pos="4680"/>
        </w:tabs>
        <w:ind w:left="4320" w:firstLine="0"/>
      </w:pPr>
    </w:lvl>
    <w:lvl w:ilvl="6">
      <w:start w:val="1"/>
      <w:numFmt w:val="lowerRoman"/>
      <w:lvlText w:val="(%7)"/>
      <w:lvlJc w:val="left"/>
      <w:pPr>
        <w:tabs>
          <w:tab w:val="num" w:pos="5400"/>
        </w:tabs>
        <w:ind w:left="5040" w:firstLine="0"/>
      </w:pPr>
    </w:lvl>
    <w:lvl w:ilvl="7">
      <w:start w:val="1"/>
      <w:numFmt w:val="lowerLetter"/>
      <w:lvlText w:val="(%8)"/>
      <w:lvlJc w:val="left"/>
      <w:pPr>
        <w:tabs>
          <w:tab w:val="num" w:pos="6120"/>
        </w:tabs>
        <w:ind w:left="5760" w:firstLine="0"/>
      </w:pPr>
    </w:lvl>
    <w:lvl w:ilvl="8">
      <w:start w:val="1"/>
      <w:numFmt w:val="lowerRoman"/>
      <w:lvlText w:val="(%9)"/>
      <w:lvlJc w:val="left"/>
      <w:pPr>
        <w:tabs>
          <w:tab w:val="num" w:pos="6840"/>
        </w:tabs>
        <w:ind w:left="6480" w:firstLine="0"/>
      </w:pPr>
    </w:lvl>
  </w:abstractNum>
  <w:abstractNum w:abstractNumId="4">
    <w:nsid w:val="17501596"/>
    <w:multiLevelType w:val="hybridMultilevel"/>
    <w:tmpl w:val="A08813A0"/>
    <w:lvl w:ilvl="0" w:tplc="5BF07DF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857CEA"/>
    <w:multiLevelType w:val="hybridMultilevel"/>
    <w:tmpl w:val="F80229D4"/>
    <w:lvl w:ilvl="0" w:tplc="F3547C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C116B6"/>
    <w:multiLevelType w:val="multilevel"/>
    <w:tmpl w:val="1FD6C1C0"/>
    <w:lvl w:ilvl="0">
      <w:start w:val="1"/>
      <w:numFmt w:val="upperRoman"/>
      <w:pStyle w:val="Caption"/>
      <w:lvlText w:val="%1."/>
      <w:lvlJc w:val="right"/>
      <w:pPr>
        <w:ind w:left="1440" w:hanging="360"/>
      </w:pPr>
    </w:lvl>
    <w:lvl w:ilvl="1">
      <w:start w:val="1"/>
      <w:numFmt w:val="decimal"/>
      <w:isLgl/>
      <w:lvlText w:val="%1.%2"/>
      <w:lvlJc w:val="left"/>
      <w:pPr>
        <w:ind w:left="660" w:hanging="39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
    <w:nsid w:val="2B6F0639"/>
    <w:multiLevelType w:val="hybridMultilevel"/>
    <w:tmpl w:val="C4A8E182"/>
    <w:lvl w:ilvl="0" w:tplc="10E6C9E4">
      <w:start w:val="1"/>
      <w:numFmt w:val="lowerLetter"/>
      <w:lvlText w:val="%1."/>
      <w:lvlJc w:val="left"/>
      <w:pPr>
        <w:ind w:left="1050" w:hanging="360"/>
      </w:pPr>
      <w:rPr>
        <w:rFonts w:hint="default"/>
        <w:b w:val="0"/>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8">
    <w:nsid w:val="31135E4A"/>
    <w:multiLevelType w:val="hybridMultilevel"/>
    <w:tmpl w:val="EBC0C778"/>
    <w:lvl w:ilvl="0" w:tplc="04090001">
      <w:start w:val="1"/>
      <w:numFmt w:val="bullet"/>
      <w:lvlText w:val=""/>
      <w:lvlJc w:val="left"/>
      <w:pPr>
        <w:ind w:left="1410" w:hanging="360"/>
      </w:pPr>
      <w:rPr>
        <w:rFonts w:ascii="Symbol" w:hAnsi="Symbol"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9">
    <w:nsid w:val="396C2E1A"/>
    <w:multiLevelType w:val="hybridMultilevel"/>
    <w:tmpl w:val="BA04D9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8513DD"/>
    <w:multiLevelType w:val="multilevel"/>
    <w:tmpl w:val="3BACBDC2"/>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3BBB3E8F"/>
    <w:multiLevelType w:val="multilevel"/>
    <w:tmpl w:val="51083A92"/>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15E789D"/>
    <w:multiLevelType w:val="hybridMultilevel"/>
    <w:tmpl w:val="BFDE46D0"/>
    <w:lvl w:ilvl="0" w:tplc="04090019">
      <w:start w:val="1"/>
      <w:numFmt w:val="lowerLetter"/>
      <w:lvlText w:val="%1."/>
      <w:lvlJc w:val="left"/>
      <w:pPr>
        <w:ind w:left="1350" w:hanging="360"/>
      </w:pPr>
    </w:lvl>
    <w:lvl w:ilvl="1" w:tplc="2D6CE9F4">
      <w:start w:val="1"/>
      <w:numFmt w:val="lowerLetter"/>
      <w:lvlText w:val="%2."/>
      <w:lvlJc w:val="left"/>
      <w:pPr>
        <w:ind w:left="2070" w:hanging="360"/>
      </w:pPr>
      <w:rPr>
        <w:b w:val="0"/>
      </w:rPr>
    </w:lvl>
    <w:lvl w:ilvl="2" w:tplc="1009001B" w:tentative="1">
      <w:start w:val="1"/>
      <w:numFmt w:val="lowerRoman"/>
      <w:lvlText w:val="%3."/>
      <w:lvlJc w:val="right"/>
      <w:pPr>
        <w:ind w:left="2790" w:hanging="180"/>
      </w:pPr>
    </w:lvl>
    <w:lvl w:ilvl="3" w:tplc="1009000F" w:tentative="1">
      <w:start w:val="1"/>
      <w:numFmt w:val="decimal"/>
      <w:lvlText w:val="%4."/>
      <w:lvlJc w:val="left"/>
      <w:pPr>
        <w:ind w:left="3510" w:hanging="360"/>
      </w:pPr>
    </w:lvl>
    <w:lvl w:ilvl="4" w:tplc="10090019" w:tentative="1">
      <w:start w:val="1"/>
      <w:numFmt w:val="lowerLetter"/>
      <w:lvlText w:val="%5."/>
      <w:lvlJc w:val="left"/>
      <w:pPr>
        <w:ind w:left="4230" w:hanging="360"/>
      </w:pPr>
    </w:lvl>
    <w:lvl w:ilvl="5" w:tplc="1009001B" w:tentative="1">
      <w:start w:val="1"/>
      <w:numFmt w:val="lowerRoman"/>
      <w:lvlText w:val="%6."/>
      <w:lvlJc w:val="right"/>
      <w:pPr>
        <w:ind w:left="4950" w:hanging="180"/>
      </w:pPr>
    </w:lvl>
    <w:lvl w:ilvl="6" w:tplc="1009000F" w:tentative="1">
      <w:start w:val="1"/>
      <w:numFmt w:val="decimal"/>
      <w:lvlText w:val="%7."/>
      <w:lvlJc w:val="left"/>
      <w:pPr>
        <w:ind w:left="5670" w:hanging="360"/>
      </w:pPr>
    </w:lvl>
    <w:lvl w:ilvl="7" w:tplc="10090019" w:tentative="1">
      <w:start w:val="1"/>
      <w:numFmt w:val="lowerLetter"/>
      <w:lvlText w:val="%8."/>
      <w:lvlJc w:val="left"/>
      <w:pPr>
        <w:ind w:left="6390" w:hanging="360"/>
      </w:pPr>
    </w:lvl>
    <w:lvl w:ilvl="8" w:tplc="1009001B" w:tentative="1">
      <w:start w:val="1"/>
      <w:numFmt w:val="lowerRoman"/>
      <w:lvlText w:val="%9."/>
      <w:lvlJc w:val="right"/>
      <w:pPr>
        <w:ind w:left="7110" w:hanging="180"/>
      </w:pPr>
    </w:lvl>
  </w:abstractNum>
  <w:abstractNum w:abstractNumId="13">
    <w:nsid w:val="42F607CD"/>
    <w:multiLevelType w:val="multilevel"/>
    <w:tmpl w:val="A5C4D4C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4">
    <w:nsid w:val="47F70B0C"/>
    <w:multiLevelType w:val="hybridMultilevel"/>
    <w:tmpl w:val="C074D3F2"/>
    <w:lvl w:ilvl="0" w:tplc="8A929F0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860415"/>
    <w:multiLevelType w:val="multilevel"/>
    <w:tmpl w:val="F2A06E44"/>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56107B9A"/>
    <w:multiLevelType w:val="hybridMultilevel"/>
    <w:tmpl w:val="E6B404E6"/>
    <w:lvl w:ilvl="0" w:tplc="95ECF3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B0773B"/>
    <w:multiLevelType w:val="multilevel"/>
    <w:tmpl w:val="DD209D2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58323F4A"/>
    <w:multiLevelType w:val="multilevel"/>
    <w:tmpl w:val="CE145D20"/>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9">
    <w:nsid w:val="5A1657A7"/>
    <w:multiLevelType w:val="hybridMultilevel"/>
    <w:tmpl w:val="857C5E4E"/>
    <w:lvl w:ilvl="0" w:tplc="6CE28916">
      <w:start w:val="1"/>
      <w:numFmt w:val="lowerLetter"/>
      <w:lvlText w:val="%1."/>
      <w:lvlJc w:val="left"/>
      <w:pPr>
        <w:ind w:left="1050" w:hanging="360"/>
      </w:pPr>
      <w:rPr>
        <w:rFonts w:hint="default"/>
        <w:b w:val="0"/>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20">
    <w:nsid w:val="653D263A"/>
    <w:multiLevelType w:val="multilevel"/>
    <w:tmpl w:val="0E260ED4"/>
    <w:lvl w:ilvl="0">
      <w:start w:val="5"/>
      <w:numFmt w:val="upperRoman"/>
      <w:lvlText w:val="%1."/>
      <w:lvlJc w:val="left"/>
      <w:pPr>
        <w:ind w:left="1800" w:hanging="720"/>
      </w:pPr>
      <w:rPr>
        <w:rFonts w:ascii="Arial" w:hAnsi="Arial" w:cs="Arial"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1">
    <w:nsid w:val="6AF6208A"/>
    <w:multiLevelType w:val="hybridMultilevel"/>
    <w:tmpl w:val="1C66BFB4"/>
    <w:lvl w:ilvl="0" w:tplc="04FED0F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0997B34"/>
    <w:multiLevelType w:val="multilevel"/>
    <w:tmpl w:val="B0B0BFCE"/>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73AA22A8"/>
    <w:multiLevelType w:val="multilevel"/>
    <w:tmpl w:val="00ECB21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75DC53EE"/>
    <w:multiLevelType w:val="multilevel"/>
    <w:tmpl w:val="1438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5">
    <w:nsid w:val="7E357A8A"/>
    <w:multiLevelType w:val="multilevel"/>
    <w:tmpl w:val="35DA577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3"/>
  </w:num>
  <w:num w:numId="3">
    <w:abstractNumId w:val="2"/>
  </w:num>
  <w:num w:numId="4">
    <w:abstractNumId w:val="12"/>
  </w:num>
  <w:num w:numId="5">
    <w:abstractNumId w:val="8"/>
  </w:num>
  <w:num w:numId="6">
    <w:abstractNumId w:val="20"/>
  </w:num>
  <w:num w:numId="7">
    <w:abstractNumId w:val="5"/>
  </w:num>
  <w:num w:numId="8">
    <w:abstractNumId w:val="16"/>
  </w:num>
  <w:num w:numId="9">
    <w:abstractNumId w:val="0"/>
  </w:num>
  <w:num w:numId="10">
    <w:abstractNumId w:val="24"/>
  </w:num>
  <w:num w:numId="11">
    <w:abstractNumId w:val="19"/>
  </w:num>
  <w:num w:numId="12">
    <w:abstractNumId w:val="7"/>
  </w:num>
  <w:num w:numId="13">
    <w:abstractNumId w:val="4"/>
  </w:num>
  <w:num w:numId="14">
    <w:abstractNumId w:val="9"/>
  </w:num>
  <w:num w:numId="15">
    <w:abstractNumId w:val="1"/>
  </w:num>
  <w:num w:numId="16">
    <w:abstractNumId w:val="14"/>
  </w:num>
  <w:num w:numId="17">
    <w:abstractNumId w:val="21"/>
  </w:num>
  <w:num w:numId="18">
    <w:abstractNumId w:val="18"/>
  </w:num>
  <w:num w:numId="19">
    <w:abstractNumId w:val="15"/>
  </w:num>
  <w:num w:numId="20">
    <w:abstractNumId w:val="25"/>
  </w:num>
  <w:num w:numId="21">
    <w:abstractNumId w:val="22"/>
  </w:num>
  <w:num w:numId="22">
    <w:abstractNumId w:val="17"/>
  </w:num>
  <w:num w:numId="23">
    <w:abstractNumId w:val="10"/>
  </w:num>
  <w:num w:numId="24">
    <w:abstractNumId w:val="23"/>
  </w:num>
  <w:num w:numId="25">
    <w:abstractNumId w:val="11"/>
  </w:num>
  <w:num w:numId="26">
    <w:abstractNumId w:val="13"/>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cio Cracel">
    <w15:presenceInfo w15:providerId="Windows Live" w15:userId="59c3bb66f68078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visionView w:markup="0"/>
  <w:trackRevisions/>
  <w:defaultTabStop w:val="720"/>
  <w:hyphenationZone w:val="425"/>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E3E"/>
    <w:rsid w:val="00001F89"/>
    <w:rsid w:val="00002A66"/>
    <w:rsid w:val="00005E15"/>
    <w:rsid w:val="000075AF"/>
    <w:rsid w:val="000149C1"/>
    <w:rsid w:val="000156C0"/>
    <w:rsid w:val="000318C0"/>
    <w:rsid w:val="000320A7"/>
    <w:rsid w:val="00034649"/>
    <w:rsid w:val="000421FC"/>
    <w:rsid w:val="00047653"/>
    <w:rsid w:val="00053BAF"/>
    <w:rsid w:val="00057A36"/>
    <w:rsid w:val="000635A1"/>
    <w:rsid w:val="000646D4"/>
    <w:rsid w:val="00066DB2"/>
    <w:rsid w:val="00073D43"/>
    <w:rsid w:val="0007787D"/>
    <w:rsid w:val="000838A8"/>
    <w:rsid w:val="00084DE3"/>
    <w:rsid w:val="00091B4A"/>
    <w:rsid w:val="0009209D"/>
    <w:rsid w:val="00096D5E"/>
    <w:rsid w:val="000A0FA9"/>
    <w:rsid w:val="000A204C"/>
    <w:rsid w:val="000A49EB"/>
    <w:rsid w:val="000A74DD"/>
    <w:rsid w:val="000B23E9"/>
    <w:rsid w:val="000B2416"/>
    <w:rsid w:val="000B61B1"/>
    <w:rsid w:val="000B643B"/>
    <w:rsid w:val="000B7A78"/>
    <w:rsid w:val="000C1B60"/>
    <w:rsid w:val="000C75DE"/>
    <w:rsid w:val="000D3FF8"/>
    <w:rsid w:val="000E1F64"/>
    <w:rsid w:val="000E2236"/>
    <w:rsid w:val="000E4D4C"/>
    <w:rsid w:val="000E4F44"/>
    <w:rsid w:val="000F36A4"/>
    <w:rsid w:val="000F40B7"/>
    <w:rsid w:val="000F6184"/>
    <w:rsid w:val="001134E7"/>
    <w:rsid w:val="001331FB"/>
    <w:rsid w:val="00133AFA"/>
    <w:rsid w:val="00133B1A"/>
    <w:rsid w:val="00137EC0"/>
    <w:rsid w:val="001410C9"/>
    <w:rsid w:val="001443FF"/>
    <w:rsid w:val="001530ED"/>
    <w:rsid w:val="00153513"/>
    <w:rsid w:val="00157BE0"/>
    <w:rsid w:val="00165104"/>
    <w:rsid w:val="001746B5"/>
    <w:rsid w:val="00175CCA"/>
    <w:rsid w:val="00175F2A"/>
    <w:rsid w:val="00181049"/>
    <w:rsid w:val="0018727D"/>
    <w:rsid w:val="001941B8"/>
    <w:rsid w:val="001964CE"/>
    <w:rsid w:val="001A062D"/>
    <w:rsid w:val="001A3CCE"/>
    <w:rsid w:val="001B5D32"/>
    <w:rsid w:val="001B7F96"/>
    <w:rsid w:val="001C3057"/>
    <w:rsid w:val="001C47C6"/>
    <w:rsid w:val="001D114D"/>
    <w:rsid w:val="001D375D"/>
    <w:rsid w:val="001D3A44"/>
    <w:rsid w:val="001E0D26"/>
    <w:rsid w:val="0020087E"/>
    <w:rsid w:val="00201276"/>
    <w:rsid w:val="002047F9"/>
    <w:rsid w:val="00204B49"/>
    <w:rsid w:val="0021317C"/>
    <w:rsid w:val="00223A08"/>
    <w:rsid w:val="00225D9F"/>
    <w:rsid w:val="002335F6"/>
    <w:rsid w:val="00244ECF"/>
    <w:rsid w:val="00247427"/>
    <w:rsid w:val="00262F26"/>
    <w:rsid w:val="00264D5B"/>
    <w:rsid w:val="00265571"/>
    <w:rsid w:val="002673E5"/>
    <w:rsid w:val="00267F77"/>
    <w:rsid w:val="00271E19"/>
    <w:rsid w:val="002758C1"/>
    <w:rsid w:val="00285687"/>
    <w:rsid w:val="002C7A5E"/>
    <w:rsid w:val="002D3ADC"/>
    <w:rsid w:val="002D4197"/>
    <w:rsid w:val="002E031F"/>
    <w:rsid w:val="002E4120"/>
    <w:rsid w:val="002E524D"/>
    <w:rsid w:val="002F2C58"/>
    <w:rsid w:val="00304E76"/>
    <w:rsid w:val="003064FA"/>
    <w:rsid w:val="00311C65"/>
    <w:rsid w:val="00312E3E"/>
    <w:rsid w:val="00322488"/>
    <w:rsid w:val="00322B38"/>
    <w:rsid w:val="00323448"/>
    <w:rsid w:val="00340BEE"/>
    <w:rsid w:val="00344F1C"/>
    <w:rsid w:val="00353050"/>
    <w:rsid w:val="00376F6F"/>
    <w:rsid w:val="00377F1C"/>
    <w:rsid w:val="00380BB0"/>
    <w:rsid w:val="00396473"/>
    <w:rsid w:val="003A213A"/>
    <w:rsid w:val="003B4E75"/>
    <w:rsid w:val="003B51B5"/>
    <w:rsid w:val="003C2CC2"/>
    <w:rsid w:val="003E1B88"/>
    <w:rsid w:val="003E4F18"/>
    <w:rsid w:val="003E5234"/>
    <w:rsid w:val="003E55F9"/>
    <w:rsid w:val="003F059C"/>
    <w:rsid w:val="003F0968"/>
    <w:rsid w:val="003F199E"/>
    <w:rsid w:val="003F27AB"/>
    <w:rsid w:val="003F52CE"/>
    <w:rsid w:val="00404909"/>
    <w:rsid w:val="0040519D"/>
    <w:rsid w:val="00407822"/>
    <w:rsid w:val="00410B3B"/>
    <w:rsid w:val="00410ECC"/>
    <w:rsid w:val="0041496A"/>
    <w:rsid w:val="00425C21"/>
    <w:rsid w:val="00431821"/>
    <w:rsid w:val="004621C9"/>
    <w:rsid w:val="00471649"/>
    <w:rsid w:val="00472DC4"/>
    <w:rsid w:val="00480A38"/>
    <w:rsid w:val="00490001"/>
    <w:rsid w:val="004A4507"/>
    <w:rsid w:val="004A6CC1"/>
    <w:rsid w:val="004B3DE9"/>
    <w:rsid w:val="004B40C8"/>
    <w:rsid w:val="004B7C01"/>
    <w:rsid w:val="004C0F5D"/>
    <w:rsid w:val="004C0FCE"/>
    <w:rsid w:val="004C1AF3"/>
    <w:rsid w:val="004C60B1"/>
    <w:rsid w:val="004D0953"/>
    <w:rsid w:val="004D4834"/>
    <w:rsid w:val="004D4FF1"/>
    <w:rsid w:val="004E64DD"/>
    <w:rsid w:val="004F413A"/>
    <w:rsid w:val="004F4E2A"/>
    <w:rsid w:val="00500E7A"/>
    <w:rsid w:val="00502EC2"/>
    <w:rsid w:val="00511055"/>
    <w:rsid w:val="00511217"/>
    <w:rsid w:val="005117D0"/>
    <w:rsid w:val="00511F66"/>
    <w:rsid w:val="00524CD9"/>
    <w:rsid w:val="00531A4B"/>
    <w:rsid w:val="00534A4E"/>
    <w:rsid w:val="00535D96"/>
    <w:rsid w:val="00537116"/>
    <w:rsid w:val="005377FF"/>
    <w:rsid w:val="005403B4"/>
    <w:rsid w:val="00541EE2"/>
    <w:rsid w:val="00551704"/>
    <w:rsid w:val="0055307F"/>
    <w:rsid w:val="005539B3"/>
    <w:rsid w:val="00556E9B"/>
    <w:rsid w:val="00557043"/>
    <w:rsid w:val="00557340"/>
    <w:rsid w:val="00557B87"/>
    <w:rsid w:val="0056338A"/>
    <w:rsid w:val="00563AED"/>
    <w:rsid w:val="00565466"/>
    <w:rsid w:val="00580542"/>
    <w:rsid w:val="00590ADE"/>
    <w:rsid w:val="00592867"/>
    <w:rsid w:val="00593002"/>
    <w:rsid w:val="005A2BA2"/>
    <w:rsid w:val="005A2C7F"/>
    <w:rsid w:val="005A395D"/>
    <w:rsid w:val="005A5180"/>
    <w:rsid w:val="005A761C"/>
    <w:rsid w:val="005B32DF"/>
    <w:rsid w:val="005B3478"/>
    <w:rsid w:val="005C0EF8"/>
    <w:rsid w:val="005C1CBA"/>
    <w:rsid w:val="005C44DC"/>
    <w:rsid w:val="005C7975"/>
    <w:rsid w:val="005D264A"/>
    <w:rsid w:val="005E3921"/>
    <w:rsid w:val="005E3AF5"/>
    <w:rsid w:val="005E5828"/>
    <w:rsid w:val="005F08E9"/>
    <w:rsid w:val="005F6C84"/>
    <w:rsid w:val="006048FC"/>
    <w:rsid w:val="00605689"/>
    <w:rsid w:val="00614FE7"/>
    <w:rsid w:val="00615984"/>
    <w:rsid w:val="00625639"/>
    <w:rsid w:val="00631DE9"/>
    <w:rsid w:val="00634FCC"/>
    <w:rsid w:val="00640331"/>
    <w:rsid w:val="006406A6"/>
    <w:rsid w:val="00640808"/>
    <w:rsid w:val="00641843"/>
    <w:rsid w:val="00644FAB"/>
    <w:rsid w:val="00646CCC"/>
    <w:rsid w:val="00647AB5"/>
    <w:rsid w:val="00647C8C"/>
    <w:rsid w:val="00647FFA"/>
    <w:rsid w:val="00652AC9"/>
    <w:rsid w:val="00652C67"/>
    <w:rsid w:val="00660ACA"/>
    <w:rsid w:val="00663DE6"/>
    <w:rsid w:val="00663F55"/>
    <w:rsid w:val="00666950"/>
    <w:rsid w:val="006A0D7E"/>
    <w:rsid w:val="006A1B76"/>
    <w:rsid w:val="006A52A1"/>
    <w:rsid w:val="006B3037"/>
    <w:rsid w:val="006B3D71"/>
    <w:rsid w:val="006B4472"/>
    <w:rsid w:val="006C71B4"/>
    <w:rsid w:val="006D7E80"/>
    <w:rsid w:val="006E01E3"/>
    <w:rsid w:val="007007D9"/>
    <w:rsid w:val="00702B59"/>
    <w:rsid w:val="00714CF8"/>
    <w:rsid w:val="0071533E"/>
    <w:rsid w:val="00715D82"/>
    <w:rsid w:val="00720A3E"/>
    <w:rsid w:val="00721DB7"/>
    <w:rsid w:val="00722422"/>
    <w:rsid w:val="0072296A"/>
    <w:rsid w:val="0072725D"/>
    <w:rsid w:val="00731F14"/>
    <w:rsid w:val="0073221A"/>
    <w:rsid w:val="00734E15"/>
    <w:rsid w:val="0073544B"/>
    <w:rsid w:val="0074131F"/>
    <w:rsid w:val="007444BC"/>
    <w:rsid w:val="007560BC"/>
    <w:rsid w:val="00757FB6"/>
    <w:rsid w:val="00761397"/>
    <w:rsid w:val="007652E6"/>
    <w:rsid w:val="007655BC"/>
    <w:rsid w:val="00772C5B"/>
    <w:rsid w:val="00773CA8"/>
    <w:rsid w:val="0078508F"/>
    <w:rsid w:val="007876B1"/>
    <w:rsid w:val="00791B9F"/>
    <w:rsid w:val="00795DA8"/>
    <w:rsid w:val="00796D61"/>
    <w:rsid w:val="00797DD0"/>
    <w:rsid w:val="007A3136"/>
    <w:rsid w:val="007A4BE5"/>
    <w:rsid w:val="007A639B"/>
    <w:rsid w:val="007B02B9"/>
    <w:rsid w:val="007B3CB8"/>
    <w:rsid w:val="007B4F9C"/>
    <w:rsid w:val="007B6F78"/>
    <w:rsid w:val="007C1BEE"/>
    <w:rsid w:val="007C2EF6"/>
    <w:rsid w:val="007C3C05"/>
    <w:rsid w:val="007C590B"/>
    <w:rsid w:val="007D707E"/>
    <w:rsid w:val="007E0CBF"/>
    <w:rsid w:val="007F0E53"/>
    <w:rsid w:val="00804BAE"/>
    <w:rsid w:val="00806CC6"/>
    <w:rsid w:val="00807E7E"/>
    <w:rsid w:val="00814007"/>
    <w:rsid w:val="00816948"/>
    <w:rsid w:val="00816E1C"/>
    <w:rsid w:val="0082342B"/>
    <w:rsid w:val="00830DD3"/>
    <w:rsid w:val="008375AE"/>
    <w:rsid w:val="00841A68"/>
    <w:rsid w:val="00841D48"/>
    <w:rsid w:val="00844524"/>
    <w:rsid w:val="00847C8E"/>
    <w:rsid w:val="00862F67"/>
    <w:rsid w:val="00865A8E"/>
    <w:rsid w:val="0087080A"/>
    <w:rsid w:val="00871F10"/>
    <w:rsid w:val="00882119"/>
    <w:rsid w:val="00887DC4"/>
    <w:rsid w:val="00893972"/>
    <w:rsid w:val="00894374"/>
    <w:rsid w:val="008A11B9"/>
    <w:rsid w:val="008B56A3"/>
    <w:rsid w:val="008C1BC9"/>
    <w:rsid w:val="008C3023"/>
    <w:rsid w:val="008D4718"/>
    <w:rsid w:val="008E0776"/>
    <w:rsid w:val="008E159F"/>
    <w:rsid w:val="008E5C08"/>
    <w:rsid w:val="008E712E"/>
    <w:rsid w:val="008E7861"/>
    <w:rsid w:val="008F2A95"/>
    <w:rsid w:val="009102A2"/>
    <w:rsid w:val="009247F3"/>
    <w:rsid w:val="00925B54"/>
    <w:rsid w:val="00927281"/>
    <w:rsid w:val="0093070C"/>
    <w:rsid w:val="00934C3B"/>
    <w:rsid w:val="00935737"/>
    <w:rsid w:val="00936CDE"/>
    <w:rsid w:val="00941007"/>
    <w:rsid w:val="00943E39"/>
    <w:rsid w:val="00944059"/>
    <w:rsid w:val="009472F9"/>
    <w:rsid w:val="00954633"/>
    <w:rsid w:val="00954DA8"/>
    <w:rsid w:val="00957206"/>
    <w:rsid w:val="009623EA"/>
    <w:rsid w:val="00962A86"/>
    <w:rsid w:val="00966767"/>
    <w:rsid w:val="009730DF"/>
    <w:rsid w:val="00973932"/>
    <w:rsid w:val="00981A71"/>
    <w:rsid w:val="0098404C"/>
    <w:rsid w:val="009844EA"/>
    <w:rsid w:val="00986012"/>
    <w:rsid w:val="00986963"/>
    <w:rsid w:val="0099010C"/>
    <w:rsid w:val="00990E68"/>
    <w:rsid w:val="00994082"/>
    <w:rsid w:val="0099502B"/>
    <w:rsid w:val="009959D1"/>
    <w:rsid w:val="009A0B0A"/>
    <w:rsid w:val="009A13EE"/>
    <w:rsid w:val="009A1EC5"/>
    <w:rsid w:val="009A7DF1"/>
    <w:rsid w:val="009B130C"/>
    <w:rsid w:val="009B1769"/>
    <w:rsid w:val="009B1F57"/>
    <w:rsid w:val="009B3A8F"/>
    <w:rsid w:val="009C1D8A"/>
    <w:rsid w:val="009C1F90"/>
    <w:rsid w:val="009E6B36"/>
    <w:rsid w:val="009F5820"/>
    <w:rsid w:val="009F6BA6"/>
    <w:rsid w:val="00A01CA9"/>
    <w:rsid w:val="00A0236A"/>
    <w:rsid w:val="00A07BB5"/>
    <w:rsid w:val="00A07D92"/>
    <w:rsid w:val="00A109AD"/>
    <w:rsid w:val="00A16483"/>
    <w:rsid w:val="00A4230C"/>
    <w:rsid w:val="00A47DFB"/>
    <w:rsid w:val="00A50B96"/>
    <w:rsid w:val="00A53BCE"/>
    <w:rsid w:val="00A54200"/>
    <w:rsid w:val="00A5552F"/>
    <w:rsid w:val="00A5646B"/>
    <w:rsid w:val="00A62365"/>
    <w:rsid w:val="00A643C5"/>
    <w:rsid w:val="00A652A3"/>
    <w:rsid w:val="00A66335"/>
    <w:rsid w:val="00A67C58"/>
    <w:rsid w:val="00A72B24"/>
    <w:rsid w:val="00A826AD"/>
    <w:rsid w:val="00A905B7"/>
    <w:rsid w:val="00A90A45"/>
    <w:rsid w:val="00A97FD1"/>
    <w:rsid w:val="00AA05D0"/>
    <w:rsid w:val="00AB1648"/>
    <w:rsid w:val="00AB5CE5"/>
    <w:rsid w:val="00AD2E9C"/>
    <w:rsid w:val="00AD3F03"/>
    <w:rsid w:val="00AE2BCE"/>
    <w:rsid w:val="00AE364F"/>
    <w:rsid w:val="00AF524B"/>
    <w:rsid w:val="00B10315"/>
    <w:rsid w:val="00B1302D"/>
    <w:rsid w:val="00B24315"/>
    <w:rsid w:val="00B24BF1"/>
    <w:rsid w:val="00B2640B"/>
    <w:rsid w:val="00B30ACA"/>
    <w:rsid w:val="00B3631A"/>
    <w:rsid w:val="00B438B0"/>
    <w:rsid w:val="00B61E75"/>
    <w:rsid w:val="00B6628A"/>
    <w:rsid w:val="00B73014"/>
    <w:rsid w:val="00B8600B"/>
    <w:rsid w:val="00B9267D"/>
    <w:rsid w:val="00B932D8"/>
    <w:rsid w:val="00B97B56"/>
    <w:rsid w:val="00BA501C"/>
    <w:rsid w:val="00BA54F1"/>
    <w:rsid w:val="00BB0C41"/>
    <w:rsid w:val="00BB2273"/>
    <w:rsid w:val="00BB321C"/>
    <w:rsid w:val="00BC2E14"/>
    <w:rsid w:val="00BC39D5"/>
    <w:rsid w:val="00BC5984"/>
    <w:rsid w:val="00BD3A0D"/>
    <w:rsid w:val="00BD3EC8"/>
    <w:rsid w:val="00BD412D"/>
    <w:rsid w:val="00BE0DB9"/>
    <w:rsid w:val="00BE1AB5"/>
    <w:rsid w:val="00BE4D00"/>
    <w:rsid w:val="00BE5F27"/>
    <w:rsid w:val="00BF3D2F"/>
    <w:rsid w:val="00C04A91"/>
    <w:rsid w:val="00C05010"/>
    <w:rsid w:val="00C05143"/>
    <w:rsid w:val="00C05263"/>
    <w:rsid w:val="00C07AB7"/>
    <w:rsid w:val="00C07C52"/>
    <w:rsid w:val="00C15828"/>
    <w:rsid w:val="00C17175"/>
    <w:rsid w:val="00C264D2"/>
    <w:rsid w:val="00C267EC"/>
    <w:rsid w:val="00C306A2"/>
    <w:rsid w:val="00C308DE"/>
    <w:rsid w:val="00C31C5A"/>
    <w:rsid w:val="00C33B72"/>
    <w:rsid w:val="00C3528F"/>
    <w:rsid w:val="00C35B86"/>
    <w:rsid w:val="00C51DE2"/>
    <w:rsid w:val="00C543A6"/>
    <w:rsid w:val="00C56628"/>
    <w:rsid w:val="00C57E60"/>
    <w:rsid w:val="00C6480D"/>
    <w:rsid w:val="00C67CCC"/>
    <w:rsid w:val="00C7573A"/>
    <w:rsid w:val="00C758F3"/>
    <w:rsid w:val="00C80A12"/>
    <w:rsid w:val="00C91569"/>
    <w:rsid w:val="00C91AD7"/>
    <w:rsid w:val="00C9340A"/>
    <w:rsid w:val="00C970F5"/>
    <w:rsid w:val="00C97CA4"/>
    <w:rsid w:val="00CB05DB"/>
    <w:rsid w:val="00CB182C"/>
    <w:rsid w:val="00CB66AD"/>
    <w:rsid w:val="00CC364B"/>
    <w:rsid w:val="00CD0319"/>
    <w:rsid w:val="00CD3C1A"/>
    <w:rsid w:val="00CE1CB4"/>
    <w:rsid w:val="00CE2016"/>
    <w:rsid w:val="00CE4109"/>
    <w:rsid w:val="00CE653B"/>
    <w:rsid w:val="00CE7743"/>
    <w:rsid w:val="00D03B28"/>
    <w:rsid w:val="00D14D2C"/>
    <w:rsid w:val="00D247A1"/>
    <w:rsid w:val="00D26C43"/>
    <w:rsid w:val="00D339BB"/>
    <w:rsid w:val="00D369F0"/>
    <w:rsid w:val="00D41333"/>
    <w:rsid w:val="00D44CCF"/>
    <w:rsid w:val="00D52A29"/>
    <w:rsid w:val="00D61C8E"/>
    <w:rsid w:val="00D63071"/>
    <w:rsid w:val="00D67BFF"/>
    <w:rsid w:val="00D77705"/>
    <w:rsid w:val="00D9020A"/>
    <w:rsid w:val="00D933C6"/>
    <w:rsid w:val="00D9450F"/>
    <w:rsid w:val="00D9641F"/>
    <w:rsid w:val="00D9770C"/>
    <w:rsid w:val="00DB4DAA"/>
    <w:rsid w:val="00DD285E"/>
    <w:rsid w:val="00DD4670"/>
    <w:rsid w:val="00DD6A56"/>
    <w:rsid w:val="00DD7B8A"/>
    <w:rsid w:val="00DE0FC4"/>
    <w:rsid w:val="00DE3F09"/>
    <w:rsid w:val="00DE6675"/>
    <w:rsid w:val="00DF2776"/>
    <w:rsid w:val="00E10108"/>
    <w:rsid w:val="00E23B6F"/>
    <w:rsid w:val="00E25186"/>
    <w:rsid w:val="00E27E61"/>
    <w:rsid w:val="00E3015F"/>
    <w:rsid w:val="00E3412F"/>
    <w:rsid w:val="00E34332"/>
    <w:rsid w:val="00E3481E"/>
    <w:rsid w:val="00E376A2"/>
    <w:rsid w:val="00E407AB"/>
    <w:rsid w:val="00E42BD3"/>
    <w:rsid w:val="00E455C9"/>
    <w:rsid w:val="00E47490"/>
    <w:rsid w:val="00E476CE"/>
    <w:rsid w:val="00E62431"/>
    <w:rsid w:val="00E713E7"/>
    <w:rsid w:val="00E743A0"/>
    <w:rsid w:val="00E75C81"/>
    <w:rsid w:val="00E82C1E"/>
    <w:rsid w:val="00E843A0"/>
    <w:rsid w:val="00EA1679"/>
    <w:rsid w:val="00EA6A03"/>
    <w:rsid w:val="00EA7133"/>
    <w:rsid w:val="00EB0873"/>
    <w:rsid w:val="00EB4628"/>
    <w:rsid w:val="00EB5E91"/>
    <w:rsid w:val="00EB76A0"/>
    <w:rsid w:val="00ED2A38"/>
    <w:rsid w:val="00ED3B5F"/>
    <w:rsid w:val="00EE1630"/>
    <w:rsid w:val="00EE7553"/>
    <w:rsid w:val="00EF21E5"/>
    <w:rsid w:val="00EF3D75"/>
    <w:rsid w:val="00EF7865"/>
    <w:rsid w:val="00F03165"/>
    <w:rsid w:val="00F136C6"/>
    <w:rsid w:val="00F15549"/>
    <w:rsid w:val="00F25533"/>
    <w:rsid w:val="00F307ED"/>
    <w:rsid w:val="00F428BF"/>
    <w:rsid w:val="00F42FA7"/>
    <w:rsid w:val="00F45A88"/>
    <w:rsid w:val="00F471AB"/>
    <w:rsid w:val="00F52B7B"/>
    <w:rsid w:val="00F54F26"/>
    <w:rsid w:val="00F646C2"/>
    <w:rsid w:val="00F671D8"/>
    <w:rsid w:val="00F7271D"/>
    <w:rsid w:val="00F7682A"/>
    <w:rsid w:val="00F819AA"/>
    <w:rsid w:val="00F8333E"/>
    <w:rsid w:val="00F8426E"/>
    <w:rsid w:val="00F8636D"/>
    <w:rsid w:val="00F86A4C"/>
    <w:rsid w:val="00F911C9"/>
    <w:rsid w:val="00F91B9F"/>
    <w:rsid w:val="00F93232"/>
    <w:rsid w:val="00F94437"/>
    <w:rsid w:val="00FA3CC3"/>
    <w:rsid w:val="00FB3A01"/>
    <w:rsid w:val="00FB507B"/>
    <w:rsid w:val="00FC3766"/>
    <w:rsid w:val="00FD29E0"/>
    <w:rsid w:val="00FE17E3"/>
    <w:rsid w:val="00FE2213"/>
    <w:rsid w:val="00FE2EED"/>
    <w:rsid w:val="00FE43D7"/>
    <w:rsid w:val="00FE7DE3"/>
    <w:rsid w:val="00FF279A"/>
    <w:rsid w:val="00FF401A"/>
    <w:rsid w:val="00FF483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75F6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E3E"/>
    <w:rPr>
      <w:rFonts w:eastAsiaTheme="minorEastAsia"/>
    </w:rPr>
  </w:style>
  <w:style w:type="paragraph" w:styleId="Heading1">
    <w:name w:val="heading 1"/>
    <w:basedOn w:val="Normal"/>
    <w:next w:val="Normal"/>
    <w:link w:val="Heading1Char"/>
    <w:qFormat/>
    <w:rsid w:val="000920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40BE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40BE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40BE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40BEE"/>
    <w:pPr>
      <w:keepNext/>
      <w:keepLines/>
      <w:numPr>
        <w:ilvl w:val="4"/>
        <w:numId w:val="2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40BEE"/>
    <w:pPr>
      <w:keepNext/>
      <w:keepLines/>
      <w:numPr>
        <w:ilvl w:val="5"/>
        <w:numId w:val="2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40BEE"/>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40BEE"/>
    <w:pPr>
      <w:keepNext/>
      <w:keepLines/>
      <w:numPr>
        <w:ilvl w:val="7"/>
        <w:numId w:val="2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40BEE"/>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57FB6"/>
    <w:pPr>
      <w:ind w:left="720"/>
      <w:contextualSpacing/>
    </w:pPr>
  </w:style>
  <w:style w:type="character" w:styleId="FootnoteReference">
    <w:name w:val="footnote reference"/>
    <w:aliases w:val="SUPERS,EN Footnote Reference,number"/>
    <w:basedOn w:val="DefaultParagraphFont"/>
    <w:uiPriority w:val="99"/>
    <w:rsid w:val="00AB1648"/>
    <w:rPr>
      <w:vertAlign w:val="superscript"/>
    </w:rPr>
  </w:style>
  <w:style w:type="paragraph" w:styleId="FootnoteText">
    <w:name w:val="footnote text"/>
    <w:basedOn w:val="Normal"/>
    <w:link w:val="FootnoteTextChar"/>
    <w:uiPriority w:val="99"/>
    <w:semiHidden/>
    <w:rsid w:val="00AB1648"/>
    <w:pPr>
      <w:keepNext/>
      <w:keepLines/>
      <w:spacing w:after="120" w:line="240" w:lineRule="auto"/>
      <w:ind w:left="288" w:hanging="288"/>
      <w:jc w:val="both"/>
    </w:pPr>
    <w:rPr>
      <w:rFonts w:ascii="Times New Roman" w:eastAsia="SimSu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AB1648"/>
    <w:rPr>
      <w:rFonts w:ascii="Times New Roman" w:eastAsia="SimSun" w:hAnsi="Times New Roman" w:cs="Times New Roman"/>
      <w:spacing w:val="-3"/>
      <w:sz w:val="20"/>
      <w:szCs w:val="20"/>
    </w:rPr>
  </w:style>
  <w:style w:type="paragraph" w:customStyle="1" w:styleId="ParagraphNumbering">
    <w:name w:val="#Paragraph Numbering"/>
    <w:basedOn w:val="Normal"/>
    <w:link w:val="ParagraphNumberingChar"/>
    <w:qFormat/>
    <w:rsid w:val="00AB1648"/>
    <w:pPr>
      <w:numPr>
        <w:numId w:val="3"/>
      </w:numPr>
      <w:spacing w:after="120" w:line="264" w:lineRule="auto"/>
      <w:jc w:val="both"/>
    </w:pPr>
    <w:rPr>
      <w:rFonts w:ascii="Times New Roman" w:eastAsia="SimSun" w:hAnsi="Times New Roman" w:cs="Times New Roman"/>
      <w:sz w:val="24"/>
      <w:szCs w:val="24"/>
      <w:lang w:eastAsia="ja-JP"/>
    </w:rPr>
  </w:style>
  <w:style w:type="character" w:customStyle="1" w:styleId="ParagraphNumberingChar">
    <w:name w:val="#Paragraph Numbering Char"/>
    <w:basedOn w:val="DefaultParagraphFont"/>
    <w:link w:val="ParagraphNumbering"/>
    <w:rsid w:val="00AB1648"/>
    <w:rPr>
      <w:rFonts w:ascii="Times New Roman" w:eastAsia="SimSun" w:hAnsi="Times New Roman" w:cs="Times New Roman"/>
      <w:sz w:val="24"/>
      <w:szCs w:val="24"/>
      <w:lang w:eastAsia="ja-JP"/>
    </w:rPr>
  </w:style>
  <w:style w:type="paragraph" w:customStyle="1" w:styleId="ListBullet0">
    <w:name w:val="#List Bullet"/>
    <w:basedOn w:val="ListBullet"/>
    <w:link w:val="ListBulletChar"/>
    <w:qFormat/>
    <w:rsid w:val="00AB1648"/>
    <w:pPr>
      <w:spacing w:after="120" w:line="240" w:lineRule="auto"/>
      <w:contextualSpacing w:val="0"/>
      <w:jc w:val="both"/>
    </w:pPr>
    <w:rPr>
      <w:rFonts w:ascii="Times New Roman" w:eastAsia="Times New Roman" w:hAnsi="Times New Roman" w:cs="Times New Roman"/>
      <w:sz w:val="24"/>
      <w:szCs w:val="24"/>
    </w:rPr>
  </w:style>
  <w:style w:type="character" w:customStyle="1" w:styleId="ListBulletChar">
    <w:name w:val="#List Bullet Char"/>
    <w:basedOn w:val="DefaultParagraphFont"/>
    <w:link w:val="ListBullet0"/>
    <w:rsid w:val="00AB1648"/>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AB1648"/>
    <w:rPr>
      <w:sz w:val="16"/>
      <w:szCs w:val="16"/>
    </w:rPr>
  </w:style>
  <w:style w:type="paragraph" w:styleId="CommentText">
    <w:name w:val="annotation text"/>
    <w:basedOn w:val="Normal"/>
    <w:link w:val="CommentTextChar"/>
    <w:uiPriority w:val="99"/>
    <w:unhideWhenUsed/>
    <w:rsid w:val="00AB1648"/>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rsid w:val="00AB1648"/>
    <w:rPr>
      <w:sz w:val="20"/>
      <w:szCs w:val="20"/>
    </w:rPr>
  </w:style>
  <w:style w:type="paragraph" w:customStyle="1" w:styleId="UnnumberedHeading2">
    <w:name w:val="#Unnumbered Heading2"/>
    <w:basedOn w:val="Heading2"/>
    <w:qFormat/>
    <w:rsid w:val="00AB1648"/>
    <w:pPr>
      <w:keepLines w:val="0"/>
      <w:spacing w:before="0" w:after="240" w:line="264" w:lineRule="auto"/>
      <w:jc w:val="center"/>
    </w:pPr>
    <w:rPr>
      <w:rFonts w:ascii="Times New Roman" w:eastAsia="SimSun" w:hAnsi="Times New Roman" w:cs="Arial"/>
      <w:iCs/>
      <w:color w:val="auto"/>
      <w:sz w:val="24"/>
      <w:szCs w:val="28"/>
    </w:rPr>
  </w:style>
  <w:style w:type="paragraph" w:customStyle="1" w:styleId="UnnumberedHeading3">
    <w:name w:val="#Unnumbered Heading3"/>
    <w:basedOn w:val="Heading3"/>
    <w:next w:val="ParagraphNumbering"/>
    <w:link w:val="UnnumberedHeading3Char"/>
    <w:autoRedefine/>
    <w:qFormat/>
    <w:rsid w:val="00AB1648"/>
    <w:pPr>
      <w:keepLines w:val="0"/>
      <w:spacing w:before="120" w:after="120" w:line="264" w:lineRule="auto"/>
      <w:jc w:val="center"/>
    </w:pPr>
    <w:rPr>
      <w:rFonts w:ascii="Times New Roman" w:eastAsia="SimSun" w:hAnsi="Times New Roman" w:cs="Times New Roman"/>
      <w:bCs w:val="0"/>
      <w:sz w:val="24"/>
      <w:szCs w:val="24"/>
    </w:rPr>
  </w:style>
  <w:style w:type="character" w:customStyle="1" w:styleId="UnnumberedHeading3Char">
    <w:name w:val="#Unnumbered Heading3 Char"/>
    <w:basedOn w:val="Heading3Char"/>
    <w:link w:val="UnnumberedHeading3"/>
    <w:rsid w:val="00AB1648"/>
    <w:rPr>
      <w:rFonts w:ascii="Times New Roman" w:eastAsia="SimSun" w:hAnsi="Times New Roman" w:cs="Times New Roman"/>
      <w:b/>
      <w:bCs w:val="0"/>
      <w:color w:val="4F81BD" w:themeColor="accent1"/>
      <w:sz w:val="24"/>
      <w:szCs w:val="24"/>
    </w:rPr>
  </w:style>
  <w:style w:type="paragraph" w:styleId="ListBullet">
    <w:name w:val="List Bullet"/>
    <w:basedOn w:val="Normal"/>
    <w:uiPriority w:val="99"/>
    <w:semiHidden/>
    <w:unhideWhenUsed/>
    <w:rsid w:val="00AB1648"/>
    <w:pPr>
      <w:numPr>
        <w:numId w:val="2"/>
      </w:numPr>
      <w:contextualSpacing/>
    </w:pPr>
  </w:style>
  <w:style w:type="character" w:customStyle="1" w:styleId="Heading2Char">
    <w:name w:val="Heading 2 Char"/>
    <w:basedOn w:val="DefaultParagraphFont"/>
    <w:link w:val="Heading2"/>
    <w:rsid w:val="00340BE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40BEE"/>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AB16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648"/>
    <w:rPr>
      <w:rFonts w:ascii="Tahoma" w:eastAsiaTheme="minorEastAsia" w:hAnsi="Tahoma" w:cs="Tahoma"/>
      <w:sz w:val="16"/>
      <w:szCs w:val="16"/>
    </w:rPr>
  </w:style>
  <w:style w:type="character" w:customStyle="1" w:styleId="Heading1Char">
    <w:name w:val="Heading 1 Char"/>
    <w:basedOn w:val="DefaultParagraphFont"/>
    <w:link w:val="Heading1"/>
    <w:rsid w:val="0009209D"/>
    <w:rPr>
      <w:rFonts w:asciiTheme="majorHAnsi" w:eastAsiaTheme="majorEastAsia" w:hAnsiTheme="majorHAnsi" w:cstheme="majorBidi"/>
      <w:b/>
      <w:bCs/>
      <w:color w:val="365F91" w:themeColor="accent1" w:themeShade="BF"/>
      <w:sz w:val="28"/>
      <w:szCs w:val="28"/>
    </w:rPr>
  </w:style>
  <w:style w:type="paragraph" w:customStyle="1" w:styleId="Heading10">
    <w:name w:val="#Heading 1"/>
    <w:basedOn w:val="Heading1"/>
    <w:next w:val="ParagraphNumbering"/>
    <w:link w:val="Heading1Char0"/>
    <w:qFormat/>
    <w:rsid w:val="0009209D"/>
    <w:pPr>
      <w:keepLines w:val="0"/>
      <w:spacing w:before="240" w:after="240" w:line="264" w:lineRule="auto"/>
      <w:jc w:val="center"/>
    </w:pPr>
    <w:rPr>
      <w:rFonts w:ascii="Times New Roman" w:eastAsia="SimSun" w:hAnsi="Times New Roman" w:cs="Arial"/>
      <w:smallCaps/>
      <w:kern w:val="28"/>
      <w:sz w:val="26"/>
      <w:szCs w:val="32"/>
    </w:rPr>
  </w:style>
  <w:style w:type="paragraph" w:customStyle="1" w:styleId="Heading20">
    <w:name w:val="#Heading2"/>
    <w:basedOn w:val="Heading2"/>
    <w:next w:val="ParagraphNumbering"/>
    <w:link w:val="Heading2Char0"/>
    <w:qFormat/>
    <w:rsid w:val="0009209D"/>
    <w:pPr>
      <w:keepLines w:val="0"/>
      <w:numPr>
        <w:ilvl w:val="1"/>
      </w:numPr>
      <w:spacing w:before="0" w:after="240" w:line="264" w:lineRule="auto"/>
      <w:jc w:val="center"/>
    </w:pPr>
    <w:rPr>
      <w:rFonts w:ascii="Times New Roman" w:eastAsia="SimSun" w:hAnsi="Times New Roman" w:cs="Arial"/>
      <w:iCs/>
      <w:szCs w:val="28"/>
      <w:lang w:eastAsia="ja-JP"/>
    </w:rPr>
  </w:style>
  <w:style w:type="character" w:customStyle="1" w:styleId="Heading1Char0">
    <w:name w:val="#Heading 1 Char"/>
    <w:basedOn w:val="Heading1Char"/>
    <w:link w:val="Heading10"/>
    <w:rsid w:val="0009209D"/>
    <w:rPr>
      <w:rFonts w:ascii="Times New Roman" w:eastAsia="SimSun" w:hAnsi="Times New Roman" w:cs="Arial"/>
      <w:b/>
      <w:bCs/>
      <w:smallCaps/>
      <w:color w:val="365F91" w:themeColor="accent1" w:themeShade="BF"/>
      <w:kern w:val="28"/>
      <w:sz w:val="26"/>
      <w:szCs w:val="32"/>
    </w:rPr>
  </w:style>
  <w:style w:type="character" w:customStyle="1" w:styleId="Heading2Char0">
    <w:name w:val="#Heading2 Char"/>
    <w:basedOn w:val="Heading2Char"/>
    <w:link w:val="Heading20"/>
    <w:rsid w:val="0009209D"/>
    <w:rPr>
      <w:rFonts w:ascii="Times New Roman" w:eastAsia="SimSun" w:hAnsi="Times New Roman" w:cs="Arial"/>
      <w:b/>
      <w:bCs/>
      <w:iCs/>
      <w:color w:val="4F81BD" w:themeColor="accent1"/>
      <w:sz w:val="26"/>
      <w:szCs w:val="28"/>
      <w:lang w:eastAsia="ja-JP"/>
    </w:rPr>
  </w:style>
  <w:style w:type="paragraph" w:styleId="Caption">
    <w:name w:val="caption"/>
    <w:basedOn w:val="Normal"/>
    <w:next w:val="Normal"/>
    <w:autoRedefine/>
    <w:uiPriority w:val="35"/>
    <w:qFormat/>
    <w:rsid w:val="00271E19"/>
    <w:pPr>
      <w:keepNext/>
      <w:numPr>
        <w:numId w:val="1"/>
      </w:numPr>
      <w:tabs>
        <w:tab w:val="left" w:pos="720"/>
        <w:tab w:val="left" w:pos="1152"/>
        <w:tab w:val="left" w:pos="1584"/>
        <w:tab w:val="right" w:pos="9346"/>
      </w:tabs>
      <w:spacing w:after="0" w:line="264" w:lineRule="auto"/>
      <w:outlineLvl w:val="0"/>
    </w:pPr>
    <w:rPr>
      <w:rFonts w:ascii="Times New Roman" w:eastAsia="SimSun" w:hAnsi="Times New Roman" w:cs="Times New Roman"/>
      <w:b/>
      <w:sz w:val="18"/>
      <w:szCs w:val="18"/>
    </w:rPr>
  </w:style>
  <w:style w:type="character" w:customStyle="1" w:styleId="ListParagraphChar">
    <w:name w:val="List Paragraph Char"/>
    <w:basedOn w:val="DefaultParagraphFont"/>
    <w:link w:val="ListParagraph"/>
    <w:uiPriority w:val="34"/>
    <w:rsid w:val="004C0F5D"/>
    <w:rPr>
      <w:rFonts w:eastAsiaTheme="minorEastAsia"/>
    </w:rPr>
  </w:style>
  <w:style w:type="table" w:styleId="TableGrid">
    <w:name w:val="Table Grid"/>
    <w:basedOn w:val="TableNormal"/>
    <w:uiPriority w:val="59"/>
    <w:rsid w:val="00557B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557B8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unhideWhenUsed/>
    <w:rsid w:val="002D41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4197"/>
    <w:rPr>
      <w:rFonts w:eastAsiaTheme="minorEastAsia"/>
    </w:rPr>
  </w:style>
  <w:style w:type="paragraph" w:styleId="Footer">
    <w:name w:val="footer"/>
    <w:basedOn w:val="Normal"/>
    <w:link w:val="FooterChar"/>
    <w:uiPriority w:val="99"/>
    <w:unhideWhenUsed/>
    <w:rsid w:val="002D41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4197"/>
    <w:rPr>
      <w:rFonts w:eastAsiaTheme="minorEastAsia"/>
    </w:rPr>
  </w:style>
  <w:style w:type="paragraph" w:styleId="CommentSubject">
    <w:name w:val="annotation subject"/>
    <w:basedOn w:val="CommentText"/>
    <w:next w:val="CommentText"/>
    <w:link w:val="CommentSubjectChar"/>
    <w:uiPriority w:val="99"/>
    <w:semiHidden/>
    <w:unhideWhenUsed/>
    <w:rsid w:val="00C9340A"/>
    <w:rPr>
      <w:rFonts w:eastAsiaTheme="minorEastAsia"/>
      <w:b/>
      <w:bCs/>
    </w:rPr>
  </w:style>
  <w:style w:type="character" w:customStyle="1" w:styleId="CommentSubjectChar">
    <w:name w:val="Comment Subject Char"/>
    <w:basedOn w:val="CommentTextChar"/>
    <w:link w:val="CommentSubject"/>
    <w:uiPriority w:val="99"/>
    <w:semiHidden/>
    <w:rsid w:val="00C9340A"/>
    <w:rPr>
      <w:rFonts w:eastAsiaTheme="minorEastAsia"/>
      <w:b/>
      <w:bCs/>
      <w:sz w:val="20"/>
      <w:szCs w:val="20"/>
    </w:rPr>
  </w:style>
  <w:style w:type="character" w:styleId="Hyperlink">
    <w:name w:val="Hyperlink"/>
    <w:basedOn w:val="DefaultParagraphFont"/>
    <w:uiPriority w:val="99"/>
    <w:unhideWhenUsed/>
    <w:rsid w:val="005A5180"/>
    <w:rPr>
      <w:color w:val="0000FF" w:themeColor="hyperlink"/>
      <w:u w:val="single"/>
    </w:rPr>
  </w:style>
  <w:style w:type="character" w:styleId="PageNumber">
    <w:name w:val="page number"/>
    <w:basedOn w:val="DefaultParagraphFont"/>
    <w:uiPriority w:val="99"/>
    <w:semiHidden/>
    <w:unhideWhenUsed/>
    <w:rsid w:val="00073D43"/>
  </w:style>
  <w:style w:type="paragraph" w:customStyle="1" w:styleId="Paragraph">
    <w:name w:val="Paragraph"/>
    <w:aliases w:val="p,PARAGRAPH,PG,pa,at,paragraph"/>
    <w:basedOn w:val="BodyTextIndent"/>
    <w:link w:val="ParagraphChar"/>
    <w:rsid w:val="00340BEE"/>
    <w:pPr>
      <w:numPr>
        <w:ilvl w:val="1"/>
        <w:numId w:val="18"/>
      </w:numPr>
      <w:tabs>
        <w:tab w:val="clear" w:pos="2448"/>
        <w:tab w:val="num" w:pos="720"/>
      </w:tabs>
      <w:spacing w:before="120"/>
      <w:ind w:left="720" w:hanging="720"/>
      <w:jc w:val="both"/>
      <w:outlineLvl w:val="1"/>
    </w:pPr>
    <w:rPr>
      <w:rFonts w:eastAsia="Times New Roman"/>
      <w:szCs w:val="20"/>
    </w:rPr>
  </w:style>
  <w:style w:type="character" w:customStyle="1" w:styleId="ParagraphChar">
    <w:name w:val="Paragraph Char"/>
    <w:aliases w:val="paragraph Char,p Char,PARAGRAPH Char,PG Char,pa Char,at Char"/>
    <w:basedOn w:val="DefaultParagraphFont"/>
    <w:link w:val="Paragraph"/>
    <w:rsid w:val="00340BEE"/>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B6628A"/>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B6628A"/>
    <w:rPr>
      <w:rFonts w:ascii="Times New Roman" w:eastAsiaTheme="minorEastAsia" w:hAnsi="Times New Roman" w:cs="Times New Roman"/>
      <w:sz w:val="24"/>
    </w:rPr>
  </w:style>
  <w:style w:type="character" w:styleId="FollowedHyperlink">
    <w:name w:val="FollowedHyperlink"/>
    <w:basedOn w:val="DefaultParagraphFont"/>
    <w:uiPriority w:val="99"/>
    <w:semiHidden/>
    <w:unhideWhenUsed/>
    <w:rsid w:val="00F471AB"/>
    <w:rPr>
      <w:color w:val="800080" w:themeColor="followedHyperlink"/>
      <w:u w:val="single"/>
    </w:rPr>
  </w:style>
  <w:style w:type="paragraph" w:customStyle="1" w:styleId="Chapter">
    <w:name w:val="Chapter"/>
    <w:basedOn w:val="Normal"/>
    <w:next w:val="Normal"/>
    <w:link w:val="ChapterChar"/>
    <w:rsid w:val="00340BEE"/>
    <w:pPr>
      <w:keepNext/>
      <w:numPr>
        <w:numId w:val="18"/>
      </w:numPr>
      <w:tabs>
        <w:tab w:val="clear" w:pos="1800"/>
        <w:tab w:val="num" w:pos="648"/>
        <w:tab w:val="left" w:pos="1440"/>
      </w:tabs>
      <w:spacing w:before="240" w:after="240" w:line="240" w:lineRule="auto"/>
      <w:ind w:left="0"/>
      <w:jc w:val="center"/>
    </w:pPr>
    <w:rPr>
      <w:rFonts w:ascii="Times New Roman" w:hAnsi="Times New Roman" w:cs="Times New Roman"/>
      <w:b/>
      <w:smallCaps/>
      <w:sz w:val="24"/>
      <w:szCs w:val="20"/>
    </w:rPr>
  </w:style>
  <w:style w:type="character" w:customStyle="1" w:styleId="ChapterChar">
    <w:name w:val="Chapter Char"/>
    <w:basedOn w:val="DefaultParagraphFont"/>
    <w:link w:val="Chapter"/>
    <w:rsid w:val="00340BEE"/>
    <w:rPr>
      <w:rFonts w:ascii="Times New Roman" w:eastAsiaTheme="minorEastAsia" w:hAnsi="Times New Roman" w:cs="Times New Roman"/>
      <w:b/>
      <w:smallCaps/>
      <w:sz w:val="24"/>
      <w:szCs w:val="20"/>
    </w:rPr>
  </w:style>
  <w:style w:type="paragraph" w:customStyle="1" w:styleId="FirstHeading">
    <w:name w:val="FirstHeading"/>
    <w:basedOn w:val="Normal"/>
    <w:next w:val="Normal"/>
    <w:link w:val="FirstHeadingChar"/>
    <w:rsid w:val="00340BEE"/>
    <w:pPr>
      <w:keepNext/>
      <w:numPr>
        <w:numId w:val="26"/>
      </w:numPr>
      <w:tabs>
        <w:tab w:val="left" w:pos="0"/>
        <w:tab w:val="left" w:pos="86"/>
      </w:tabs>
      <w:spacing w:before="120" w:after="120" w:line="240" w:lineRule="auto"/>
      <w:ind w:left="720"/>
    </w:pPr>
    <w:rPr>
      <w:rFonts w:ascii="Times New Roman" w:hAnsi="Times New Roman" w:cs="Times New Roman"/>
      <w:b/>
      <w:sz w:val="24"/>
      <w:szCs w:val="20"/>
    </w:rPr>
  </w:style>
  <w:style w:type="character" w:customStyle="1" w:styleId="FirstHeadingChar">
    <w:name w:val="FirstHeading Char"/>
    <w:basedOn w:val="DefaultParagraphFont"/>
    <w:link w:val="FirstHeading"/>
    <w:rsid w:val="00340BEE"/>
    <w:rPr>
      <w:rFonts w:ascii="Times New Roman" w:eastAsiaTheme="minorEastAsia" w:hAnsi="Times New Roman" w:cs="Times New Roman"/>
      <w:b/>
      <w:sz w:val="24"/>
      <w:szCs w:val="20"/>
    </w:rPr>
  </w:style>
  <w:style w:type="paragraph" w:customStyle="1" w:styleId="SecHeading">
    <w:name w:val="SecHeading"/>
    <w:basedOn w:val="Normal"/>
    <w:next w:val="Paragraph"/>
    <w:link w:val="SecHeadingChar"/>
    <w:rsid w:val="00340BEE"/>
    <w:pPr>
      <w:keepNext/>
      <w:numPr>
        <w:ilvl w:val="1"/>
        <w:numId w:val="26"/>
      </w:numPr>
      <w:tabs>
        <w:tab w:val="clear" w:pos="5400"/>
        <w:tab w:val="num" w:pos="1296"/>
      </w:tabs>
      <w:spacing w:before="120" w:after="120" w:line="240" w:lineRule="auto"/>
      <w:ind w:left="1296"/>
    </w:pPr>
    <w:rPr>
      <w:rFonts w:ascii="Times New Roman" w:hAnsi="Times New Roman" w:cs="Times New Roman"/>
      <w:b/>
      <w:sz w:val="24"/>
      <w:szCs w:val="20"/>
    </w:rPr>
  </w:style>
  <w:style w:type="character" w:customStyle="1" w:styleId="SecHeadingChar">
    <w:name w:val="SecHeading Char"/>
    <w:basedOn w:val="DefaultParagraphFont"/>
    <w:link w:val="SecHeading"/>
    <w:rsid w:val="00340BEE"/>
    <w:rPr>
      <w:rFonts w:ascii="Times New Roman" w:eastAsiaTheme="minorEastAsia" w:hAnsi="Times New Roman" w:cs="Times New Roman"/>
      <w:b/>
      <w:sz w:val="24"/>
      <w:szCs w:val="20"/>
    </w:rPr>
  </w:style>
  <w:style w:type="paragraph" w:customStyle="1" w:styleId="SubHeading1">
    <w:name w:val="SubHeading1"/>
    <w:basedOn w:val="SecHeading"/>
    <w:link w:val="SubHeading1Char"/>
    <w:rsid w:val="00340BEE"/>
    <w:pPr>
      <w:numPr>
        <w:ilvl w:val="2"/>
      </w:numPr>
      <w:tabs>
        <w:tab w:val="clear" w:pos="5976"/>
        <w:tab w:val="num" w:pos="1872"/>
      </w:tabs>
      <w:ind w:left="1872"/>
    </w:pPr>
  </w:style>
  <w:style w:type="character" w:customStyle="1" w:styleId="SubHeading1Char">
    <w:name w:val="SubHeading1 Char"/>
    <w:basedOn w:val="DefaultParagraphFont"/>
    <w:link w:val="SubHeading1"/>
    <w:rsid w:val="00340BEE"/>
    <w:rPr>
      <w:rFonts w:ascii="Times New Roman" w:eastAsiaTheme="minorEastAsia" w:hAnsi="Times New Roman" w:cs="Times New Roman"/>
      <w:b/>
      <w:sz w:val="24"/>
      <w:szCs w:val="20"/>
    </w:rPr>
  </w:style>
  <w:style w:type="paragraph" w:customStyle="1" w:styleId="Subheading2">
    <w:name w:val="Subheading2"/>
    <w:basedOn w:val="SecHeading"/>
    <w:link w:val="Subheading2Char"/>
    <w:rsid w:val="00340BEE"/>
    <w:pPr>
      <w:numPr>
        <w:ilvl w:val="3"/>
      </w:numPr>
      <w:tabs>
        <w:tab w:val="clear" w:pos="6480"/>
        <w:tab w:val="num" w:pos="2376"/>
      </w:tabs>
      <w:ind w:left="2376"/>
    </w:pPr>
  </w:style>
  <w:style w:type="character" w:customStyle="1" w:styleId="Subheading2Char">
    <w:name w:val="Subheading2 Char"/>
    <w:basedOn w:val="DefaultParagraphFont"/>
    <w:link w:val="Subheading2"/>
    <w:rsid w:val="00340BEE"/>
    <w:rPr>
      <w:rFonts w:ascii="Times New Roman" w:eastAsiaTheme="minorEastAsia" w:hAnsi="Times New Roman" w:cs="Times New Roman"/>
      <w:b/>
      <w:sz w:val="24"/>
      <w:szCs w:val="20"/>
    </w:rPr>
  </w:style>
  <w:style w:type="paragraph" w:customStyle="1" w:styleId="subpar">
    <w:name w:val="subpar"/>
    <w:basedOn w:val="BodyTextIndent3"/>
    <w:link w:val="subparChar"/>
    <w:rsid w:val="00340BEE"/>
    <w:pPr>
      <w:numPr>
        <w:ilvl w:val="2"/>
        <w:numId w:val="18"/>
      </w:numPr>
      <w:tabs>
        <w:tab w:val="clear" w:pos="2304"/>
        <w:tab w:val="num" w:pos="1152"/>
      </w:tabs>
      <w:spacing w:before="120"/>
      <w:ind w:left="1152"/>
      <w:jc w:val="both"/>
      <w:outlineLvl w:val="2"/>
    </w:pPr>
    <w:rPr>
      <w:szCs w:val="20"/>
    </w:rPr>
  </w:style>
  <w:style w:type="character" w:customStyle="1" w:styleId="subparChar">
    <w:name w:val="subpar Char"/>
    <w:basedOn w:val="DefaultParagraphFont"/>
    <w:link w:val="subpar"/>
    <w:rsid w:val="00340BEE"/>
    <w:rPr>
      <w:rFonts w:ascii="Times New Roman" w:eastAsiaTheme="minorEastAsia" w:hAnsi="Times New Roman" w:cs="Times New Roman"/>
      <w:sz w:val="24"/>
      <w:szCs w:val="20"/>
    </w:rPr>
  </w:style>
  <w:style w:type="paragraph" w:customStyle="1" w:styleId="SubSubPar">
    <w:name w:val="SubSubPar"/>
    <w:basedOn w:val="subpar"/>
    <w:link w:val="SubSubParChar"/>
    <w:rsid w:val="00340BEE"/>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340BEE"/>
    <w:rPr>
      <w:rFonts w:ascii="Times New Roman" w:eastAsiaTheme="minorEastAsia" w:hAnsi="Times New Roman" w:cs="Times New Roman"/>
      <w:sz w:val="24"/>
      <w:szCs w:val="20"/>
    </w:rPr>
  </w:style>
  <w:style w:type="paragraph" w:customStyle="1" w:styleId="Regtable">
    <w:name w:val="Regtable"/>
    <w:basedOn w:val="Normal"/>
    <w:link w:val="RegtableChar"/>
    <w:rsid w:val="00340BEE"/>
    <w:pPr>
      <w:keepLines/>
      <w:framePr w:wrap="around" w:vAnchor="text" w:hAnchor="text" w:y="1"/>
      <w:spacing w:before="20" w:after="20" w:line="240" w:lineRule="auto"/>
    </w:pPr>
    <w:rPr>
      <w:rFonts w:ascii="Times New Roman" w:hAnsi="Times New Roman" w:cs="Times New Roman"/>
      <w:sz w:val="20"/>
      <w:szCs w:val="20"/>
    </w:rPr>
  </w:style>
  <w:style w:type="character" w:customStyle="1" w:styleId="RegtableChar">
    <w:name w:val="Regtable Char"/>
    <w:basedOn w:val="DefaultParagraphFont"/>
    <w:link w:val="Regtable"/>
    <w:rsid w:val="00340BEE"/>
    <w:rPr>
      <w:rFonts w:ascii="Times New Roman" w:eastAsiaTheme="minorEastAsia" w:hAnsi="Times New Roman" w:cs="Times New Roman"/>
      <w:sz w:val="20"/>
      <w:szCs w:val="20"/>
    </w:rPr>
  </w:style>
  <w:style w:type="paragraph" w:customStyle="1" w:styleId="TableTitle">
    <w:name w:val="TableTitle"/>
    <w:basedOn w:val="Normal"/>
    <w:link w:val="TableTitleChar"/>
    <w:rsid w:val="00340BEE"/>
    <w:pPr>
      <w:keepNext/>
      <w:framePr w:wrap="around" w:vAnchor="text" w:hAnchor="text" w:y="1"/>
      <w:spacing w:before="20" w:after="20" w:line="240" w:lineRule="auto"/>
      <w:jc w:val="center"/>
    </w:pPr>
    <w:rPr>
      <w:rFonts w:ascii="Times New Roman Bold" w:hAnsi="Times New Roman Bold" w:cs="Arial"/>
      <w:b/>
      <w:spacing w:val="-3"/>
      <w:sz w:val="20"/>
      <w:szCs w:val="20"/>
    </w:rPr>
  </w:style>
  <w:style w:type="character" w:customStyle="1" w:styleId="TableTitleChar">
    <w:name w:val="TableTitle Char"/>
    <w:basedOn w:val="DefaultParagraphFont"/>
    <w:link w:val="TableTitle"/>
    <w:rsid w:val="00340BEE"/>
    <w:rPr>
      <w:rFonts w:ascii="Times New Roman Bold" w:eastAsiaTheme="minorEastAsia" w:hAnsi="Times New Roman Bold" w:cs="Arial"/>
      <w:b/>
      <w:spacing w:val="-3"/>
      <w:sz w:val="20"/>
      <w:szCs w:val="20"/>
    </w:rPr>
  </w:style>
  <w:style w:type="character" w:customStyle="1" w:styleId="Heading4Char">
    <w:name w:val="Heading 4 Char"/>
    <w:basedOn w:val="DefaultParagraphFont"/>
    <w:link w:val="Heading4"/>
    <w:uiPriority w:val="9"/>
    <w:semiHidden/>
    <w:rsid w:val="00340BE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40BE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40BE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40BE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40BE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40BEE"/>
    <w:rPr>
      <w:rFonts w:asciiTheme="majorHAnsi" w:eastAsiaTheme="majorEastAsia" w:hAnsiTheme="majorHAnsi" w:cstheme="majorBidi"/>
      <w:i/>
      <w:iCs/>
      <w:color w:val="404040" w:themeColor="text1" w:themeTint="BF"/>
      <w:sz w:val="20"/>
      <w:szCs w:val="20"/>
    </w:rPr>
  </w:style>
  <w:style w:type="paragraph" w:styleId="BodyTextIndent3">
    <w:name w:val="Body Text Indent 3"/>
    <w:basedOn w:val="Normal"/>
    <w:link w:val="BodyTextIndent3Char"/>
    <w:uiPriority w:val="99"/>
    <w:semiHidden/>
    <w:unhideWhenUsed/>
    <w:rsid w:val="00340BEE"/>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340BEE"/>
    <w:rPr>
      <w:rFonts w:ascii="Times New Roman" w:eastAsiaTheme="minorEastAsia" w:hAnsi="Times New Roman" w:cs="Times New Roman"/>
      <w:sz w:val="24"/>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E3E"/>
    <w:rPr>
      <w:rFonts w:eastAsiaTheme="minorEastAsia"/>
    </w:rPr>
  </w:style>
  <w:style w:type="paragraph" w:styleId="Heading1">
    <w:name w:val="heading 1"/>
    <w:basedOn w:val="Normal"/>
    <w:next w:val="Normal"/>
    <w:link w:val="Heading1Char"/>
    <w:qFormat/>
    <w:rsid w:val="000920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40BE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40BE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40BE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40BEE"/>
    <w:pPr>
      <w:keepNext/>
      <w:keepLines/>
      <w:numPr>
        <w:ilvl w:val="4"/>
        <w:numId w:val="2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40BEE"/>
    <w:pPr>
      <w:keepNext/>
      <w:keepLines/>
      <w:numPr>
        <w:ilvl w:val="5"/>
        <w:numId w:val="2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40BEE"/>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40BEE"/>
    <w:pPr>
      <w:keepNext/>
      <w:keepLines/>
      <w:numPr>
        <w:ilvl w:val="7"/>
        <w:numId w:val="2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40BEE"/>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57FB6"/>
    <w:pPr>
      <w:ind w:left="720"/>
      <w:contextualSpacing/>
    </w:pPr>
  </w:style>
  <w:style w:type="character" w:styleId="FootnoteReference">
    <w:name w:val="footnote reference"/>
    <w:aliases w:val="SUPERS,EN Footnote Reference,number"/>
    <w:basedOn w:val="DefaultParagraphFont"/>
    <w:uiPriority w:val="99"/>
    <w:rsid w:val="00AB1648"/>
    <w:rPr>
      <w:vertAlign w:val="superscript"/>
    </w:rPr>
  </w:style>
  <w:style w:type="paragraph" w:styleId="FootnoteText">
    <w:name w:val="footnote text"/>
    <w:basedOn w:val="Normal"/>
    <w:link w:val="FootnoteTextChar"/>
    <w:uiPriority w:val="99"/>
    <w:semiHidden/>
    <w:rsid w:val="00AB1648"/>
    <w:pPr>
      <w:keepNext/>
      <w:keepLines/>
      <w:spacing w:after="120" w:line="240" w:lineRule="auto"/>
      <w:ind w:left="288" w:hanging="288"/>
      <w:jc w:val="both"/>
    </w:pPr>
    <w:rPr>
      <w:rFonts w:ascii="Times New Roman" w:eastAsia="SimSun" w:hAnsi="Times New Roman" w:cs="Times New Roman"/>
      <w:spacing w:val="-3"/>
      <w:sz w:val="20"/>
      <w:szCs w:val="20"/>
    </w:rPr>
  </w:style>
  <w:style w:type="character" w:customStyle="1" w:styleId="FootnoteTextChar">
    <w:name w:val="Footnote Text Char"/>
    <w:basedOn w:val="DefaultParagraphFont"/>
    <w:link w:val="FootnoteText"/>
    <w:uiPriority w:val="99"/>
    <w:semiHidden/>
    <w:rsid w:val="00AB1648"/>
    <w:rPr>
      <w:rFonts w:ascii="Times New Roman" w:eastAsia="SimSun" w:hAnsi="Times New Roman" w:cs="Times New Roman"/>
      <w:spacing w:val="-3"/>
      <w:sz w:val="20"/>
      <w:szCs w:val="20"/>
    </w:rPr>
  </w:style>
  <w:style w:type="paragraph" w:customStyle="1" w:styleId="ParagraphNumbering">
    <w:name w:val="#Paragraph Numbering"/>
    <w:basedOn w:val="Normal"/>
    <w:link w:val="ParagraphNumberingChar"/>
    <w:qFormat/>
    <w:rsid w:val="00AB1648"/>
    <w:pPr>
      <w:numPr>
        <w:numId w:val="3"/>
      </w:numPr>
      <w:spacing w:after="120" w:line="264" w:lineRule="auto"/>
      <w:jc w:val="both"/>
    </w:pPr>
    <w:rPr>
      <w:rFonts w:ascii="Times New Roman" w:eastAsia="SimSun" w:hAnsi="Times New Roman" w:cs="Times New Roman"/>
      <w:sz w:val="24"/>
      <w:szCs w:val="24"/>
      <w:lang w:eastAsia="ja-JP"/>
    </w:rPr>
  </w:style>
  <w:style w:type="character" w:customStyle="1" w:styleId="ParagraphNumberingChar">
    <w:name w:val="#Paragraph Numbering Char"/>
    <w:basedOn w:val="DefaultParagraphFont"/>
    <w:link w:val="ParagraphNumbering"/>
    <w:rsid w:val="00AB1648"/>
    <w:rPr>
      <w:rFonts w:ascii="Times New Roman" w:eastAsia="SimSun" w:hAnsi="Times New Roman" w:cs="Times New Roman"/>
      <w:sz w:val="24"/>
      <w:szCs w:val="24"/>
      <w:lang w:eastAsia="ja-JP"/>
    </w:rPr>
  </w:style>
  <w:style w:type="paragraph" w:customStyle="1" w:styleId="ListBullet0">
    <w:name w:val="#List Bullet"/>
    <w:basedOn w:val="ListBullet"/>
    <w:link w:val="ListBulletChar"/>
    <w:qFormat/>
    <w:rsid w:val="00AB1648"/>
    <w:pPr>
      <w:spacing w:after="120" w:line="240" w:lineRule="auto"/>
      <w:contextualSpacing w:val="0"/>
      <w:jc w:val="both"/>
    </w:pPr>
    <w:rPr>
      <w:rFonts w:ascii="Times New Roman" w:eastAsia="Times New Roman" w:hAnsi="Times New Roman" w:cs="Times New Roman"/>
      <w:sz w:val="24"/>
      <w:szCs w:val="24"/>
    </w:rPr>
  </w:style>
  <w:style w:type="character" w:customStyle="1" w:styleId="ListBulletChar">
    <w:name w:val="#List Bullet Char"/>
    <w:basedOn w:val="DefaultParagraphFont"/>
    <w:link w:val="ListBullet0"/>
    <w:rsid w:val="00AB1648"/>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AB1648"/>
    <w:rPr>
      <w:sz w:val="16"/>
      <w:szCs w:val="16"/>
    </w:rPr>
  </w:style>
  <w:style w:type="paragraph" w:styleId="CommentText">
    <w:name w:val="annotation text"/>
    <w:basedOn w:val="Normal"/>
    <w:link w:val="CommentTextChar"/>
    <w:uiPriority w:val="99"/>
    <w:unhideWhenUsed/>
    <w:rsid w:val="00AB1648"/>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rsid w:val="00AB1648"/>
    <w:rPr>
      <w:sz w:val="20"/>
      <w:szCs w:val="20"/>
    </w:rPr>
  </w:style>
  <w:style w:type="paragraph" w:customStyle="1" w:styleId="UnnumberedHeading2">
    <w:name w:val="#Unnumbered Heading2"/>
    <w:basedOn w:val="Heading2"/>
    <w:qFormat/>
    <w:rsid w:val="00AB1648"/>
    <w:pPr>
      <w:keepLines w:val="0"/>
      <w:spacing w:before="0" w:after="240" w:line="264" w:lineRule="auto"/>
      <w:jc w:val="center"/>
    </w:pPr>
    <w:rPr>
      <w:rFonts w:ascii="Times New Roman" w:eastAsia="SimSun" w:hAnsi="Times New Roman" w:cs="Arial"/>
      <w:iCs/>
      <w:color w:val="auto"/>
      <w:sz w:val="24"/>
      <w:szCs w:val="28"/>
    </w:rPr>
  </w:style>
  <w:style w:type="paragraph" w:customStyle="1" w:styleId="UnnumberedHeading3">
    <w:name w:val="#Unnumbered Heading3"/>
    <w:basedOn w:val="Heading3"/>
    <w:next w:val="ParagraphNumbering"/>
    <w:link w:val="UnnumberedHeading3Char"/>
    <w:autoRedefine/>
    <w:qFormat/>
    <w:rsid w:val="00AB1648"/>
    <w:pPr>
      <w:keepLines w:val="0"/>
      <w:spacing w:before="120" w:after="120" w:line="264" w:lineRule="auto"/>
      <w:jc w:val="center"/>
    </w:pPr>
    <w:rPr>
      <w:rFonts w:ascii="Times New Roman" w:eastAsia="SimSun" w:hAnsi="Times New Roman" w:cs="Times New Roman"/>
      <w:bCs w:val="0"/>
      <w:sz w:val="24"/>
      <w:szCs w:val="24"/>
    </w:rPr>
  </w:style>
  <w:style w:type="character" w:customStyle="1" w:styleId="UnnumberedHeading3Char">
    <w:name w:val="#Unnumbered Heading3 Char"/>
    <w:basedOn w:val="Heading3Char"/>
    <w:link w:val="UnnumberedHeading3"/>
    <w:rsid w:val="00AB1648"/>
    <w:rPr>
      <w:rFonts w:ascii="Times New Roman" w:eastAsia="SimSun" w:hAnsi="Times New Roman" w:cs="Times New Roman"/>
      <w:b/>
      <w:bCs w:val="0"/>
      <w:color w:val="4F81BD" w:themeColor="accent1"/>
      <w:sz w:val="24"/>
      <w:szCs w:val="24"/>
    </w:rPr>
  </w:style>
  <w:style w:type="paragraph" w:styleId="ListBullet">
    <w:name w:val="List Bullet"/>
    <w:basedOn w:val="Normal"/>
    <w:uiPriority w:val="99"/>
    <w:semiHidden/>
    <w:unhideWhenUsed/>
    <w:rsid w:val="00AB1648"/>
    <w:pPr>
      <w:numPr>
        <w:numId w:val="2"/>
      </w:numPr>
      <w:contextualSpacing/>
    </w:pPr>
  </w:style>
  <w:style w:type="character" w:customStyle="1" w:styleId="Heading2Char">
    <w:name w:val="Heading 2 Char"/>
    <w:basedOn w:val="DefaultParagraphFont"/>
    <w:link w:val="Heading2"/>
    <w:rsid w:val="00340BE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40BEE"/>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AB16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648"/>
    <w:rPr>
      <w:rFonts w:ascii="Tahoma" w:eastAsiaTheme="minorEastAsia" w:hAnsi="Tahoma" w:cs="Tahoma"/>
      <w:sz w:val="16"/>
      <w:szCs w:val="16"/>
    </w:rPr>
  </w:style>
  <w:style w:type="character" w:customStyle="1" w:styleId="Heading1Char">
    <w:name w:val="Heading 1 Char"/>
    <w:basedOn w:val="DefaultParagraphFont"/>
    <w:link w:val="Heading1"/>
    <w:rsid w:val="0009209D"/>
    <w:rPr>
      <w:rFonts w:asciiTheme="majorHAnsi" w:eastAsiaTheme="majorEastAsia" w:hAnsiTheme="majorHAnsi" w:cstheme="majorBidi"/>
      <w:b/>
      <w:bCs/>
      <w:color w:val="365F91" w:themeColor="accent1" w:themeShade="BF"/>
      <w:sz w:val="28"/>
      <w:szCs w:val="28"/>
    </w:rPr>
  </w:style>
  <w:style w:type="paragraph" w:customStyle="1" w:styleId="Heading10">
    <w:name w:val="#Heading 1"/>
    <w:basedOn w:val="Heading1"/>
    <w:next w:val="ParagraphNumbering"/>
    <w:link w:val="Heading1Char0"/>
    <w:qFormat/>
    <w:rsid w:val="0009209D"/>
    <w:pPr>
      <w:keepLines w:val="0"/>
      <w:spacing w:before="240" w:after="240" w:line="264" w:lineRule="auto"/>
      <w:jc w:val="center"/>
    </w:pPr>
    <w:rPr>
      <w:rFonts w:ascii="Times New Roman" w:eastAsia="SimSun" w:hAnsi="Times New Roman" w:cs="Arial"/>
      <w:smallCaps/>
      <w:kern w:val="28"/>
      <w:sz w:val="26"/>
      <w:szCs w:val="32"/>
    </w:rPr>
  </w:style>
  <w:style w:type="paragraph" w:customStyle="1" w:styleId="Heading20">
    <w:name w:val="#Heading2"/>
    <w:basedOn w:val="Heading2"/>
    <w:next w:val="ParagraphNumbering"/>
    <w:link w:val="Heading2Char0"/>
    <w:qFormat/>
    <w:rsid w:val="0009209D"/>
    <w:pPr>
      <w:keepLines w:val="0"/>
      <w:numPr>
        <w:ilvl w:val="1"/>
      </w:numPr>
      <w:spacing w:before="0" w:after="240" w:line="264" w:lineRule="auto"/>
      <w:jc w:val="center"/>
    </w:pPr>
    <w:rPr>
      <w:rFonts w:ascii="Times New Roman" w:eastAsia="SimSun" w:hAnsi="Times New Roman" w:cs="Arial"/>
      <w:iCs/>
      <w:szCs w:val="28"/>
      <w:lang w:eastAsia="ja-JP"/>
    </w:rPr>
  </w:style>
  <w:style w:type="character" w:customStyle="1" w:styleId="Heading1Char0">
    <w:name w:val="#Heading 1 Char"/>
    <w:basedOn w:val="Heading1Char"/>
    <w:link w:val="Heading10"/>
    <w:rsid w:val="0009209D"/>
    <w:rPr>
      <w:rFonts w:ascii="Times New Roman" w:eastAsia="SimSun" w:hAnsi="Times New Roman" w:cs="Arial"/>
      <w:b/>
      <w:bCs/>
      <w:smallCaps/>
      <w:color w:val="365F91" w:themeColor="accent1" w:themeShade="BF"/>
      <w:kern w:val="28"/>
      <w:sz w:val="26"/>
      <w:szCs w:val="32"/>
    </w:rPr>
  </w:style>
  <w:style w:type="character" w:customStyle="1" w:styleId="Heading2Char0">
    <w:name w:val="#Heading2 Char"/>
    <w:basedOn w:val="Heading2Char"/>
    <w:link w:val="Heading20"/>
    <w:rsid w:val="0009209D"/>
    <w:rPr>
      <w:rFonts w:ascii="Times New Roman" w:eastAsia="SimSun" w:hAnsi="Times New Roman" w:cs="Arial"/>
      <w:b/>
      <w:bCs/>
      <w:iCs/>
      <w:color w:val="4F81BD" w:themeColor="accent1"/>
      <w:sz w:val="26"/>
      <w:szCs w:val="28"/>
      <w:lang w:eastAsia="ja-JP"/>
    </w:rPr>
  </w:style>
  <w:style w:type="paragraph" w:styleId="Caption">
    <w:name w:val="caption"/>
    <w:basedOn w:val="Normal"/>
    <w:next w:val="Normal"/>
    <w:autoRedefine/>
    <w:uiPriority w:val="35"/>
    <w:qFormat/>
    <w:rsid w:val="00271E19"/>
    <w:pPr>
      <w:keepNext/>
      <w:numPr>
        <w:numId w:val="1"/>
      </w:numPr>
      <w:tabs>
        <w:tab w:val="left" w:pos="720"/>
        <w:tab w:val="left" w:pos="1152"/>
        <w:tab w:val="left" w:pos="1584"/>
        <w:tab w:val="right" w:pos="9346"/>
      </w:tabs>
      <w:spacing w:after="0" w:line="264" w:lineRule="auto"/>
      <w:outlineLvl w:val="0"/>
    </w:pPr>
    <w:rPr>
      <w:rFonts w:ascii="Times New Roman" w:eastAsia="SimSun" w:hAnsi="Times New Roman" w:cs="Times New Roman"/>
      <w:b/>
      <w:sz w:val="18"/>
      <w:szCs w:val="18"/>
    </w:rPr>
  </w:style>
  <w:style w:type="character" w:customStyle="1" w:styleId="ListParagraphChar">
    <w:name w:val="List Paragraph Char"/>
    <w:basedOn w:val="DefaultParagraphFont"/>
    <w:link w:val="ListParagraph"/>
    <w:uiPriority w:val="34"/>
    <w:rsid w:val="004C0F5D"/>
    <w:rPr>
      <w:rFonts w:eastAsiaTheme="minorEastAsia"/>
    </w:rPr>
  </w:style>
  <w:style w:type="table" w:styleId="TableGrid">
    <w:name w:val="Table Grid"/>
    <w:basedOn w:val="TableNormal"/>
    <w:uiPriority w:val="59"/>
    <w:rsid w:val="00557B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557B8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unhideWhenUsed/>
    <w:rsid w:val="002D41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4197"/>
    <w:rPr>
      <w:rFonts w:eastAsiaTheme="minorEastAsia"/>
    </w:rPr>
  </w:style>
  <w:style w:type="paragraph" w:styleId="Footer">
    <w:name w:val="footer"/>
    <w:basedOn w:val="Normal"/>
    <w:link w:val="FooterChar"/>
    <w:uiPriority w:val="99"/>
    <w:unhideWhenUsed/>
    <w:rsid w:val="002D41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4197"/>
    <w:rPr>
      <w:rFonts w:eastAsiaTheme="minorEastAsia"/>
    </w:rPr>
  </w:style>
  <w:style w:type="paragraph" w:styleId="CommentSubject">
    <w:name w:val="annotation subject"/>
    <w:basedOn w:val="CommentText"/>
    <w:next w:val="CommentText"/>
    <w:link w:val="CommentSubjectChar"/>
    <w:uiPriority w:val="99"/>
    <w:semiHidden/>
    <w:unhideWhenUsed/>
    <w:rsid w:val="00C9340A"/>
    <w:rPr>
      <w:rFonts w:eastAsiaTheme="minorEastAsia"/>
      <w:b/>
      <w:bCs/>
    </w:rPr>
  </w:style>
  <w:style w:type="character" w:customStyle="1" w:styleId="CommentSubjectChar">
    <w:name w:val="Comment Subject Char"/>
    <w:basedOn w:val="CommentTextChar"/>
    <w:link w:val="CommentSubject"/>
    <w:uiPriority w:val="99"/>
    <w:semiHidden/>
    <w:rsid w:val="00C9340A"/>
    <w:rPr>
      <w:rFonts w:eastAsiaTheme="minorEastAsia"/>
      <w:b/>
      <w:bCs/>
      <w:sz w:val="20"/>
      <w:szCs w:val="20"/>
    </w:rPr>
  </w:style>
  <w:style w:type="character" w:styleId="Hyperlink">
    <w:name w:val="Hyperlink"/>
    <w:basedOn w:val="DefaultParagraphFont"/>
    <w:uiPriority w:val="99"/>
    <w:unhideWhenUsed/>
    <w:rsid w:val="005A5180"/>
    <w:rPr>
      <w:color w:val="0000FF" w:themeColor="hyperlink"/>
      <w:u w:val="single"/>
    </w:rPr>
  </w:style>
  <w:style w:type="character" w:styleId="PageNumber">
    <w:name w:val="page number"/>
    <w:basedOn w:val="DefaultParagraphFont"/>
    <w:uiPriority w:val="99"/>
    <w:semiHidden/>
    <w:unhideWhenUsed/>
    <w:rsid w:val="00073D43"/>
  </w:style>
  <w:style w:type="paragraph" w:customStyle="1" w:styleId="Paragraph">
    <w:name w:val="Paragraph"/>
    <w:aliases w:val="p,PARAGRAPH,PG,pa,at,paragraph"/>
    <w:basedOn w:val="BodyTextIndent"/>
    <w:link w:val="ParagraphChar"/>
    <w:rsid w:val="00340BEE"/>
    <w:pPr>
      <w:numPr>
        <w:ilvl w:val="1"/>
        <w:numId w:val="18"/>
      </w:numPr>
      <w:tabs>
        <w:tab w:val="clear" w:pos="2448"/>
        <w:tab w:val="num" w:pos="720"/>
      </w:tabs>
      <w:spacing w:before="120"/>
      <w:ind w:left="720" w:hanging="720"/>
      <w:jc w:val="both"/>
      <w:outlineLvl w:val="1"/>
    </w:pPr>
    <w:rPr>
      <w:rFonts w:eastAsia="Times New Roman"/>
      <w:szCs w:val="20"/>
    </w:rPr>
  </w:style>
  <w:style w:type="character" w:customStyle="1" w:styleId="ParagraphChar">
    <w:name w:val="Paragraph Char"/>
    <w:aliases w:val="paragraph Char,p Char,PARAGRAPH Char,PG Char,pa Char,at Char"/>
    <w:basedOn w:val="DefaultParagraphFont"/>
    <w:link w:val="Paragraph"/>
    <w:rsid w:val="00340BEE"/>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B6628A"/>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B6628A"/>
    <w:rPr>
      <w:rFonts w:ascii="Times New Roman" w:eastAsiaTheme="minorEastAsia" w:hAnsi="Times New Roman" w:cs="Times New Roman"/>
      <w:sz w:val="24"/>
    </w:rPr>
  </w:style>
  <w:style w:type="character" w:styleId="FollowedHyperlink">
    <w:name w:val="FollowedHyperlink"/>
    <w:basedOn w:val="DefaultParagraphFont"/>
    <w:uiPriority w:val="99"/>
    <w:semiHidden/>
    <w:unhideWhenUsed/>
    <w:rsid w:val="00F471AB"/>
    <w:rPr>
      <w:color w:val="800080" w:themeColor="followedHyperlink"/>
      <w:u w:val="single"/>
    </w:rPr>
  </w:style>
  <w:style w:type="paragraph" w:customStyle="1" w:styleId="Chapter">
    <w:name w:val="Chapter"/>
    <w:basedOn w:val="Normal"/>
    <w:next w:val="Normal"/>
    <w:link w:val="ChapterChar"/>
    <w:rsid w:val="00340BEE"/>
    <w:pPr>
      <w:keepNext/>
      <w:numPr>
        <w:numId w:val="18"/>
      </w:numPr>
      <w:tabs>
        <w:tab w:val="clear" w:pos="1800"/>
        <w:tab w:val="num" w:pos="648"/>
        <w:tab w:val="left" w:pos="1440"/>
      </w:tabs>
      <w:spacing w:before="240" w:after="240" w:line="240" w:lineRule="auto"/>
      <w:ind w:left="0"/>
      <w:jc w:val="center"/>
    </w:pPr>
    <w:rPr>
      <w:rFonts w:ascii="Times New Roman" w:hAnsi="Times New Roman" w:cs="Times New Roman"/>
      <w:b/>
      <w:smallCaps/>
      <w:sz w:val="24"/>
      <w:szCs w:val="20"/>
    </w:rPr>
  </w:style>
  <w:style w:type="character" w:customStyle="1" w:styleId="ChapterChar">
    <w:name w:val="Chapter Char"/>
    <w:basedOn w:val="DefaultParagraphFont"/>
    <w:link w:val="Chapter"/>
    <w:rsid w:val="00340BEE"/>
    <w:rPr>
      <w:rFonts w:ascii="Times New Roman" w:eastAsiaTheme="minorEastAsia" w:hAnsi="Times New Roman" w:cs="Times New Roman"/>
      <w:b/>
      <w:smallCaps/>
      <w:sz w:val="24"/>
      <w:szCs w:val="20"/>
    </w:rPr>
  </w:style>
  <w:style w:type="paragraph" w:customStyle="1" w:styleId="FirstHeading">
    <w:name w:val="FirstHeading"/>
    <w:basedOn w:val="Normal"/>
    <w:next w:val="Normal"/>
    <w:link w:val="FirstHeadingChar"/>
    <w:rsid w:val="00340BEE"/>
    <w:pPr>
      <w:keepNext/>
      <w:numPr>
        <w:numId w:val="26"/>
      </w:numPr>
      <w:tabs>
        <w:tab w:val="left" w:pos="0"/>
        <w:tab w:val="left" w:pos="86"/>
      </w:tabs>
      <w:spacing w:before="120" w:after="120" w:line="240" w:lineRule="auto"/>
      <w:ind w:left="720"/>
    </w:pPr>
    <w:rPr>
      <w:rFonts w:ascii="Times New Roman" w:hAnsi="Times New Roman" w:cs="Times New Roman"/>
      <w:b/>
      <w:sz w:val="24"/>
      <w:szCs w:val="20"/>
    </w:rPr>
  </w:style>
  <w:style w:type="character" w:customStyle="1" w:styleId="FirstHeadingChar">
    <w:name w:val="FirstHeading Char"/>
    <w:basedOn w:val="DefaultParagraphFont"/>
    <w:link w:val="FirstHeading"/>
    <w:rsid w:val="00340BEE"/>
    <w:rPr>
      <w:rFonts w:ascii="Times New Roman" w:eastAsiaTheme="minorEastAsia" w:hAnsi="Times New Roman" w:cs="Times New Roman"/>
      <w:b/>
      <w:sz w:val="24"/>
      <w:szCs w:val="20"/>
    </w:rPr>
  </w:style>
  <w:style w:type="paragraph" w:customStyle="1" w:styleId="SecHeading">
    <w:name w:val="SecHeading"/>
    <w:basedOn w:val="Normal"/>
    <w:next w:val="Paragraph"/>
    <w:link w:val="SecHeadingChar"/>
    <w:rsid w:val="00340BEE"/>
    <w:pPr>
      <w:keepNext/>
      <w:numPr>
        <w:ilvl w:val="1"/>
        <w:numId w:val="26"/>
      </w:numPr>
      <w:tabs>
        <w:tab w:val="clear" w:pos="5400"/>
        <w:tab w:val="num" w:pos="1296"/>
      </w:tabs>
      <w:spacing w:before="120" w:after="120" w:line="240" w:lineRule="auto"/>
      <w:ind w:left="1296"/>
    </w:pPr>
    <w:rPr>
      <w:rFonts w:ascii="Times New Roman" w:hAnsi="Times New Roman" w:cs="Times New Roman"/>
      <w:b/>
      <w:sz w:val="24"/>
      <w:szCs w:val="20"/>
    </w:rPr>
  </w:style>
  <w:style w:type="character" w:customStyle="1" w:styleId="SecHeadingChar">
    <w:name w:val="SecHeading Char"/>
    <w:basedOn w:val="DefaultParagraphFont"/>
    <w:link w:val="SecHeading"/>
    <w:rsid w:val="00340BEE"/>
    <w:rPr>
      <w:rFonts w:ascii="Times New Roman" w:eastAsiaTheme="minorEastAsia" w:hAnsi="Times New Roman" w:cs="Times New Roman"/>
      <w:b/>
      <w:sz w:val="24"/>
      <w:szCs w:val="20"/>
    </w:rPr>
  </w:style>
  <w:style w:type="paragraph" w:customStyle="1" w:styleId="SubHeading1">
    <w:name w:val="SubHeading1"/>
    <w:basedOn w:val="SecHeading"/>
    <w:link w:val="SubHeading1Char"/>
    <w:rsid w:val="00340BEE"/>
    <w:pPr>
      <w:numPr>
        <w:ilvl w:val="2"/>
      </w:numPr>
      <w:tabs>
        <w:tab w:val="clear" w:pos="5976"/>
        <w:tab w:val="num" w:pos="1872"/>
      </w:tabs>
      <w:ind w:left="1872"/>
    </w:pPr>
  </w:style>
  <w:style w:type="character" w:customStyle="1" w:styleId="SubHeading1Char">
    <w:name w:val="SubHeading1 Char"/>
    <w:basedOn w:val="DefaultParagraphFont"/>
    <w:link w:val="SubHeading1"/>
    <w:rsid w:val="00340BEE"/>
    <w:rPr>
      <w:rFonts w:ascii="Times New Roman" w:eastAsiaTheme="minorEastAsia" w:hAnsi="Times New Roman" w:cs="Times New Roman"/>
      <w:b/>
      <w:sz w:val="24"/>
      <w:szCs w:val="20"/>
    </w:rPr>
  </w:style>
  <w:style w:type="paragraph" w:customStyle="1" w:styleId="Subheading2">
    <w:name w:val="Subheading2"/>
    <w:basedOn w:val="SecHeading"/>
    <w:link w:val="Subheading2Char"/>
    <w:rsid w:val="00340BEE"/>
    <w:pPr>
      <w:numPr>
        <w:ilvl w:val="3"/>
      </w:numPr>
      <w:tabs>
        <w:tab w:val="clear" w:pos="6480"/>
        <w:tab w:val="num" w:pos="2376"/>
      </w:tabs>
      <w:ind w:left="2376"/>
    </w:pPr>
  </w:style>
  <w:style w:type="character" w:customStyle="1" w:styleId="Subheading2Char">
    <w:name w:val="Subheading2 Char"/>
    <w:basedOn w:val="DefaultParagraphFont"/>
    <w:link w:val="Subheading2"/>
    <w:rsid w:val="00340BEE"/>
    <w:rPr>
      <w:rFonts w:ascii="Times New Roman" w:eastAsiaTheme="minorEastAsia" w:hAnsi="Times New Roman" w:cs="Times New Roman"/>
      <w:b/>
      <w:sz w:val="24"/>
      <w:szCs w:val="20"/>
    </w:rPr>
  </w:style>
  <w:style w:type="paragraph" w:customStyle="1" w:styleId="subpar">
    <w:name w:val="subpar"/>
    <w:basedOn w:val="BodyTextIndent3"/>
    <w:link w:val="subparChar"/>
    <w:rsid w:val="00340BEE"/>
    <w:pPr>
      <w:numPr>
        <w:ilvl w:val="2"/>
        <w:numId w:val="18"/>
      </w:numPr>
      <w:tabs>
        <w:tab w:val="clear" w:pos="2304"/>
        <w:tab w:val="num" w:pos="1152"/>
      </w:tabs>
      <w:spacing w:before="120"/>
      <w:ind w:left="1152"/>
      <w:jc w:val="both"/>
      <w:outlineLvl w:val="2"/>
    </w:pPr>
    <w:rPr>
      <w:szCs w:val="20"/>
    </w:rPr>
  </w:style>
  <w:style w:type="character" w:customStyle="1" w:styleId="subparChar">
    <w:name w:val="subpar Char"/>
    <w:basedOn w:val="DefaultParagraphFont"/>
    <w:link w:val="subpar"/>
    <w:rsid w:val="00340BEE"/>
    <w:rPr>
      <w:rFonts w:ascii="Times New Roman" w:eastAsiaTheme="minorEastAsia" w:hAnsi="Times New Roman" w:cs="Times New Roman"/>
      <w:sz w:val="24"/>
      <w:szCs w:val="20"/>
    </w:rPr>
  </w:style>
  <w:style w:type="paragraph" w:customStyle="1" w:styleId="SubSubPar">
    <w:name w:val="SubSubPar"/>
    <w:basedOn w:val="subpar"/>
    <w:link w:val="SubSubParChar"/>
    <w:rsid w:val="00340BEE"/>
    <w:pPr>
      <w:numPr>
        <w:ilvl w:val="3"/>
      </w:numPr>
      <w:tabs>
        <w:tab w:val="clear" w:pos="2736"/>
        <w:tab w:val="left" w:pos="0"/>
        <w:tab w:val="num" w:pos="1296"/>
      </w:tabs>
      <w:ind w:left="1296"/>
    </w:pPr>
  </w:style>
  <w:style w:type="character" w:customStyle="1" w:styleId="SubSubParChar">
    <w:name w:val="SubSubPar Char"/>
    <w:basedOn w:val="DefaultParagraphFont"/>
    <w:link w:val="SubSubPar"/>
    <w:rsid w:val="00340BEE"/>
    <w:rPr>
      <w:rFonts w:ascii="Times New Roman" w:eastAsiaTheme="minorEastAsia" w:hAnsi="Times New Roman" w:cs="Times New Roman"/>
      <w:sz w:val="24"/>
      <w:szCs w:val="20"/>
    </w:rPr>
  </w:style>
  <w:style w:type="paragraph" w:customStyle="1" w:styleId="Regtable">
    <w:name w:val="Regtable"/>
    <w:basedOn w:val="Normal"/>
    <w:link w:val="RegtableChar"/>
    <w:rsid w:val="00340BEE"/>
    <w:pPr>
      <w:keepLines/>
      <w:framePr w:wrap="around" w:vAnchor="text" w:hAnchor="text" w:y="1"/>
      <w:spacing w:before="20" w:after="20" w:line="240" w:lineRule="auto"/>
    </w:pPr>
    <w:rPr>
      <w:rFonts w:ascii="Times New Roman" w:hAnsi="Times New Roman" w:cs="Times New Roman"/>
      <w:sz w:val="20"/>
      <w:szCs w:val="20"/>
    </w:rPr>
  </w:style>
  <w:style w:type="character" w:customStyle="1" w:styleId="RegtableChar">
    <w:name w:val="Regtable Char"/>
    <w:basedOn w:val="DefaultParagraphFont"/>
    <w:link w:val="Regtable"/>
    <w:rsid w:val="00340BEE"/>
    <w:rPr>
      <w:rFonts w:ascii="Times New Roman" w:eastAsiaTheme="minorEastAsia" w:hAnsi="Times New Roman" w:cs="Times New Roman"/>
      <w:sz w:val="20"/>
      <w:szCs w:val="20"/>
    </w:rPr>
  </w:style>
  <w:style w:type="paragraph" w:customStyle="1" w:styleId="TableTitle">
    <w:name w:val="TableTitle"/>
    <w:basedOn w:val="Normal"/>
    <w:link w:val="TableTitleChar"/>
    <w:rsid w:val="00340BEE"/>
    <w:pPr>
      <w:keepNext/>
      <w:framePr w:wrap="around" w:vAnchor="text" w:hAnchor="text" w:y="1"/>
      <w:spacing w:before="20" w:after="20" w:line="240" w:lineRule="auto"/>
      <w:jc w:val="center"/>
    </w:pPr>
    <w:rPr>
      <w:rFonts w:ascii="Times New Roman Bold" w:hAnsi="Times New Roman Bold" w:cs="Arial"/>
      <w:b/>
      <w:spacing w:val="-3"/>
      <w:sz w:val="20"/>
      <w:szCs w:val="20"/>
    </w:rPr>
  </w:style>
  <w:style w:type="character" w:customStyle="1" w:styleId="TableTitleChar">
    <w:name w:val="TableTitle Char"/>
    <w:basedOn w:val="DefaultParagraphFont"/>
    <w:link w:val="TableTitle"/>
    <w:rsid w:val="00340BEE"/>
    <w:rPr>
      <w:rFonts w:ascii="Times New Roman Bold" w:eastAsiaTheme="minorEastAsia" w:hAnsi="Times New Roman Bold" w:cs="Arial"/>
      <w:b/>
      <w:spacing w:val="-3"/>
      <w:sz w:val="20"/>
      <w:szCs w:val="20"/>
    </w:rPr>
  </w:style>
  <w:style w:type="character" w:customStyle="1" w:styleId="Heading4Char">
    <w:name w:val="Heading 4 Char"/>
    <w:basedOn w:val="DefaultParagraphFont"/>
    <w:link w:val="Heading4"/>
    <w:uiPriority w:val="9"/>
    <w:semiHidden/>
    <w:rsid w:val="00340BE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40BE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40BE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40BE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40BE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40BEE"/>
    <w:rPr>
      <w:rFonts w:asciiTheme="majorHAnsi" w:eastAsiaTheme="majorEastAsia" w:hAnsiTheme="majorHAnsi" w:cstheme="majorBidi"/>
      <w:i/>
      <w:iCs/>
      <w:color w:val="404040" w:themeColor="text1" w:themeTint="BF"/>
      <w:sz w:val="20"/>
      <w:szCs w:val="20"/>
    </w:rPr>
  </w:style>
  <w:style w:type="paragraph" w:styleId="BodyTextIndent3">
    <w:name w:val="Body Text Indent 3"/>
    <w:basedOn w:val="Normal"/>
    <w:link w:val="BodyTextIndent3Char"/>
    <w:uiPriority w:val="99"/>
    <w:semiHidden/>
    <w:unhideWhenUsed/>
    <w:rsid w:val="00340BEE"/>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340BEE"/>
    <w:rPr>
      <w:rFonts w:ascii="Times New Roman" w:eastAsiaTheme="minorEastAsia" w:hAnsi="Times New Roman" w:cs="Times New Roman"/>
      <w:sz w:val="24"/>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47756">
      <w:bodyDiv w:val="1"/>
      <w:marLeft w:val="0"/>
      <w:marRight w:val="0"/>
      <w:marTop w:val="0"/>
      <w:marBottom w:val="0"/>
      <w:divBdr>
        <w:top w:val="none" w:sz="0" w:space="0" w:color="auto"/>
        <w:left w:val="none" w:sz="0" w:space="0" w:color="auto"/>
        <w:bottom w:val="none" w:sz="0" w:space="0" w:color="auto"/>
        <w:right w:val="none" w:sz="0" w:space="0" w:color="auto"/>
      </w:divBdr>
    </w:div>
    <w:div w:id="266893305">
      <w:bodyDiv w:val="1"/>
      <w:marLeft w:val="0"/>
      <w:marRight w:val="0"/>
      <w:marTop w:val="0"/>
      <w:marBottom w:val="0"/>
      <w:divBdr>
        <w:top w:val="none" w:sz="0" w:space="0" w:color="auto"/>
        <w:left w:val="none" w:sz="0" w:space="0" w:color="auto"/>
        <w:bottom w:val="none" w:sz="0" w:space="0" w:color="auto"/>
        <w:right w:val="none" w:sz="0" w:space="0" w:color="auto"/>
      </w:divBdr>
    </w:div>
    <w:div w:id="290325612">
      <w:bodyDiv w:val="1"/>
      <w:marLeft w:val="0"/>
      <w:marRight w:val="0"/>
      <w:marTop w:val="0"/>
      <w:marBottom w:val="0"/>
      <w:divBdr>
        <w:top w:val="none" w:sz="0" w:space="0" w:color="auto"/>
        <w:left w:val="none" w:sz="0" w:space="0" w:color="auto"/>
        <w:bottom w:val="none" w:sz="0" w:space="0" w:color="auto"/>
        <w:right w:val="none" w:sz="0" w:space="0" w:color="auto"/>
      </w:divBdr>
    </w:div>
    <w:div w:id="370498335">
      <w:bodyDiv w:val="1"/>
      <w:marLeft w:val="0"/>
      <w:marRight w:val="0"/>
      <w:marTop w:val="0"/>
      <w:marBottom w:val="0"/>
      <w:divBdr>
        <w:top w:val="none" w:sz="0" w:space="0" w:color="auto"/>
        <w:left w:val="none" w:sz="0" w:space="0" w:color="auto"/>
        <w:bottom w:val="none" w:sz="0" w:space="0" w:color="auto"/>
        <w:right w:val="none" w:sz="0" w:space="0" w:color="auto"/>
      </w:divBdr>
    </w:div>
    <w:div w:id="412968592">
      <w:bodyDiv w:val="1"/>
      <w:marLeft w:val="0"/>
      <w:marRight w:val="0"/>
      <w:marTop w:val="0"/>
      <w:marBottom w:val="0"/>
      <w:divBdr>
        <w:top w:val="none" w:sz="0" w:space="0" w:color="auto"/>
        <w:left w:val="none" w:sz="0" w:space="0" w:color="auto"/>
        <w:bottom w:val="none" w:sz="0" w:space="0" w:color="auto"/>
        <w:right w:val="none" w:sz="0" w:space="0" w:color="auto"/>
      </w:divBdr>
    </w:div>
    <w:div w:id="455105740">
      <w:bodyDiv w:val="1"/>
      <w:marLeft w:val="0"/>
      <w:marRight w:val="0"/>
      <w:marTop w:val="0"/>
      <w:marBottom w:val="0"/>
      <w:divBdr>
        <w:top w:val="none" w:sz="0" w:space="0" w:color="auto"/>
        <w:left w:val="none" w:sz="0" w:space="0" w:color="auto"/>
        <w:bottom w:val="none" w:sz="0" w:space="0" w:color="auto"/>
        <w:right w:val="none" w:sz="0" w:space="0" w:color="auto"/>
      </w:divBdr>
    </w:div>
    <w:div w:id="663970948">
      <w:bodyDiv w:val="1"/>
      <w:marLeft w:val="0"/>
      <w:marRight w:val="0"/>
      <w:marTop w:val="0"/>
      <w:marBottom w:val="0"/>
      <w:divBdr>
        <w:top w:val="none" w:sz="0" w:space="0" w:color="auto"/>
        <w:left w:val="none" w:sz="0" w:space="0" w:color="auto"/>
        <w:bottom w:val="none" w:sz="0" w:space="0" w:color="auto"/>
        <w:right w:val="none" w:sz="0" w:space="0" w:color="auto"/>
      </w:divBdr>
    </w:div>
    <w:div w:id="845293050">
      <w:bodyDiv w:val="1"/>
      <w:marLeft w:val="0"/>
      <w:marRight w:val="0"/>
      <w:marTop w:val="0"/>
      <w:marBottom w:val="0"/>
      <w:divBdr>
        <w:top w:val="none" w:sz="0" w:space="0" w:color="auto"/>
        <w:left w:val="none" w:sz="0" w:space="0" w:color="auto"/>
        <w:bottom w:val="none" w:sz="0" w:space="0" w:color="auto"/>
        <w:right w:val="none" w:sz="0" w:space="0" w:color="auto"/>
      </w:divBdr>
    </w:div>
    <w:div w:id="1154957525">
      <w:bodyDiv w:val="1"/>
      <w:marLeft w:val="0"/>
      <w:marRight w:val="0"/>
      <w:marTop w:val="0"/>
      <w:marBottom w:val="0"/>
      <w:divBdr>
        <w:top w:val="none" w:sz="0" w:space="0" w:color="auto"/>
        <w:left w:val="none" w:sz="0" w:space="0" w:color="auto"/>
        <w:bottom w:val="none" w:sz="0" w:space="0" w:color="auto"/>
        <w:right w:val="none" w:sz="0" w:space="0" w:color="auto"/>
      </w:divBdr>
    </w:div>
    <w:div w:id="1222446570">
      <w:bodyDiv w:val="1"/>
      <w:marLeft w:val="0"/>
      <w:marRight w:val="0"/>
      <w:marTop w:val="0"/>
      <w:marBottom w:val="0"/>
      <w:divBdr>
        <w:top w:val="none" w:sz="0" w:space="0" w:color="auto"/>
        <w:left w:val="none" w:sz="0" w:space="0" w:color="auto"/>
        <w:bottom w:val="none" w:sz="0" w:space="0" w:color="auto"/>
        <w:right w:val="none" w:sz="0" w:space="0" w:color="auto"/>
      </w:divBdr>
    </w:div>
    <w:div w:id="1256749309">
      <w:bodyDiv w:val="1"/>
      <w:marLeft w:val="0"/>
      <w:marRight w:val="0"/>
      <w:marTop w:val="0"/>
      <w:marBottom w:val="0"/>
      <w:divBdr>
        <w:top w:val="none" w:sz="0" w:space="0" w:color="auto"/>
        <w:left w:val="none" w:sz="0" w:space="0" w:color="auto"/>
        <w:bottom w:val="none" w:sz="0" w:space="0" w:color="auto"/>
        <w:right w:val="none" w:sz="0" w:space="0" w:color="auto"/>
      </w:divBdr>
    </w:div>
    <w:div w:id="1263342986">
      <w:bodyDiv w:val="1"/>
      <w:marLeft w:val="0"/>
      <w:marRight w:val="0"/>
      <w:marTop w:val="0"/>
      <w:marBottom w:val="0"/>
      <w:divBdr>
        <w:top w:val="none" w:sz="0" w:space="0" w:color="auto"/>
        <w:left w:val="none" w:sz="0" w:space="0" w:color="auto"/>
        <w:bottom w:val="none" w:sz="0" w:space="0" w:color="auto"/>
        <w:right w:val="none" w:sz="0" w:space="0" w:color="auto"/>
      </w:divBdr>
    </w:div>
    <w:div w:id="1461338114">
      <w:bodyDiv w:val="1"/>
      <w:marLeft w:val="0"/>
      <w:marRight w:val="0"/>
      <w:marTop w:val="0"/>
      <w:marBottom w:val="0"/>
      <w:divBdr>
        <w:top w:val="none" w:sz="0" w:space="0" w:color="auto"/>
        <w:left w:val="none" w:sz="0" w:space="0" w:color="auto"/>
        <w:bottom w:val="none" w:sz="0" w:space="0" w:color="auto"/>
        <w:right w:val="none" w:sz="0" w:space="0" w:color="auto"/>
      </w:divBdr>
    </w:div>
    <w:div w:id="1466310406">
      <w:bodyDiv w:val="1"/>
      <w:marLeft w:val="0"/>
      <w:marRight w:val="0"/>
      <w:marTop w:val="0"/>
      <w:marBottom w:val="0"/>
      <w:divBdr>
        <w:top w:val="none" w:sz="0" w:space="0" w:color="auto"/>
        <w:left w:val="none" w:sz="0" w:space="0" w:color="auto"/>
        <w:bottom w:val="none" w:sz="0" w:space="0" w:color="auto"/>
        <w:right w:val="none" w:sz="0" w:space="0" w:color="auto"/>
      </w:divBdr>
    </w:div>
    <w:div w:id="1549301239">
      <w:bodyDiv w:val="1"/>
      <w:marLeft w:val="0"/>
      <w:marRight w:val="0"/>
      <w:marTop w:val="0"/>
      <w:marBottom w:val="0"/>
      <w:divBdr>
        <w:top w:val="none" w:sz="0" w:space="0" w:color="auto"/>
        <w:left w:val="none" w:sz="0" w:space="0" w:color="auto"/>
        <w:bottom w:val="none" w:sz="0" w:space="0" w:color="auto"/>
        <w:right w:val="none" w:sz="0" w:space="0" w:color="auto"/>
      </w:divBdr>
    </w:div>
    <w:div w:id="190468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drive.google.com/file/d/0B7LkbF0DRcmJTWg5c3A0UTBvTnc/view" TargetMode="External"/><Relationship Id="rId26" Type="http://schemas.openxmlformats.org/officeDocument/2006/relationships/hyperlink" Target="https://drive.google.com/file/d/0B7LkbF0DRcmJTWg5c3A0UTBvTnc/view" TargetMode="External"/><Relationship Id="rId39" Type="http://schemas.openxmlformats.org/officeDocument/2006/relationships/image" Target="media/image17.emf"/><Relationship Id="rId21" Type="http://schemas.openxmlformats.org/officeDocument/2006/relationships/image" Target="media/image7.emf"/><Relationship Id="rId34" Type="http://schemas.openxmlformats.org/officeDocument/2006/relationships/hyperlink" Target="http://globaleconomicanalysis.blogspot.com/2015/03/major-currencies-vs-us-dollar-2015.html" TargetMode="External"/><Relationship Id="rId42" Type="http://schemas.openxmlformats.org/officeDocument/2006/relationships/image" Target="media/image20.emf"/><Relationship Id="rId47" Type="http://schemas.openxmlformats.org/officeDocument/2006/relationships/customXml" Target="../customXml/item2.xml"/><Relationship Id="rId50" Type="http://schemas.openxmlformats.org/officeDocument/2006/relationships/customXml" Target="../customXml/item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drive.google.com/file/d/0B7LkbF0DRcmJTWg5c3A0UTBvTnc/view" TargetMode="External"/><Relationship Id="rId29" Type="http://schemas.openxmlformats.org/officeDocument/2006/relationships/image" Target="media/image11.emf"/><Relationship Id="rId11" Type="http://schemas.openxmlformats.org/officeDocument/2006/relationships/image" Target="media/image1.emf"/><Relationship Id="rId24" Type="http://schemas.openxmlformats.org/officeDocument/2006/relationships/hyperlink" Target="https://drive.google.com/file/d/0B7LkbF0DRcmJTWg5c3A0UTBvTnc/view" TargetMode="External"/><Relationship Id="rId32" Type="http://schemas.openxmlformats.org/officeDocument/2006/relationships/footer" Target="footer1.xml"/><Relationship Id="rId37" Type="http://schemas.openxmlformats.org/officeDocument/2006/relationships/image" Target="media/image15.png"/><Relationship Id="rId40" Type="http://schemas.openxmlformats.org/officeDocument/2006/relationships/image" Target="media/image18.emf"/><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hyperlink" Target="https://drive.google.com/file/d/0B7LkbF0DRcmJTWg5c3A0UTBvTnc/view" TargetMode="External"/><Relationship Id="rId36" Type="http://schemas.openxmlformats.org/officeDocument/2006/relationships/hyperlink" Target="http://statinja.gov.jm/Trade-Econ%20Statistics/InternationalMerchandiseTrade/TradeRankine.aspx" TargetMode="External"/><Relationship Id="rId49" Type="http://schemas.openxmlformats.org/officeDocument/2006/relationships/customXml" Target="../customXml/item4.xml"/><Relationship Id="rId10" Type="http://schemas.openxmlformats.org/officeDocument/2006/relationships/hyperlink" Target="http://www.imf.org/external/pubs/ft/wp/2009/wp09175.pdf" TargetMode="External"/><Relationship Id="rId19" Type="http://schemas.openxmlformats.org/officeDocument/2006/relationships/image" Target="media/image6.emf"/><Relationship Id="rId31" Type="http://schemas.openxmlformats.org/officeDocument/2006/relationships/image" Target="media/image13.emf"/><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imf.org/external/pubs/ft/wp/2009/wp09175.pdf" TargetMode="External"/><Relationship Id="rId14" Type="http://schemas.openxmlformats.org/officeDocument/2006/relationships/hyperlink" Target="https://drive.google.com/file/d/0B7LkbF0DRcmJTWg5c3A0UTBvTnc/view" TargetMode="External"/><Relationship Id="rId22" Type="http://schemas.openxmlformats.org/officeDocument/2006/relationships/hyperlink" Target="https://drive.google.com/file/d/0B7LkbF0DRcmJTWg5c3A0UTBvTnc/view" TargetMode="External"/><Relationship Id="rId27" Type="http://schemas.openxmlformats.org/officeDocument/2006/relationships/image" Target="media/image10.emf"/><Relationship Id="rId30" Type="http://schemas.openxmlformats.org/officeDocument/2006/relationships/image" Target="media/image12.emf"/><Relationship Id="rId35" Type="http://schemas.openxmlformats.org/officeDocument/2006/relationships/image" Target="media/image14.png"/><Relationship Id="rId43" Type="http://schemas.openxmlformats.org/officeDocument/2006/relationships/image" Target="media/image21.emf"/><Relationship Id="rId48" Type="http://schemas.openxmlformats.org/officeDocument/2006/relationships/customXml" Target="../customXml/item3.xml"/><Relationship Id="rId8" Type="http://schemas.openxmlformats.org/officeDocument/2006/relationships/endnotes" Target="endnotes.xml"/><Relationship Id="rId51" Type="http://schemas.openxmlformats.org/officeDocument/2006/relationships/customXml" Target="../customXml/item6.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footer" Target="footer2.xml"/><Relationship Id="rId38" Type="http://schemas.openxmlformats.org/officeDocument/2006/relationships/image" Target="media/image16.emf"/><Relationship Id="rId46" Type="http://schemas.microsoft.com/office/2011/relationships/people" Target="people.xml"/><Relationship Id="rId20" Type="http://schemas.openxmlformats.org/officeDocument/2006/relationships/hyperlink" Target="https://drive.google.com/file/d/0B7LkbF0DRcmJTWg5c3A0UTBvTnc/view" TargetMode="External"/><Relationship Id="rId41" Type="http://schemas.openxmlformats.org/officeDocument/2006/relationships/image" Target="media/image19.emf"/><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www.doingbusiness.org/~/media/GIAWB/Doing%20Business/Documents/Special-Reports/Paying-Taxes-2015.pdf" TargetMode="External"/><Relationship Id="rId1" Type="http://schemas.openxmlformats.org/officeDocument/2006/relationships/hyperlink" Target="http://www.doingbusiness.org/~/media/GIAWB/Doing%20Business/Documents/Special-Reports/Paying-Taxes-2015.pd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6DC6F1DDBCABA4A96281F5AD957B78A" ma:contentTypeVersion="0" ma:contentTypeDescription="A content type to manage public (operations) IDB documents" ma:contentTypeScope="" ma:versionID="32b0ced4edcc3671481f9fd22d3fc6c4">
  <xsd:schema xmlns:xsd="http://www.w3.org/2001/XMLSchema" xmlns:xs="http://www.w3.org/2001/XMLSchema" xmlns:p="http://schemas.microsoft.com/office/2006/metadata/properties" xmlns:ns2="9c571b2f-e523-4ab2-ba2e-09e151a03ef4" targetNamespace="http://schemas.microsoft.com/office/2006/metadata/properties" ma:root="true" ma:fieldsID="5aebcc5c6b6db6aaf4ec199df3b3edb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217fa9ff-9dbe-4af1-9852-7d8641477524}" ma:internalName="TaxCatchAll" ma:showField="CatchAllData" ma:web="05a11f83-7309-4330-92fb-62d8932bbf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217fa9ff-9dbe-4af1-9852-7d8641477524}" ma:internalName="TaxCatchAllLabel" ma:readOnly="true" ma:showField="CatchAllDataLabel" ma:web="05a11f83-7309-4330-92fb-62d8932bbfa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Record_x0020_Number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40317638</IDBDocs_x0020_Number>
    <Document_x0020_Author xmlns="9c571b2f-e523-4ab2-ba2e-09e151a03ef4">Reyes-Tagle, Gerardo</Document_x0020_Author>
    <Publication_x0020_Type xmlns="9c571b2f-e523-4ab2-ba2e-09e151a03ef4" xsi:nil="true"/>
    <Operation_x0020_Type xmlns="9c571b2f-e523-4ab2-ba2e-09e151a03ef4" xsi:nil="true"/>
    <TaxCatchAll xmlns="9c571b2f-e523-4ab2-ba2e-09e151a03ef4">
      <Value>17</Value>
      <Value>2</Value>
      <Value>1</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JA-L1055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WORD&lt;/APPLICATION&gt;&lt;STAGE_CODE&gt;LP&lt;/STAGE_CODE&gt;&lt;USER_STAGE&gt;Loan Proposal&lt;/USER_STAGE&gt;&lt;PD_OBJ_TYPE&gt;0&lt;/PD_OBJ_TYPE&gt;&lt;MAKERECORD&gt;N&lt;/MAKERECORD&gt;&lt;/Data&gt;</Migration_x0020_Info>
    <Approval_x0020_Number xmlns="9c571b2f-e523-4ab2-ba2e-09e151a03ef4">3880/OC-JA</Approval_x0020_Number>
    <Access_x0020_to_x0020_Information_x00a0_Policy xmlns="9c571b2f-e523-4ab2-ba2e-09e151a03ef4">Confidential</Access_x0020_to_x0020_Information_x00a0_Policy>
    <Business_x0020_Area xmlns="9c571b2f-e523-4ab2-ba2e-09e151a03ef4" xsi:nil="true"/>
    <SISCOR_x0020_Number xmlns="9c571b2f-e523-4ab2-ba2e-09e151a03ef4" xsi:nil="true"/>
    <Webtopic xmlns="9c571b2f-e523-4ab2-ba2e-09e151a03ef4">Fiscal Issues and Public Finance</Webtopic>
    <Identifier xmlns="9c571b2f-e523-4ab2-ba2e-09e151a03ef4"> TECFILE</Identifier>
    <Publishing_x0020_House xmlns="9c571b2f-e523-4ab2-ba2e-09e151a03ef4" xsi:nil="true"/>
    <Disclosed xmlns="9c571b2f-e523-4ab2-ba2e-09e151a03ef4">false</Disclosed>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j8b96605ee2f4c4e988849e658583fee>
  </documentManagement>
</p:properties>
</file>

<file path=customXml/itemProps1.xml><?xml version="1.0" encoding="utf-8"?>
<ds:datastoreItem xmlns:ds="http://schemas.openxmlformats.org/officeDocument/2006/customXml" ds:itemID="{75798C6B-7E07-43A4-8899-91DB987385F8}"/>
</file>

<file path=customXml/itemProps2.xml><?xml version="1.0" encoding="utf-8"?>
<ds:datastoreItem xmlns:ds="http://schemas.openxmlformats.org/officeDocument/2006/customXml" ds:itemID="{6B14B4AE-47A2-4359-9E57-6F89DEFD5168}"/>
</file>

<file path=customXml/itemProps3.xml><?xml version="1.0" encoding="utf-8"?>
<ds:datastoreItem xmlns:ds="http://schemas.openxmlformats.org/officeDocument/2006/customXml" ds:itemID="{86BFC8B7-468A-4A5B-897B-0D94C1AB09C4}"/>
</file>

<file path=customXml/itemProps4.xml><?xml version="1.0" encoding="utf-8"?>
<ds:datastoreItem xmlns:ds="http://schemas.openxmlformats.org/officeDocument/2006/customXml" ds:itemID="{0753AB73-2BCA-4FC0-A65A-8F6E1CE58A76}"/>
</file>

<file path=customXml/itemProps5.xml><?xml version="1.0" encoding="utf-8"?>
<ds:datastoreItem xmlns:ds="http://schemas.openxmlformats.org/officeDocument/2006/customXml" ds:itemID="{BA7E5886-5D86-4DAC-8E85-C3680B92806C}"/>
</file>

<file path=customXml/itemProps6.xml><?xml version="1.0" encoding="utf-8"?>
<ds:datastoreItem xmlns:ds="http://schemas.openxmlformats.org/officeDocument/2006/customXml" ds:itemID="{A8A6F22C-86E0-4844-8E70-CC59595B8DCA}"/>
</file>

<file path=docProps/app.xml><?xml version="1.0" encoding="utf-8"?>
<Properties xmlns="http://schemas.openxmlformats.org/officeDocument/2006/extended-properties" xmlns:vt="http://schemas.openxmlformats.org/officeDocument/2006/docPropsVTypes">
  <Template>Normal.dotm</Template>
  <TotalTime>3</TotalTime>
  <Pages>26</Pages>
  <Words>6505</Words>
  <Characters>35779</Characters>
  <Application>Microsoft Office Word</Application>
  <DocSecurity>0</DocSecurity>
  <Lines>298</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Economic Analysis</dc:title>
  <dc:creator>Familia Cracel</dc:creator>
  <cp:lastModifiedBy>IADB</cp:lastModifiedBy>
  <cp:revision>3</cp:revision>
  <cp:lastPrinted>2015-02-04T19:05:00Z</cp:lastPrinted>
  <dcterms:created xsi:type="dcterms:W3CDTF">2016-09-15T18:17:00Z</dcterms:created>
  <dcterms:modified xsi:type="dcterms:W3CDTF">2016-09-16T14:06:00Z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0x01010046CF21643EE8D14686A648AA6DAD08920096DC6F1DDBCABA4A96281F5AD957B78A</vt:lpwstr>
  </property>
  <property fmtid="{D5CDD505-2E9C-101B-9397-08002B2CF9AE}" pid="5" name="TaxKeywordTaxHTField">
    <vt:lpwstr/>
  </property>
  <property fmtid="{D5CDD505-2E9C-101B-9397-08002B2CF9AE}" pid="6" name="Series Operations IDB">
    <vt:lpwstr>17;#Loan Proposal|6ee86b6f-6e46-485b-8bfb-87a1f44622ac</vt:lpwstr>
  </property>
  <property fmtid="{D5CDD505-2E9C-101B-9397-08002B2CF9AE}" pid="7" name="Sub-Sector">
    <vt:lpwstr/>
  </property>
  <property fmtid="{D5CDD505-2E9C-101B-9397-08002B2CF9AE}" pid="8" name="Country">
    <vt:lpwstr>2;#Jamaica|284b90e7-9693-4db7-a23e-8f79c831fe9a</vt:lpwstr>
  </property>
  <property fmtid="{D5CDD505-2E9C-101B-9397-08002B2CF9AE}" pid="9" name="Fund IDB">
    <vt:lpwstr/>
  </property>
  <property fmtid="{D5CDD505-2E9C-101B-9397-08002B2CF9AE}" pid="10" name="Series_x0020_Operations_x0020_IDB">
    <vt:lpwstr>17;#Loan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ies>
</file>