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4F0" w:rsidRPr="00460FE2" w:rsidRDefault="005972FF" w:rsidP="00460FE2">
      <w:pPr>
        <w:jc w:val="center"/>
        <w:rPr>
          <w:rFonts w:cstheme="minorHAnsi"/>
          <w:b/>
          <w:color w:val="0070C0"/>
        </w:rPr>
      </w:pPr>
      <w:r w:rsidRPr="00460FE2">
        <w:rPr>
          <w:b/>
        </w:rPr>
        <w:t>Selection process #</w:t>
      </w:r>
      <w:r w:rsidR="00460FE2" w:rsidRPr="00460FE2">
        <w:rPr>
          <w:b/>
        </w:rPr>
        <w:t xml:space="preserve"> GY-</w:t>
      </w:r>
    </w:p>
    <w:p w:rsidR="005972FF" w:rsidRPr="00C90D51" w:rsidRDefault="005972FF" w:rsidP="008644F0">
      <w:pPr>
        <w:jc w:val="both"/>
        <w:rPr>
          <w:rFonts w:asciiTheme="minorHAnsi" w:hAnsiTheme="minorHAnsi"/>
          <w:b/>
          <w:sz w:val="22"/>
          <w:szCs w:val="22"/>
          <w:highlight w:val="yellow"/>
          <w:u w:val="single"/>
        </w:rPr>
      </w:pPr>
    </w:p>
    <w:p w:rsidR="00A27784" w:rsidRPr="0002712E" w:rsidRDefault="00A27784" w:rsidP="00A27784">
      <w:pPr>
        <w:pStyle w:val="Heading1"/>
        <w:jc w:val="center"/>
        <w:rPr>
          <w:rFonts w:asciiTheme="minorHAnsi" w:hAnsiTheme="minorHAnsi"/>
          <w:b/>
          <w:sz w:val="22"/>
          <w:szCs w:val="22"/>
          <w:u w:val="single"/>
        </w:rPr>
      </w:pPr>
      <w:r w:rsidRPr="0002712E">
        <w:rPr>
          <w:rFonts w:asciiTheme="minorHAnsi" w:hAnsiTheme="minorHAnsi"/>
          <w:b/>
          <w:sz w:val="22"/>
          <w:szCs w:val="22"/>
          <w:u w:val="single"/>
        </w:rPr>
        <w:t>TERMS OF REFERENCE</w:t>
      </w:r>
      <w:r w:rsidR="00C90D51" w:rsidRPr="0002712E">
        <w:rPr>
          <w:rFonts w:asciiTheme="minorHAnsi" w:hAnsiTheme="minorHAnsi"/>
          <w:b/>
          <w:sz w:val="22"/>
          <w:szCs w:val="22"/>
          <w:u w:val="single"/>
        </w:rPr>
        <w:t xml:space="preserve"> </w:t>
      </w:r>
    </w:p>
    <w:p w:rsidR="006A2CD4" w:rsidRPr="00C90D51" w:rsidRDefault="006A2CD4" w:rsidP="00A27784">
      <w:pPr>
        <w:jc w:val="both"/>
        <w:rPr>
          <w:rFonts w:cstheme="minorHAnsi"/>
          <w:i/>
          <w:color w:val="0070C0"/>
          <w:highlight w:val="yellow"/>
        </w:rPr>
      </w:pPr>
    </w:p>
    <w:p w:rsidR="00C03444" w:rsidRPr="00460FE2" w:rsidRDefault="00386A96" w:rsidP="00460FE2">
      <w:pPr>
        <w:jc w:val="center"/>
        <w:rPr>
          <w:rFonts w:asciiTheme="minorHAnsi" w:hAnsiTheme="minorHAnsi"/>
          <w:b/>
          <w:sz w:val="22"/>
          <w:szCs w:val="22"/>
        </w:rPr>
      </w:pPr>
      <w:r>
        <w:rPr>
          <w:rFonts w:asciiTheme="minorHAnsi" w:hAnsiTheme="minorHAnsi"/>
          <w:b/>
          <w:sz w:val="22"/>
          <w:szCs w:val="22"/>
        </w:rPr>
        <w:t>Communications Consultant to the Department of Energy</w:t>
      </w:r>
      <w:r w:rsidR="0099676C">
        <w:rPr>
          <w:rFonts w:asciiTheme="minorHAnsi" w:hAnsiTheme="minorHAnsi"/>
          <w:b/>
          <w:sz w:val="22"/>
          <w:szCs w:val="22"/>
        </w:rPr>
        <w:t xml:space="preserve">, </w:t>
      </w:r>
      <w:r w:rsidR="00B16AAA">
        <w:rPr>
          <w:rFonts w:asciiTheme="minorHAnsi" w:hAnsiTheme="minorHAnsi"/>
          <w:b/>
          <w:sz w:val="22"/>
          <w:szCs w:val="22"/>
        </w:rPr>
        <w:t>Government of Guyana</w:t>
      </w:r>
    </w:p>
    <w:p w:rsidR="00C03444" w:rsidRDefault="00C03444" w:rsidP="00C03444">
      <w:pPr>
        <w:rPr>
          <w:rFonts w:cs="Arial"/>
          <w:b/>
          <w:bCs/>
          <w:color w:val="000000"/>
          <w:sz w:val="22"/>
          <w:szCs w:val="22"/>
        </w:rPr>
      </w:pPr>
    </w:p>
    <w:p w:rsidR="008644F0" w:rsidRPr="0002712E" w:rsidRDefault="00B601A3" w:rsidP="0002712E">
      <w:pPr>
        <w:suppressAutoHyphens/>
        <w:jc w:val="center"/>
        <w:rPr>
          <w:rFonts w:asciiTheme="minorHAnsi" w:hAnsiTheme="minorHAnsi" w:cstheme="minorHAnsi"/>
          <w:b/>
          <w:spacing w:val="-2"/>
        </w:rPr>
      </w:pPr>
      <w:r w:rsidRPr="0002712E">
        <w:rPr>
          <w:rFonts w:asciiTheme="minorHAnsi" w:hAnsiTheme="minorHAnsi" w:cstheme="minorHAnsi"/>
          <w:b/>
          <w:spacing w:val="-2"/>
        </w:rPr>
        <w:t>GUYANA</w:t>
      </w:r>
    </w:p>
    <w:p w:rsidR="0002712E" w:rsidRPr="0002712E" w:rsidRDefault="0002712E" w:rsidP="0002712E">
      <w:pPr>
        <w:suppressAutoHyphens/>
        <w:jc w:val="center"/>
        <w:rPr>
          <w:rFonts w:asciiTheme="minorHAnsi" w:hAnsiTheme="minorHAnsi" w:cstheme="minorHAnsi"/>
          <w:b/>
          <w:spacing w:val="-2"/>
        </w:rPr>
      </w:pPr>
    </w:p>
    <w:p w:rsidR="005F05C6" w:rsidRPr="00EA52DA" w:rsidRDefault="00EA52DA" w:rsidP="00EA52DA">
      <w:pPr>
        <w:suppressAutoHyphens/>
        <w:jc w:val="center"/>
        <w:rPr>
          <w:rFonts w:asciiTheme="minorHAnsi" w:hAnsiTheme="minorHAnsi" w:cstheme="minorHAnsi"/>
          <w:b/>
          <w:spacing w:val="-2"/>
        </w:rPr>
      </w:pPr>
      <w:r>
        <w:rPr>
          <w:rFonts w:asciiTheme="minorHAnsi" w:hAnsiTheme="minorHAnsi" w:cstheme="minorHAnsi"/>
          <w:b/>
          <w:spacing w:val="-2"/>
        </w:rPr>
        <w:t xml:space="preserve">GY-T1154 </w:t>
      </w:r>
      <w:bookmarkStart w:id="0" w:name="_GoBack"/>
      <w:bookmarkEnd w:id="0"/>
      <w:r w:rsidRPr="00EA52DA">
        <w:rPr>
          <w:rFonts w:asciiTheme="minorHAnsi" w:hAnsiTheme="minorHAnsi" w:cstheme="minorHAnsi"/>
          <w:b/>
          <w:spacing w:val="-2"/>
        </w:rPr>
        <w:t>Strategic Communications &amp; Knowledge Sharing Support for Guyana's nascent Oil &amp; Gas Sector</w:t>
      </w:r>
    </w:p>
    <w:p w:rsidR="00A27784" w:rsidRPr="00181D87" w:rsidRDefault="008644F0" w:rsidP="008644F0">
      <w:pPr>
        <w:tabs>
          <w:tab w:val="left" w:pos="7080"/>
        </w:tabs>
        <w:jc w:val="both"/>
        <w:rPr>
          <w:rFonts w:asciiTheme="minorHAnsi" w:hAnsiTheme="minorHAnsi"/>
          <w:sz w:val="22"/>
          <w:szCs w:val="22"/>
        </w:rPr>
      </w:pPr>
      <w:r>
        <w:rPr>
          <w:rFonts w:asciiTheme="minorHAnsi" w:hAnsiTheme="minorHAnsi"/>
          <w:sz w:val="22"/>
          <w:szCs w:val="22"/>
        </w:rPr>
        <w:tab/>
      </w:r>
    </w:p>
    <w:p w:rsidR="00A27784" w:rsidRPr="00181D87" w:rsidRDefault="00A27784" w:rsidP="00A27784">
      <w:pPr>
        <w:widowControl w:val="0"/>
        <w:numPr>
          <w:ilvl w:val="0"/>
          <w:numId w:val="1"/>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Background and Justification</w:t>
      </w:r>
    </w:p>
    <w:p w:rsidR="00A27784" w:rsidRPr="00181D87" w:rsidRDefault="00A27784" w:rsidP="00A27784">
      <w:pPr>
        <w:spacing w:line="276" w:lineRule="auto"/>
        <w:ind w:left="792"/>
        <w:contextualSpacing/>
        <w:jc w:val="both"/>
        <w:rPr>
          <w:rFonts w:asciiTheme="minorHAnsi" w:eastAsiaTheme="minorHAnsi" w:hAnsiTheme="minorHAnsi"/>
          <w:sz w:val="22"/>
          <w:szCs w:val="22"/>
        </w:rPr>
      </w:pPr>
    </w:p>
    <w:p w:rsidR="00A27784" w:rsidRDefault="00C90D51" w:rsidP="00B120DE">
      <w:pPr>
        <w:widowControl w:val="0"/>
        <w:numPr>
          <w:ilvl w:val="1"/>
          <w:numId w:val="1"/>
        </w:numPr>
        <w:spacing w:after="200" w:line="276" w:lineRule="auto"/>
        <w:contextualSpacing/>
        <w:jc w:val="both"/>
        <w:rPr>
          <w:rFonts w:asciiTheme="minorHAnsi" w:eastAsiaTheme="minorHAnsi" w:hAnsiTheme="minorHAnsi"/>
          <w:i/>
          <w:sz w:val="22"/>
          <w:szCs w:val="22"/>
        </w:rPr>
      </w:pPr>
      <w:r w:rsidRPr="00C90D51">
        <w:rPr>
          <w:rFonts w:asciiTheme="minorHAnsi" w:eastAsiaTheme="minorHAnsi" w:hAnsiTheme="minorHAnsi"/>
          <w:i/>
          <w:sz w:val="22"/>
          <w:szCs w:val="22"/>
        </w:rPr>
        <w:t>The Inter-American Development Bank (IDB) was founded in 1959 and serves as the leading source of development financing for Latin American and the Caribbean (LAC).</w:t>
      </w:r>
      <w:r w:rsidR="00B120DE">
        <w:rPr>
          <w:rFonts w:asciiTheme="minorHAnsi" w:eastAsiaTheme="minorHAnsi" w:hAnsiTheme="minorHAnsi"/>
          <w:i/>
          <w:sz w:val="22"/>
          <w:szCs w:val="22"/>
        </w:rPr>
        <w:t xml:space="preserve"> </w:t>
      </w:r>
      <w:r w:rsidR="00B120DE" w:rsidRPr="00B120DE">
        <w:rPr>
          <w:rFonts w:asciiTheme="minorHAnsi" w:eastAsiaTheme="minorHAnsi" w:hAnsiTheme="minorHAnsi"/>
          <w:i/>
          <w:sz w:val="22"/>
          <w:szCs w:val="22"/>
        </w:rPr>
        <w:t>It provides loans, grants, guarantees, policy advice and technical assistance to the public and private sectors of its borrowing countries.</w:t>
      </w:r>
      <w:r w:rsidRPr="00C90D51">
        <w:rPr>
          <w:rFonts w:asciiTheme="minorHAnsi" w:eastAsiaTheme="minorHAnsi" w:hAnsiTheme="minorHAnsi"/>
          <w:i/>
          <w:sz w:val="22"/>
          <w:szCs w:val="22"/>
        </w:rPr>
        <w:t xml:space="preserve"> Since the foundation, the infrastructure and energy sector has been considered vital for economic growth and development in the region. Infrastructure is essential to modern daily life, and the provision of basic services would be impossible without reliable roads, water, and electricity. The IDBG has a large portfolio of operations in the water and sanitation, energy and transportation sectors across the region. Its reputation as an effective partner in the delivery of both infrastructure projects and a source for technical capacity at the sector level allows the IDBG to have a permanent and trustworthy dialogue with the Guyanese authorities</w:t>
      </w:r>
      <w:r w:rsidRPr="002D3787">
        <w:rPr>
          <w:rFonts w:asciiTheme="minorHAnsi" w:eastAsiaTheme="minorHAnsi" w:hAnsiTheme="minorHAnsi"/>
          <w:i/>
          <w:sz w:val="22"/>
          <w:szCs w:val="22"/>
        </w:rPr>
        <w:t xml:space="preserve">. </w:t>
      </w:r>
    </w:p>
    <w:p w:rsidR="00B16AAA" w:rsidRPr="00B16AAA" w:rsidRDefault="00B16AAA" w:rsidP="00B16AAA">
      <w:pPr>
        <w:widowControl w:val="0"/>
        <w:numPr>
          <w:ilvl w:val="1"/>
          <w:numId w:val="1"/>
        </w:numPr>
        <w:spacing w:after="200" w:line="276" w:lineRule="auto"/>
        <w:contextualSpacing/>
        <w:jc w:val="both"/>
        <w:rPr>
          <w:rFonts w:asciiTheme="minorHAnsi" w:eastAsiaTheme="minorHAnsi" w:hAnsiTheme="minorHAnsi"/>
          <w:i/>
          <w:sz w:val="22"/>
          <w:szCs w:val="22"/>
        </w:rPr>
      </w:pPr>
      <w:r w:rsidRPr="00B16AAA">
        <w:rPr>
          <w:rFonts w:asciiTheme="minorHAnsi" w:eastAsiaTheme="minorHAnsi" w:hAnsiTheme="minorHAnsi"/>
          <w:i/>
          <w:sz w:val="22"/>
          <w:szCs w:val="22"/>
        </w:rPr>
        <w:t xml:space="preserve">The IDB has worked both regionally and at a country level for many years on issues directly and indirectly related to the extractives sector, in recognition of the critical role of oil, gas and mining-related industries as drivers of economic and industrial development. More recently, Bank beneficiaries have requested that the institution engages more strategically and directly in support of investments in the sector, while continuing to emphasize in parallel the need for promoting broad-based economic development, transparency and accountability, benefit sharing, environmental sustainability, and community consultation, among other issues. These calls are part of a coalescing global movement, supported by civil society, investors and donors in favor of a broader good governance agenda in the sector: an agenda that draws from lessons-learned and knowledge exchanges and contributes to smarter and sustainable sector policy and practices. </w:t>
      </w:r>
    </w:p>
    <w:p w:rsidR="00B16AAA" w:rsidRPr="00B16AAA" w:rsidRDefault="00B16AAA" w:rsidP="00B16AAA">
      <w:pPr>
        <w:widowControl w:val="0"/>
        <w:numPr>
          <w:ilvl w:val="1"/>
          <w:numId w:val="1"/>
        </w:numPr>
        <w:spacing w:after="200" w:line="276" w:lineRule="auto"/>
        <w:contextualSpacing/>
        <w:jc w:val="both"/>
        <w:rPr>
          <w:rFonts w:asciiTheme="minorHAnsi" w:eastAsiaTheme="minorHAnsi" w:hAnsiTheme="minorHAnsi"/>
          <w:i/>
          <w:sz w:val="22"/>
          <w:szCs w:val="22"/>
        </w:rPr>
      </w:pPr>
      <w:r w:rsidRPr="00B16AAA">
        <w:rPr>
          <w:rFonts w:asciiTheme="minorHAnsi" w:eastAsiaTheme="minorHAnsi" w:hAnsiTheme="minorHAnsi"/>
          <w:i/>
          <w:sz w:val="22"/>
          <w:szCs w:val="22"/>
        </w:rPr>
        <w:t xml:space="preserve">The development of natural resources has played a significant role in the performance of many regional economies. Extractive industries - when they are adequately managed - contribute to long term socioeconomic development (Venables, 2016). In the absence of </w:t>
      </w:r>
      <w:proofErr w:type="gramStart"/>
      <w:r w:rsidRPr="00B16AAA">
        <w:rPr>
          <w:rFonts w:asciiTheme="minorHAnsi" w:eastAsiaTheme="minorHAnsi" w:hAnsiTheme="minorHAnsi"/>
          <w:i/>
          <w:sz w:val="22"/>
          <w:szCs w:val="22"/>
        </w:rPr>
        <w:t>sufficient</w:t>
      </w:r>
      <w:proofErr w:type="gramEnd"/>
      <w:r w:rsidRPr="00B16AAA">
        <w:rPr>
          <w:rFonts w:asciiTheme="minorHAnsi" w:eastAsiaTheme="minorHAnsi" w:hAnsiTheme="minorHAnsi"/>
          <w:i/>
          <w:sz w:val="22"/>
          <w:szCs w:val="22"/>
        </w:rPr>
        <w:t xml:space="preserve"> legal and institutional capacity, however, the activities in the oil, gas and mining sector can trigger major social, environmental and economic risks for all stakeholders, including government, industry and civil society (Balza and Espinasa 2015; Kemp, Worden and Owen 2017; Brereton and Parmenter 2006). </w:t>
      </w:r>
    </w:p>
    <w:p w:rsidR="00B16AAA" w:rsidRPr="00B16AAA" w:rsidRDefault="00B16AAA" w:rsidP="00B16AAA">
      <w:pPr>
        <w:widowControl w:val="0"/>
        <w:numPr>
          <w:ilvl w:val="1"/>
          <w:numId w:val="1"/>
        </w:numPr>
        <w:spacing w:after="200" w:line="276" w:lineRule="auto"/>
        <w:contextualSpacing/>
        <w:jc w:val="both"/>
        <w:rPr>
          <w:rFonts w:asciiTheme="minorHAnsi" w:eastAsiaTheme="minorHAnsi" w:hAnsiTheme="minorHAnsi"/>
          <w:i/>
          <w:sz w:val="22"/>
          <w:szCs w:val="22"/>
        </w:rPr>
      </w:pPr>
      <w:r w:rsidRPr="00B16AAA">
        <w:rPr>
          <w:rFonts w:asciiTheme="minorHAnsi" w:eastAsiaTheme="minorHAnsi" w:hAnsiTheme="minorHAnsi"/>
          <w:i/>
          <w:sz w:val="22"/>
          <w:szCs w:val="22"/>
        </w:rPr>
        <w:t xml:space="preserve">Oil, gas and mining in LAC account for approximately 4% of regional GDP and approximately 50% of total exports but conditions for natural resource development remain imperfect: countries </w:t>
      </w:r>
      <w:r w:rsidRPr="00B16AAA">
        <w:rPr>
          <w:rFonts w:asciiTheme="minorHAnsi" w:eastAsiaTheme="minorHAnsi" w:hAnsiTheme="minorHAnsi"/>
          <w:i/>
          <w:sz w:val="22"/>
          <w:szCs w:val="22"/>
        </w:rPr>
        <w:lastRenderedPageBreak/>
        <w:t>continue exploring opportunities to strengthen the sector’s socioeconomic contribution and to mitigate potential negative socioenvironmental impacts.</w:t>
      </w:r>
    </w:p>
    <w:p w:rsidR="00B16AAA" w:rsidRDefault="00B16AAA" w:rsidP="00B16AAA">
      <w:pPr>
        <w:widowControl w:val="0"/>
        <w:numPr>
          <w:ilvl w:val="1"/>
          <w:numId w:val="1"/>
        </w:numPr>
        <w:spacing w:after="200" w:line="276" w:lineRule="auto"/>
        <w:contextualSpacing/>
        <w:jc w:val="both"/>
        <w:rPr>
          <w:rFonts w:asciiTheme="minorHAnsi" w:eastAsiaTheme="minorHAnsi" w:hAnsiTheme="minorHAnsi"/>
          <w:i/>
          <w:sz w:val="22"/>
          <w:szCs w:val="22"/>
        </w:rPr>
      </w:pPr>
      <w:r w:rsidRPr="00B16AAA">
        <w:rPr>
          <w:rFonts w:asciiTheme="minorHAnsi" w:eastAsiaTheme="minorHAnsi" w:hAnsiTheme="minorHAnsi"/>
          <w:i/>
          <w:sz w:val="22"/>
          <w:szCs w:val="22"/>
        </w:rPr>
        <w:t xml:space="preserve">Latin America and the Caribbean (LAC) is the world's leading source of metals and its second most important source of oil. The development of LAC natural resources plays significant role in the performance of the regional economies. Still, experts and decision-makers still know surprisingly little about the precise channels through which extractive industries impact development outcomes (Manzano, 2014).  </w:t>
      </w:r>
    </w:p>
    <w:p w:rsidR="00B16AAA" w:rsidRPr="00B16AAA" w:rsidRDefault="00B16AAA" w:rsidP="00B16AAA">
      <w:pPr>
        <w:widowControl w:val="0"/>
        <w:numPr>
          <w:ilvl w:val="1"/>
          <w:numId w:val="1"/>
        </w:numPr>
        <w:spacing w:after="200" w:line="276" w:lineRule="auto"/>
        <w:contextualSpacing/>
        <w:jc w:val="both"/>
        <w:rPr>
          <w:rFonts w:asciiTheme="minorHAnsi" w:eastAsiaTheme="minorHAnsi" w:hAnsiTheme="minorHAnsi"/>
          <w:i/>
          <w:sz w:val="22"/>
          <w:szCs w:val="22"/>
        </w:rPr>
      </w:pPr>
      <w:r w:rsidRPr="00B16AAA">
        <w:rPr>
          <w:rFonts w:asciiTheme="minorHAnsi" w:eastAsiaTheme="minorHAnsi" w:hAnsiTheme="minorHAnsi"/>
          <w:i/>
          <w:sz w:val="22"/>
          <w:szCs w:val="22"/>
        </w:rPr>
        <w:t xml:space="preserve">Guyana has never been an oil producer, but in recent years ExxonMobil successfully drilled </w:t>
      </w:r>
      <w:r w:rsidR="002565D1">
        <w:rPr>
          <w:rFonts w:asciiTheme="minorHAnsi" w:eastAsiaTheme="minorHAnsi" w:hAnsiTheme="minorHAnsi"/>
          <w:i/>
          <w:sz w:val="22"/>
          <w:szCs w:val="22"/>
        </w:rPr>
        <w:t xml:space="preserve">several </w:t>
      </w:r>
      <w:r w:rsidRPr="00B16AAA">
        <w:rPr>
          <w:rFonts w:asciiTheme="minorHAnsi" w:eastAsiaTheme="minorHAnsi" w:hAnsiTheme="minorHAnsi"/>
          <w:i/>
          <w:sz w:val="22"/>
          <w:szCs w:val="22"/>
        </w:rPr>
        <w:t>deep-water exploration wells.  The seafloor beneath Guyana’s coastal waters contains one of the largest oil discoveries in recent years, and these discoveries place Guyana among the top 40 reserve holders in the world.  This has profound implications for the country’s economic development.  If handled well, it could boost the overall standard of living for the country.  If handled badly, it could make the current situation worse.</w:t>
      </w:r>
    </w:p>
    <w:p w:rsidR="00B16AAA" w:rsidRDefault="00B16AAA" w:rsidP="00B16AAA">
      <w:pPr>
        <w:widowControl w:val="0"/>
        <w:numPr>
          <w:ilvl w:val="1"/>
          <w:numId w:val="1"/>
        </w:numPr>
        <w:spacing w:after="200" w:line="276" w:lineRule="auto"/>
        <w:contextualSpacing/>
        <w:jc w:val="both"/>
        <w:rPr>
          <w:rFonts w:asciiTheme="minorHAnsi" w:eastAsiaTheme="minorHAnsi" w:hAnsiTheme="minorHAnsi"/>
          <w:i/>
          <w:sz w:val="22"/>
          <w:szCs w:val="22"/>
        </w:rPr>
      </w:pPr>
      <w:r w:rsidRPr="00B16AAA">
        <w:rPr>
          <w:rFonts w:asciiTheme="minorHAnsi" w:eastAsiaTheme="minorHAnsi" w:hAnsiTheme="minorHAnsi"/>
          <w:i/>
          <w:sz w:val="22"/>
          <w:szCs w:val="22"/>
        </w:rPr>
        <w:t>Being new to the Oil and Gas (O&amp;G) industry, Guyana is unprepared for the complexities and risks that lie ahead.  This situation is understandable considering the novelty of the O&amp;G industry in Guyana, and the consequent lack of experience, therefore much needs to be achieved rapidly to increase the chances of optimal outcomes for Guyana.</w:t>
      </w:r>
    </w:p>
    <w:p w:rsidR="00A27784" w:rsidRPr="00382472" w:rsidRDefault="0059376B" w:rsidP="00382472">
      <w:pPr>
        <w:pStyle w:val="ListParagraph"/>
        <w:widowControl w:val="0"/>
        <w:numPr>
          <w:ilvl w:val="1"/>
          <w:numId w:val="7"/>
        </w:numPr>
        <w:spacing w:after="200" w:line="276" w:lineRule="auto"/>
        <w:ind w:left="810" w:hanging="540"/>
        <w:jc w:val="both"/>
        <w:rPr>
          <w:rFonts w:asciiTheme="minorHAnsi" w:eastAsiaTheme="minorHAnsi" w:hAnsiTheme="minorHAnsi"/>
          <w:b/>
          <w:sz w:val="22"/>
          <w:szCs w:val="22"/>
          <w:u w:val="single"/>
        </w:rPr>
      </w:pPr>
      <w:r w:rsidRPr="00382472">
        <w:rPr>
          <w:rFonts w:asciiTheme="minorHAnsi" w:eastAsiaTheme="minorHAnsi" w:hAnsiTheme="minorHAnsi"/>
          <w:i/>
          <w:sz w:val="22"/>
          <w:szCs w:val="22"/>
        </w:rPr>
        <w:t xml:space="preserve">The Government recently formed the Department of </w:t>
      </w:r>
      <w:r w:rsidR="00E811FC" w:rsidRPr="00382472">
        <w:rPr>
          <w:rFonts w:asciiTheme="minorHAnsi" w:eastAsiaTheme="minorHAnsi" w:hAnsiTheme="minorHAnsi"/>
          <w:i/>
          <w:sz w:val="22"/>
          <w:szCs w:val="22"/>
        </w:rPr>
        <w:t>Energy</w:t>
      </w:r>
      <w:r w:rsidR="00E811FC">
        <w:rPr>
          <w:rFonts w:asciiTheme="minorHAnsi" w:eastAsiaTheme="minorHAnsi" w:hAnsiTheme="minorHAnsi"/>
          <w:i/>
          <w:sz w:val="22"/>
          <w:szCs w:val="22"/>
        </w:rPr>
        <w:t xml:space="preserve"> (</w:t>
      </w:r>
      <w:r w:rsidR="00291116">
        <w:rPr>
          <w:rFonts w:asciiTheme="minorHAnsi" w:eastAsiaTheme="minorHAnsi" w:hAnsiTheme="minorHAnsi"/>
          <w:i/>
          <w:sz w:val="22"/>
          <w:szCs w:val="22"/>
        </w:rPr>
        <w:t>DOE)</w:t>
      </w:r>
      <w:r w:rsidRPr="00382472">
        <w:rPr>
          <w:rFonts w:asciiTheme="minorHAnsi" w:eastAsiaTheme="minorHAnsi" w:hAnsiTheme="minorHAnsi"/>
          <w:i/>
          <w:sz w:val="22"/>
          <w:szCs w:val="22"/>
        </w:rPr>
        <w:t xml:space="preserve"> within the Ministry of the Presidency to overlook the Government’s interest </w:t>
      </w:r>
      <w:r w:rsidR="00212686" w:rsidRPr="00382472">
        <w:rPr>
          <w:rFonts w:asciiTheme="minorHAnsi" w:eastAsiaTheme="minorHAnsi" w:hAnsiTheme="minorHAnsi"/>
          <w:i/>
          <w:sz w:val="22"/>
          <w:szCs w:val="22"/>
        </w:rPr>
        <w:t xml:space="preserve">in the Oil and Gas industry. This newly formed Department requires support as it improves its communication both internally and externally. </w:t>
      </w:r>
    </w:p>
    <w:p w:rsidR="00212686" w:rsidRPr="00212686" w:rsidRDefault="00212686" w:rsidP="00212686">
      <w:pPr>
        <w:widowControl w:val="0"/>
        <w:spacing w:after="200" w:line="276" w:lineRule="auto"/>
        <w:ind w:left="360"/>
        <w:contextualSpacing/>
        <w:jc w:val="both"/>
        <w:rPr>
          <w:rFonts w:asciiTheme="minorHAnsi" w:eastAsiaTheme="minorHAnsi" w:hAnsiTheme="minorHAnsi"/>
          <w:b/>
          <w:sz w:val="22"/>
          <w:szCs w:val="22"/>
          <w:u w:val="single"/>
        </w:rPr>
      </w:pPr>
    </w:p>
    <w:p w:rsidR="00A27784" w:rsidRPr="00181D87" w:rsidRDefault="00A27784" w:rsidP="00A27784">
      <w:pPr>
        <w:widowControl w:val="0"/>
        <w:numPr>
          <w:ilvl w:val="0"/>
          <w:numId w:val="1"/>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Objectives</w:t>
      </w:r>
    </w:p>
    <w:p w:rsidR="00A27784" w:rsidRPr="00E811FC" w:rsidRDefault="00A27784" w:rsidP="00A27784">
      <w:pPr>
        <w:spacing w:line="276" w:lineRule="auto"/>
        <w:ind w:left="360"/>
        <w:contextualSpacing/>
        <w:rPr>
          <w:rFonts w:asciiTheme="minorHAnsi" w:eastAsiaTheme="minorHAnsi" w:hAnsiTheme="minorHAnsi" w:cstheme="minorHAnsi"/>
          <w:b/>
          <w:sz w:val="22"/>
          <w:szCs w:val="22"/>
          <w:u w:val="single"/>
        </w:rPr>
      </w:pPr>
      <w:r w:rsidRPr="00E811FC">
        <w:rPr>
          <w:rFonts w:asciiTheme="minorHAnsi" w:eastAsiaTheme="minorHAnsi" w:hAnsiTheme="minorHAnsi" w:cstheme="minorHAnsi"/>
          <w:b/>
          <w:sz w:val="22"/>
          <w:szCs w:val="22"/>
          <w:u w:val="single"/>
        </w:rPr>
        <w:t xml:space="preserve"> </w:t>
      </w:r>
    </w:p>
    <w:p w:rsidR="00A27784" w:rsidRPr="00E811FC" w:rsidRDefault="0059376B" w:rsidP="0059376B">
      <w:pPr>
        <w:spacing w:line="276" w:lineRule="auto"/>
        <w:contextualSpacing/>
        <w:jc w:val="both"/>
        <w:rPr>
          <w:rFonts w:asciiTheme="minorHAnsi" w:hAnsiTheme="minorHAnsi" w:cstheme="minorHAnsi"/>
          <w:i/>
          <w:sz w:val="22"/>
          <w:szCs w:val="22"/>
        </w:rPr>
      </w:pPr>
      <w:r w:rsidRPr="00E811FC">
        <w:rPr>
          <w:rFonts w:asciiTheme="minorHAnsi" w:hAnsiTheme="minorHAnsi" w:cstheme="minorHAnsi"/>
          <w:i/>
          <w:sz w:val="22"/>
          <w:szCs w:val="22"/>
        </w:rPr>
        <w:t>The main obje</w:t>
      </w:r>
      <w:r w:rsidR="00212686" w:rsidRPr="00E811FC">
        <w:rPr>
          <w:rFonts w:asciiTheme="minorHAnsi" w:hAnsiTheme="minorHAnsi" w:cstheme="minorHAnsi"/>
          <w:i/>
          <w:sz w:val="22"/>
          <w:szCs w:val="22"/>
        </w:rPr>
        <w:t>ctive of this</w:t>
      </w:r>
      <w:r w:rsidRPr="00E811FC">
        <w:rPr>
          <w:rFonts w:asciiTheme="minorHAnsi" w:hAnsiTheme="minorHAnsi" w:cstheme="minorHAnsi"/>
          <w:i/>
          <w:sz w:val="22"/>
          <w:szCs w:val="22"/>
        </w:rPr>
        <w:t xml:space="preserve"> consultancy will </w:t>
      </w:r>
      <w:r w:rsidR="00212686" w:rsidRPr="00E811FC">
        <w:rPr>
          <w:rFonts w:asciiTheme="minorHAnsi" w:hAnsiTheme="minorHAnsi" w:cstheme="minorHAnsi"/>
          <w:i/>
          <w:sz w:val="22"/>
          <w:szCs w:val="22"/>
        </w:rPr>
        <w:t xml:space="preserve">be to </w:t>
      </w:r>
      <w:r w:rsidRPr="00E811FC">
        <w:rPr>
          <w:rFonts w:asciiTheme="minorHAnsi" w:hAnsiTheme="minorHAnsi" w:cstheme="minorHAnsi"/>
          <w:i/>
          <w:sz w:val="22"/>
          <w:szCs w:val="22"/>
        </w:rPr>
        <w:t xml:space="preserve">provide communications support to the </w:t>
      </w:r>
      <w:r w:rsidR="00212686" w:rsidRPr="00E811FC">
        <w:rPr>
          <w:rFonts w:asciiTheme="minorHAnsi" w:hAnsiTheme="minorHAnsi" w:cstheme="minorHAnsi"/>
          <w:i/>
          <w:sz w:val="22"/>
          <w:szCs w:val="22"/>
        </w:rPr>
        <w:t>Department of Energy in formulating and disseminat</w:t>
      </w:r>
      <w:r w:rsidR="00382472" w:rsidRPr="00E811FC">
        <w:rPr>
          <w:rFonts w:asciiTheme="minorHAnsi" w:hAnsiTheme="minorHAnsi" w:cstheme="minorHAnsi"/>
          <w:i/>
          <w:sz w:val="22"/>
          <w:szCs w:val="22"/>
        </w:rPr>
        <w:t>ing</w:t>
      </w:r>
      <w:r w:rsidRPr="00E811FC">
        <w:rPr>
          <w:rFonts w:asciiTheme="minorHAnsi" w:hAnsiTheme="minorHAnsi" w:cstheme="minorHAnsi"/>
          <w:i/>
          <w:sz w:val="22"/>
          <w:szCs w:val="22"/>
        </w:rPr>
        <w:t xml:space="preserve"> more and better information</w:t>
      </w:r>
      <w:r w:rsidR="00212686" w:rsidRPr="00E811FC">
        <w:rPr>
          <w:rFonts w:asciiTheme="minorHAnsi" w:hAnsiTheme="minorHAnsi" w:cstheme="minorHAnsi"/>
          <w:i/>
          <w:sz w:val="22"/>
          <w:szCs w:val="22"/>
        </w:rPr>
        <w:t xml:space="preserve"> as it relates to it work</w:t>
      </w:r>
      <w:r w:rsidRPr="00E811FC">
        <w:rPr>
          <w:rFonts w:asciiTheme="minorHAnsi" w:hAnsiTheme="minorHAnsi" w:cstheme="minorHAnsi"/>
          <w:i/>
          <w:sz w:val="22"/>
          <w:szCs w:val="22"/>
        </w:rPr>
        <w:t xml:space="preserve">. </w:t>
      </w:r>
      <w:r w:rsidR="00212686" w:rsidRPr="00E811FC">
        <w:rPr>
          <w:rFonts w:asciiTheme="minorHAnsi" w:hAnsiTheme="minorHAnsi" w:cstheme="minorHAnsi"/>
          <w:i/>
          <w:sz w:val="22"/>
          <w:szCs w:val="22"/>
        </w:rPr>
        <w:t xml:space="preserve">The communications consultant </w:t>
      </w:r>
      <w:r w:rsidRPr="00E811FC">
        <w:rPr>
          <w:rFonts w:asciiTheme="minorHAnsi" w:hAnsiTheme="minorHAnsi" w:cstheme="minorHAnsi"/>
          <w:i/>
          <w:sz w:val="22"/>
          <w:szCs w:val="22"/>
        </w:rPr>
        <w:t xml:space="preserve">will provide support to help </w:t>
      </w:r>
      <w:r w:rsidR="00212686" w:rsidRPr="00E811FC">
        <w:rPr>
          <w:rFonts w:asciiTheme="minorHAnsi" w:hAnsiTheme="minorHAnsi" w:cstheme="minorHAnsi"/>
          <w:i/>
          <w:sz w:val="22"/>
          <w:szCs w:val="22"/>
        </w:rPr>
        <w:t xml:space="preserve">the DOE develop </w:t>
      </w:r>
      <w:r w:rsidR="00E811FC">
        <w:rPr>
          <w:rFonts w:asciiTheme="minorHAnsi" w:hAnsiTheme="minorHAnsi" w:cstheme="minorHAnsi"/>
          <w:i/>
          <w:sz w:val="22"/>
          <w:szCs w:val="22"/>
        </w:rPr>
        <w:t xml:space="preserve">and implement </w:t>
      </w:r>
      <w:r w:rsidR="00212686" w:rsidRPr="00E811FC">
        <w:rPr>
          <w:rFonts w:asciiTheme="minorHAnsi" w:hAnsiTheme="minorHAnsi" w:cstheme="minorHAnsi"/>
          <w:i/>
          <w:sz w:val="22"/>
          <w:szCs w:val="22"/>
        </w:rPr>
        <w:t>its</w:t>
      </w:r>
      <w:r w:rsidRPr="00E811FC">
        <w:rPr>
          <w:rFonts w:asciiTheme="minorHAnsi" w:hAnsiTheme="minorHAnsi" w:cstheme="minorHAnsi"/>
          <w:i/>
          <w:sz w:val="22"/>
          <w:szCs w:val="22"/>
        </w:rPr>
        <w:t xml:space="preserve"> communications strategy and communication products to promote </w:t>
      </w:r>
      <w:r w:rsidR="00212686" w:rsidRPr="00E811FC">
        <w:rPr>
          <w:rFonts w:asciiTheme="minorHAnsi" w:hAnsiTheme="minorHAnsi" w:cstheme="minorHAnsi"/>
          <w:i/>
          <w:sz w:val="22"/>
          <w:szCs w:val="22"/>
        </w:rPr>
        <w:t>its work.</w:t>
      </w:r>
    </w:p>
    <w:p w:rsidR="00212686" w:rsidRPr="00E811FC" w:rsidRDefault="00212686" w:rsidP="0059376B">
      <w:pPr>
        <w:spacing w:line="276" w:lineRule="auto"/>
        <w:contextualSpacing/>
        <w:jc w:val="both"/>
        <w:rPr>
          <w:rFonts w:asciiTheme="minorHAnsi" w:eastAsiaTheme="minorHAnsi" w:hAnsiTheme="minorHAnsi" w:cstheme="minorHAnsi"/>
          <w:sz w:val="22"/>
          <w:szCs w:val="22"/>
        </w:rPr>
      </w:pPr>
    </w:p>
    <w:p w:rsidR="00A27784" w:rsidRPr="00E811FC" w:rsidRDefault="00A27784" w:rsidP="00A27784">
      <w:pPr>
        <w:widowControl w:val="0"/>
        <w:numPr>
          <w:ilvl w:val="0"/>
          <w:numId w:val="1"/>
        </w:numPr>
        <w:spacing w:after="200" w:line="276" w:lineRule="auto"/>
        <w:contextualSpacing/>
        <w:rPr>
          <w:rFonts w:asciiTheme="minorHAnsi" w:eastAsiaTheme="minorHAnsi" w:hAnsiTheme="minorHAnsi" w:cstheme="minorHAnsi"/>
          <w:b/>
          <w:sz w:val="22"/>
          <w:szCs w:val="22"/>
          <w:u w:val="single"/>
        </w:rPr>
      </w:pPr>
      <w:r w:rsidRPr="00E811FC">
        <w:rPr>
          <w:rFonts w:asciiTheme="minorHAnsi" w:eastAsiaTheme="minorHAnsi" w:hAnsiTheme="minorHAnsi" w:cstheme="minorHAnsi"/>
          <w:b/>
          <w:sz w:val="22"/>
          <w:szCs w:val="22"/>
          <w:u w:val="single"/>
        </w:rPr>
        <w:t>Key Activities</w:t>
      </w:r>
    </w:p>
    <w:p w:rsidR="00A27784" w:rsidRPr="00E811FC" w:rsidRDefault="00A27784" w:rsidP="00A27784">
      <w:pPr>
        <w:spacing w:line="276" w:lineRule="auto"/>
        <w:ind w:left="360"/>
        <w:contextualSpacing/>
        <w:rPr>
          <w:rFonts w:asciiTheme="minorHAnsi" w:eastAsiaTheme="minorHAnsi" w:hAnsiTheme="minorHAnsi" w:cstheme="minorHAnsi"/>
          <w:b/>
          <w:sz w:val="22"/>
          <w:szCs w:val="22"/>
          <w:u w:val="single"/>
        </w:rPr>
      </w:pPr>
    </w:p>
    <w:p w:rsidR="00291116" w:rsidRPr="00E811FC" w:rsidRDefault="00291116" w:rsidP="00382472">
      <w:pPr>
        <w:pStyle w:val="ListParagraph"/>
        <w:numPr>
          <w:ilvl w:val="1"/>
          <w:numId w:val="14"/>
        </w:numPr>
        <w:jc w:val="both"/>
        <w:rPr>
          <w:rFonts w:asciiTheme="minorHAnsi" w:eastAsiaTheme="minorHAnsi" w:hAnsiTheme="minorHAnsi" w:cstheme="minorHAnsi"/>
          <w:i/>
          <w:sz w:val="22"/>
          <w:szCs w:val="22"/>
        </w:rPr>
      </w:pPr>
      <w:r w:rsidRPr="00E811FC">
        <w:rPr>
          <w:rFonts w:asciiTheme="minorHAnsi" w:hAnsiTheme="minorHAnsi" w:cstheme="minorHAnsi"/>
          <w:i/>
          <w:sz w:val="22"/>
          <w:szCs w:val="22"/>
        </w:rPr>
        <w:t>Work closely with the DOE to determine their communication requirements and to provide strategic advice on communications</w:t>
      </w:r>
    </w:p>
    <w:p w:rsidR="00291116" w:rsidRPr="00E811FC" w:rsidRDefault="00291116" w:rsidP="00382472">
      <w:pPr>
        <w:pStyle w:val="ListParagraph"/>
        <w:numPr>
          <w:ilvl w:val="1"/>
          <w:numId w:val="14"/>
        </w:numPr>
        <w:jc w:val="both"/>
        <w:rPr>
          <w:rFonts w:asciiTheme="minorHAnsi" w:eastAsiaTheme="minorHAnsi" w:hAnsiTheme="minorHAnsi" w:cstheme="minorHAnsi"/>
          <w:i/>
          <w:sz w:val="22"/>
          <w:szCs w:val="22"/>
        </w:rPr>
      </w:pPr>
      <w:r w:rsidRPr="00E811FC">
        <w:rPr>
          <w:rFonts w:asciiTheme="minorHAnsi" w:hAnsiTheme="minorHAnsi" w:cstheme="minorHAnsi"/>
          <w:i/>
          <w:sz w:val="22"/>
          <w:szCs w:val="22"/>
        </w:rPr>
        <w:t>Support the design and development</w:t>
      </w:r>
      <w:r w:rsidR="00136E9B" w:rsidRPr="00E811FC">
        <w:rPr>
          <w:rFonts w:asciiTheme="minorHAnsi" w:hAnsiTheme="minorHAnsi" w:cstheme="minorHAnsi"/>
          <w:i/>
          <w:sz w:val="22"/>
          <w:szCs w:val="22"/>
        </w:rPr>
        <w:t xml:space="preserve"> </w:t>
      </w:r>
      <w:r w:rsidRPr="00E811FC">
        <w:rPr>
          <w:rFonts w:asciiTheme="minorHAnsi" w:hAnsiTheme="minorHAnsi" w:cstheme="minorHAnsi"/>
          <w:i/>
          <w:sz w:val="22"/>
          <w:szCs w:val="22"/>
        </w:rPr>
        <w:t>of</w:t>
      </w:r>
      <w:r w:rsidR="00382472" w:rsidRPr="00E811FC">
        <w:rPr>
          <w:rFonts w:asciiTheme="minorHAnsi" w:hAnsiTheme="minorHAnsi" w:cstheme="minorHAnsi"/>
          <w:i/>
          <w:sz w:val="22"/>
          <w:szCs w:val="22"/>
        </w:rPr>
        <w:t xml:space="preserve"> DOE’s </w:t>
      </w:r>
      <w:r w:rsidR="00136E9B" w:rsidRPr="00E811FC">
        <w:rPr>
          <w:rFonts w:asciiTheme="minorHAnsi" w:hAnsiTheme="minorHAnsi" w:cstheme="minorHAnsi"/>
          <w:i/>
          <w:sz w:val="22"/>
          <w:szCs w:val="22"/>
        </w:rPr>
        <w:t xml:space="preserve">communications strategy for internal and external communications and outreach. </w:t>
      </w:r>
    </w:p>
    <w:p w:rsidR="00382472" w:rsidRPr="00E811FC" w:rsidRDefault="00291116" w:rsidP="00291116">
      <w:pPr>
        <w:pStyle w:val="ListParagraph"/>
        <w:numPr>
          <w:ilvl w:val="1"/>
          <w:numId w:val="14"/>
        </w:numPr>
        <w:jc w:val="both"/>
        <w:rPr>
          <w:rFonts w:asciiTheme="minorHAnsi" w:hAnsiTheme="minorHAnsi" w:cstheme="minorHAnsi"/>
          <w:i/>
          <w:sz w:val="22"/>
          <w:szCs w:val="22"/>
        </w:rPr>
      </w:pPr>
      <w:r w:rsidRPr="00E811FC">
        <w:rPr>
          <w:rFonts w:asciiTheme="minorHAnsi" w:hAnsiTheme="minorHAnsi" w:cstheme="minorHAnsi"/>
          <w:i/>
          <w:sz w:val="22"/>
          <w:szCs w:val="22"/>
        </w:rPr>
        <w:t>Conceptualize, design and develop c</w:t>
      </w:r>
      <w:r w:rsidR="00136E9B" w:rsidRPr="00E811FC">
        <w:rPr>
          <w:rFonts w:asciiTheme="minorHAnsi" w:hAnsiTheme="minorHAnsi" w:cstheme="minorHAnsi"/>
          <w:i/>
          <w:sz w:val="22"/>
          <w:szCs w:val="22"/>
        </w:rPr>
        <w:t>ommunication products, including</w:t>
      </w:r>
      <w:r w:rsidR="00382472" w:rsidRPr="00E811FC">
        <w:rPr>
          <w:rFonts w:asciiTheme="minorHAnsi" w:hAnsiTheme="minorHAnsi" w:cstheme="minorHAnsi"/>
          <w:i/>
          <w:sz w:val="22"/>
          <w:szCs w:val="22"/>
        </w:rPr>
        <w:t xml:space="preserve"> a web-site, </w:t>
      </w:r>
      <w:r w:rsidRPr="00E811FC">
        <w:rPr>
          <w:rFonts w:asciiTheme="minorHAnsi" w:hAnsiTheme="minorHAnsi" w:cstheme="minorHAnsi"/>
          <w:i/>
          <w:sz w:val="22"/>
          <w:szCs w:val="22"/>
        </w:rPr>
        <w:t>printed materials</w:t>
      </w:r>
      <w:r w:rsidR="00382472" w:rsidRPr="00E811FC">
        <w:rPr>
          <w:rFonts w:asciiTheme="minorHAnsi" w:hAnsiTheme="minorHAnsi" w:cstheme="minorHAnsi"/>
          <w:i/>
          <w:sz w:val="22"/>
          <w:szCs w:val="22"/>
        </w:rPr>
        <w:t xml:space="preserve">, social media campaigns </w:t>
      </w:r>
      <w:r w:rsidRPr="00E811FC">
        <w:rPr>
          <w:rFonts w:asciiTheme="minorHAnsi" w:hAnsiTheme="minorHAnsi" w:cstheme="minorHAnsi"/>
          <w:i/>
          <w:sz w:val="22"/>
          <w:szCs w:val="22"/>
        </w:rPr>
        <w:t>and other communication tools for the DOE</w:t>
      </w:r>
    </w:p>
    <w:p w:rsidR="00291116" w:rsidRPr="00E811FC" w:rsidRDefault="00291116" w:rsidP="00291116">
      <w:pPr>
        <w:pStyle w:val="ListParagraph"/>
        <w:numPr>
          <w:ilvl w:val="1"/>
          <w:numId w:val="14"/>
        </w:numPr>
        <w:jc w:val="both"/>
        <w:rPr>
          <w:rFonts w:asciiTheme="minorHAnsi" w:eastAsiaTheme="minorHAnsi" w:hAnsiTheme="minorHAnsi" w:cstheme="minorHAnsi"/>
          <w:i/>
          <w:sz w:val="22"/>
          <w:szCs w:val="22"/>
        </w:rPr>
      </w:pPr>
      <w:r w:rsidRPr="00E811FC">
        <w:rPr>
          <w:rFonts w:asciiTheme="minorHAnsi" w:hAnsiTheme="minorHAnsi" w:cstheme="minorHAnsi"/>
          <w:i/>
          <w:sz w:val="22"/>
          <w:szCs w:val="22"/>
        </w:rPr>
        <w:t>Specify appropriate communication channels, dissemination methods and media such as video, print, web/online media, traditional media, and social media, among others, to effectively communicate key messages to specific stakeholders.</w:t>
      </w:r>
    </w:p>
    <w:p w:rsidR="00136E9B" w:rsidRPr="00E811FC" w:rsidRDefault="00291116" w:rsidP="00291116">
      <w:pPr>
        <w:jc w:val="both"/>
        <w:rPr>
          <w:rFonts w:asciiTheme="minorHAnsi" w:eastAsiaTheme="minorHAnsi" w:hAnsiTheme="minorHAnsi" w:cstheme="minorHAnsi"/>
          <w:i/>
          <w:sz w:val="22"/>
          <w:szCs w:val="22"/>
        </w:rPr>
      </w:pPr>
      <w:r w:rsidRPr="00E811FC">
        <w:rPr>
          <w:rFonts w:asciiTheme="minorHAnsi" w:hAnsiTheme="minorHAnsi" w:cstheme="minorHAnsi"/>
          <w:i/>
          <w:sz w:val="22"/>
          <w:szCs w:val="22"/>
        </w:rPr>
        <w:t>3.5 Provide</w:t>
      </w:r>
      <w:r w:rsidR="00382472" w:rsidRPr="00E811FC">
        <w:rPr>
          <w:rFonts w:asciiTheme="minorHAnsi" w:hAnsiTheme="minorHAnsi" w:cstheme="minorHAnsi"/>
          <w:i/>
          <w:sz w:val="22"/>
          <w:szCs w:val="22"/>
        </w:rPr>
        <w:t xml:space="preserve"> i</w:t>
      </w:r>
      <w:r w:rsidR="00136E9B" w:rsidRPr="00E811FC">
        <w:rPr>
          <w:rFonts w:asciiTheme="minorHAnsi" w:hAnsiTheme="minorHAnsi" w:cstheme="minorHAnsi"/>
          <w:i/>
          <w:sz w:val="22"/>
          <w:szCs w:val="22"/>
        </w:rPr>
        <w:t>nternal media and communications related training</w:t>
      </w:r>
    </w:p>
    <w:p w:rsidR="00382472" w:rsidRPr="00E811FC" w:rsidRDefault="00291116" w:rsidP="00291116">
      <w:pPr>
        <w:jc w:val="both"/>
        <w:rPr>
          <w:rFonts w:asciiTheme="minorHAnsi" w:eastAsiaTheme="minorHAnsi" w:hAnsiTheme="minorHAnsi" w:cstheme="minorHAnsi"/>
          <w:i/>
          <w:sz w:val="22"/>
          <w:szCs w:val="22"/>
        </w:rPr>
      </w:pPr>
      <w:r w:rsidRPr="00E811FC">
        <w:rPr>
          <w:rFonts w:asciiTheme="minorHAnsi" w:hAnsiTheme="minorHAnsi" w:cstheme="minorHAnsi"/>
          <w:i/>
          <w:sz w:val="22"/>
          <w:szCs w:val="22"/>
        </w:rPr>
        <w:t>3.6 Any</w:t>
      </w:r>
      <w:r w:rsidR="00382472" w:rsidRPr="00E811FC">
        <w:rPr>
          <w:rFonts w:asciiTheme="minorHAnsi" w:hAnsiTheme="minorHAnsi" w:cstheme="minorHAnsi"/>
          <w:i/>
          <w:sz w:val="22"/>
          <w:szCs w:val="22"/>
        </w:rPr>
        <w:t xml:space="preserve"> other communications activities which </w:t>
      </w:r>
      <w:proofErr w:type="spellStart"/>
      <w:r w:rsidR="00382472" w:rsidRPr="00E811FC">
        <w:rPr>
          <w:rFonts w:asciiTheme="minorHAnsi" w:hAnsiTheme="minorHAnsi" w:cstheme="minorHAnsi"/>
          <w:i/>
          <w:sz w:val="22"/>
          <w:szCs w:val="22"/>
        </w:rPr>
        <w:t>maybe</w:t>
      </w:r>
      <w:proofErr w:type="spellEnd"/>
      <w:r w:rsidR="00382472" w:rsidRPr="00E811FC">
        <w:rPr>
          <w:rFonts w:asciiTheme="minorHAnsi" w:hAnsiTheme="minorHAnsi" w:cstheme="minorHAnsi"/>
          <w:i/>
          <w:sz w:val="22"/>
          <w:szCs w:val="22"/>
        </w:rPr>
        <w:t xml:space="preserve"> required by the</w:t>
      </w:r>
      <w:r w:rsidR="00E811FC">
        <w:rPr>
          <w:rFonts w:asciiTheme="minorHAnsi" w:hAnsiTheme="minorHAnsi" w:cstheme="minorHAnsi"/>
          <w:i/>
          <w:sz w:val="22"/>
          <w:szCs w:val="22"/>
        </w:rPr>
        <w:t xml:space="preserve"> DOE</w:t>
      </w:r>
    </w:p>
    <w:p w:rsidR="00382472" w:rsidRPr="00E811FC" w:rsidRDefault="00382472" w:rsidP="00382472">
      <w:pPr>
        <w:pStyle w:val="ListParagraph"/>
        <w:ind w:left="792"/>
        <w:jc w:val="both"/>
        <w:rPr>
          <w:rFonts w:asciiTheme="minorHAnsi" w:eastAsiaTheme="minorHAnsi" w:hAnsiTheme="minorHAnsi" w:cstheme="minorHAnsi"/>
          <w:i/>
          <w:sz w:val="22"/>
          <w:szCs w:val="22"/>
        </w:rPr>
      </w:pPr>
    </w:p>
    <w:p w:rsidR="000E619F" w:rsidRPr="00E811FC" w:rsidRDefault="000E619F" w:rsidP="000E619F">
      <w:pPr>
        <w:pStyle w:val="ListParagraph"/>
        <w:ind w:left="792"/>
        <w:rPr>
          <w:rFonts w:asciiTheme="minorHAnsi" w:eastAsiaTheme="minorHAnsi" w:hAnsiTheme="minorHAnsi" w:cstheme="minorHAnsi"/>
          <w:i/>
          <w:sz w:val="22"/>
          <w:szCs w:val="22"/>
        </w:rPr>
      </w:pPr>
      <w:r w:rsidRPr="00E811FC">
        <w:rPr>
          <w:rFonts w:asciiTheme="minorHAnsi" w:eastAsiaTheme="minorHAnsi" w:hAnsiTheme="minorHAnsi" w:cstheme="minorHAnsi"/>
          <w:i/>
          <w:sz w:val="22"/>
          <w:szCs w:val="22"/>
        </w:rPr>
        <w:t xml:space="preserve"> </w:t>
      </w:r>
    </w:p>
    <w:p w:rsidR="00A27784" w:rsidRPr="00181D87" w:rsidRDefault="00A27784" w:rsidP="00A27784">
      <w:pPr>
        <w:widowControl w:val="0"/>
        <w:numPr>
          <w:ilvl w:val="0"/>
          <w:numId w:val="1"/>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u w:val="single"/>
        </w:rPr>
        <w:t>Expected Deliverables</w:t>
      </w:r>
    </w:p>
    <w:p w:rsidR="00A27784" w:rsidRPr="00E811FC" w:rsidRDefault="00A27784" w:rsidP="00A27784">
      <w:pPr>
        <w:spacing w:line="276" w:lineRule="auto"/>
        <w:ind w:left="360"/>
        <w:contextualSpacing/>
        <w:rPr>
          <w:rFonts w:asciiTheme="minorHAnsi" w:eastAsiaTheme="minorHAnsi" w:hAnsiTheme="minorHAnsi"/>
          <w:b/>
          <w:i/>
          <w:sz w:val="22"/>
          <w:szCs w:val="22"/>
          <w:u w:val="single"/>
        </w:rPr>
      </w:pPr>
    </w:p>
    <w:p w:rsidR="0066187B" w:rsidRPr="00E811FC" w:rsidRDefault="00E32EDA" w:rsidP="00E32EDA">
      <w:pPr>
        <w:widowControl w:val="0"/>
        <w:spacing w:after="200" w:line="276" w:lineRule="auto"/>
        <w:contextualSpacing/>
        <w:jc w:val="both"/>
        <w:rPr>
          <w:rFonts w:asciiTheme="minorHAnsi" w:eastAsiaTheme="minorHAnsi" w:hAnsiTheme="minorHAnsi"/>
          <w:i/>
          <w:sz w:val="22"/>
          <w:szCs w:val="22"/>
        </w:rPr>
      </w:pPr>
      <w:r w:rsidRPr="00E811FC">
        <w:rPr>
          <w:rFonts w:asciiTheme="minorHAnsi" w:eastAsiaTheme="minorHAnsi" w:hAnsiTheme="minorHAnsi"/>
          <w:i/>
          <w:sz w:val="22"/>
          <w:szCs w:val="22"/>
        </w:rPr>
        <w:t xml:space="preserve">In close coordination with </w:t>
      </w:r>
      <w:r w:rsidR="00C03444" w:rsidRPr="00E811FC">
        <w:rPr>
          <w:rFonts w:asciiTheme="minorHAnsi" w:eastAsiaTheme="minorHAnsi" w:hAnsiTheme="minorHAnsi"/>
          <w:i/>
          <w:sz w:val="22"/>
          <w:szCs w:val="22"/>
        </w:rPr>
        <w:t>the IDBG team</w:t>
      </w:r>
      <w:r w:rsidRPr="00E811FC">
        <w:rPr>
          <w:rFonts w:asciiTheme="minorHAnsi" w:eastAsiaTheme="minorHAnsi" w:hAnsiTheme="minorHAnsi"/>
          <w:i/>
          <w:sz w:val="22"/>
          <w:szCs w:val="22"/>
        </w:rPr>
        <w:t xml:space="preserve">, the consultancy firm shall prepare the following structure </w:t>
      </w:r>
      <w:r w:rsidR="00E811FC" w:rsidRPr="00E811FC">
        <w:rPr>
          <w:rFonts w:asciiTheme="minorHAnsi" w:eastAsiaTheme="minorHAnsi" w:hAnsiTheme="minorHAnsi"/>
          <w:i/>
          <w:sz w:val="22"/>
          <w:szCs w:val="22"/>
        </w:rPr>
        <w:t xml:space="preserve">of </w:t>
      </w:r>
      <w:r w:rsidRPr="00E811FC">
        <w:rPr>
          <w:rFonts w:asciiTheme="minorHAnsi" w:eastAsiaTheme="minorHAnsi" w:hAnsiTheme="minorHAnsi"/>
          <w:i/>
          <w:sz w:val="22"/>
          <w:szCs w:val="22"/>
        </w:rPr>
        <w:t>deliverable</w:t>
      </w:r>
      <w:r w:rsidR="00E811FC" w:rsidRPr="00E811FC">
        <w:rPr>
          <w:rFonts w:asciiTheme="minorHAnsi" w:eastAsiaTheme="minorHAnsi" w:hAnsiTheme="minorHAnsi"/>
          <w:i/>
          <w:sz w:val="22"/>
          <w:szCs w:val="22"/>
        </w:rPr>
        <w:t>s</w:t>
      </w:r>
      <w:r w:rsidRPr="00E811FC">
        <w:rPr>
          <w:rFonts w:asciiTheme="minorHAnsi" w:eastAsiaTheme="minorHAnsi" w:hAnsiTheme="minorHAnsi"/>
          <w:i/>
          <w:sz w:val="22"/>
          <w:szCs w:val="22"/>
        </w:rPr>
        <w:t>:</w:t>
      </w:r>
    </w:p>
    <w:p w:rsidR="00E811FC" w:rsidRPr="00E811FC" w:rsidRDefault="00E32EDA" w:rsidP="00E811FC">
      <w:pPr>
        <w:pStyle w:val="ListParagraph"/>
        <w:widowControl w:val="0"/>
        <w:numPr>
          <w:ilvl w:val="1"/>
          <w:numId w:val="15"/>
        </w:numPr>
        <w:spacing w:after="200" w:line="276" w:lineRule="auto"/>
        <w:jc w:val="both"/>
        <w:rPr>
          <w:rFonts w:asciiTheme="minorHAnsi" w:eastAsiaTheme="minorHAnsi" w:hAnsiTheme="minorHAnsi"/>
          <w:i/>
          <w:sz w:val="22"/>
          <w:szCs w:val="22"/>
        </w:rPr>
      </w:pPr>
      <w:r w:rsidRPr="00E811FC">
        <w:rPr>
          <w:rFonts w:asciiTheme="minorHAnsi" w:eastAsiaTheme="minorHAnsi" w:hAnsiTheme="minorHAnsi"/>
          <w:i/>
          <w:sz w:val="22"/>
          <w:szCs w:val="22"/>
        </w:rPr>
        <w:t>Work plan</w:t>
      </w:r>
      <w:r w:rsidR="00C03444" w:rsidRPr="00E811FC">
        <w:rPr>
          <w:rFonts w:asciiTheme="minorHAnsi" w:eastAsiaTheme="minorHAnsi" w:hAnsiTheme="minorHAnsi"/>
          <w:i/>
          <w:sz w:val="22"/>
          <w:szCs w:val="22"/>
        </w:rPr>
        <w:t xml:space="preserve"> </w:t>
      </w:r>
      <w:r w:rsidRPr="00E811FC">
        <w:rPr>
          <w:rFonts w:asciiTheme="minorHAnsi" w:eastAsiaTheme="minorHAnsi" w:hAnsiTheme="minorHAnsi"/>
          <w:i/>
          <w:sz w:val="22"/>
          <w:szCs w:val="22"/>
        </w:rPr>
        <w:t>which must include a detailed overview of key milestones</w:t>
      </w:r>
      <w:r w:rsidR="002565D1" w:rsidRPr="00E811FC">
        <w:rPr>
          <w:rFonts w:asciiTheme="minorHAnsi" w:eastAsiaTheme="minorHAnsi" w:hAnsiTheme="minorHAnsi"/>
          <w:i/>
          <w:sz w:val="22"/>
          <w:szCs w:val="22"/>
        </w:rPr>
        <w:t xml:space="preserve"> as outlined in section</w:t>
      </w:r>
    </w:p>
    <w:p w:rsidR="00E811FC" w:rsidRPr="00E811FC" w:rsidRDefault="00E811FC" w:rsidP="00E811FC">
      <w:pPr>
        <w:pStyle w:val="ListParagraph"/>
        <w:widowControl w:val="0"/>
        <w:numPr>
          <w:ilvl w:val="1"/>
          <w:numId w:val="15"/>
        </w:numPr>
        <w:spacing w:after="200" w:line="276" w:lineRule="auto"/>
        <w:jc w:val="both"/>
        <w:rPr>
          <w:rFonts w:asciiTheme="minorHAnsi" w:eastAsiaTheme="minorHAnsi" w:hAnsiTheme="minorHAnsi"/>
          <w:i/>
          <w:sz w:val="22"/>
          <w:szCs w:val="22"/>
        </w:rPr>
      </w:pPr>
      <w:r w:rsidRPr="00E811FC">
        <w:rPr>
          <w:rFonts w:asciiTheme="minorHAnsi" w:eastAsiaTheme="minorHAnsi" w:hAnsiTheme="minorHAnsi"/>
          <w:i/>
          <w:sz w:val="22"/>
          <w:szCs w:val="22"/>
        </w:rPr>
        <w:t>A mid-term report which would include an analysis of the communication needs of the DOE and a detailed communications strategy identifying target groups, messages and media and timeframe for implementation</w:t>
      </w:r>
    </w:p>
    <w:p w:rsidR="00A27784" w:rsidRPr="00EA52DA" w:rsidRDefault="00E811FC" w:rsidP="00A27784">
      <w:pPr>
        <w:pStyle w:val="ListParagraph"/>
        <w:widowControl w:val="0"/>
        <w:numPr>
          <w:ilvl w:val="1"/>
          <w:numId w:val="15"/>
        </w:numPr>
        <w:shd w:val="clear" w:color="auto" w:fill="FFFFFF"/>
        <w:spacing w:after="200" w:line="276" w:lineRule="auto"/>
        <w:jc w:val="both"/>
        <w:rPr>
          <w:rFonts w:asciiTheme="minorHAnsi" w:hAnsiTheme="minorHAnsi"/>
          <w:i/>
          <w:color w:val="008800"/>
          <w:sz w:val="22"/>
          <w:szCs w:val="22"/>
          <w:lang w:val="en-GB"/>
        </w:rPr>
      </w:pPr>
      <w:r w:rsidRPr="00EA52DA">
        <w:rPr>
          <w:rFonts w:asciiTheme="minorHAnsi" w:eastAsiaTheme="minorHAnsi" w:hAnsiTheme="minorHAnsi"/>
          <w:i/>
          <w:sz w:val="22"/>
          <w:szCs w:val="22"/>
        </w:rPr>
        <w:t xml:space="preserve">A final report </w:t>
      </w:r>
    </w:p>
    <w:p w:rsidR="00A27784" w:rsidRDefault="00A27784" w:rsidP="00A27784">
      <w:pPr>
        <w:widowControl w:val="0"/>
        <w:numPr>
          <w:ilvl w:val="0"/>
          <w:numId w:val="1"/>
        </w:numPr>
        <w:spacing w:after="200" w:line="276" w:lineRule="auto"/>
        <w:contextualSpacing/>
        <w:rPr>
          <w:rFonts w:asciiTheme="minorHAnsi" w:eastAsiaTheme="minorHAnsi" w:hAnsiTheme="minorHAnsi"/>
          <w:b/>
          <w:sz w:val="22"/>
          <w:szCs w:val="22"/>
          <w:u w:val="single"/>
        </w:rPr>
      </w:pPr>
      <w:r w:rsidRPr="00181D87">
        <w:rPr>
          <w:rFonts w:asciiTheme="minorHAnsi" w:eastAsiaTheme="minorHAnsi" w:hAnsiTheme="minorHAnsi"/>
          <w:b/>
          <w:sz w:val="22"/>
          <w:szCs w:val="22"/>
        </w:rPr>
        <w:t xml:space="preserve"> </w:t>
      </w:r>
      <w:r w:rsidRPr="00181D87">
        <w:rPr>
          <w:rFonts w:asciiTheme="minorHAnsi" w:eastAsiaTheme="minorHAnsi" w:hAnsiTheme="minorHAnsi"/>
          <w:b/>
          <w:sz w:val="22"/>
          <w:szCs w:val="22"/>
          <w:u w:val="single"/>
        </w:rPr>
        <w:t>Supervision</w:t>
      </w:r>
      <w:r w:rsidR="00706759">
        <w:rPr>
          <w:rFonts w:asciiTheme="minorHAnsi" w:eastAsiaTheme="minorHAnsi" w:hAnsiTheme="minorHAnsi"/>
          <w:b/>
          <w:sz w:val="22"/>
          <w:szCs w:val="22"/>
          <w:u w:val="single"/>
        </w:rPr>
        <w:t xml:space="preserve"> and Reporting</w:t>
      </w:r>
    </w:p>
    <w:p w:rsidR="006E62D9" w:rsidRPr="00181D87" w:rsidRDefault="006E62D9" w:rsidP="006E62D9">
      <w:pPr>
        <w:widowControl w:val="0"/>
        <w:spacing w:after="200" w:line="276" w:lineRule="auto"/>
        <w:ind w:left="360"/>
        <w:contextualSpacing/>
        <w:rPr>
          <w:rFonts w:asciiTheme="minorHAnsi" w:eastAsiaTheme="minorHAnsi" w:hAnsiTheme="minorHAnsi"/>
          <w:b/>
          <w:sz w:val="22"/>
          <w:szCs w:val="22"/>
          <w:u w:val="single"/>
        </w:rPr>
      </w:pPr>
    </w:p>
    <w:p w:rsidR="00A27784" w:rsidRPr="0002712E" w:rsidRDefault="00A27784" w:rsidP="00B16AAA">
      <w:pPr>
        <w:widowControl w:val="0"/>
        <w:numPr>
          <w:ilvl w:val="1"/>
          <w:numId w:val="1"/>
        </w:numPr>
        <w:shd w:val="clear" w:color="auto" w:fill="FFFFFF"/>
        <w:tabs>
          <w:tab w:val="left" w:pos="990"/>
        </w:tabs>
        <w:spacing w:after="200" w:line="276" w:lineRule="auto"/>
        <w:ind w:right="-10"/>
        <w:contextualSpacing/>
        <w:rPr>
          <w:rFonts w:asciiTheme="minorHAnsi" w:hAnsiTheme="minorHAnsi"/>
          <w:b/>
          <w:sz w:val="22"/>
          <w:szCs w:val="22"/>
        </w:rPr>
      </w:pPr>
      <w:r w:rsidRPr="0002712E">
        <w:rPr>
          <w:rFonts w:asciiTheme="minorHAnsi" w:eastAsiaTheme="minorHAnsi" w:hAnsiTheme="minorHAnsi"/>
          <w:b/>
          <w:i/>
          <w:color w:val="006600"/>
          <w:sz w:val="22"/>
          <w:szCs w:val="22"/>
        </w:rPr>
        <w:t xml:space="preserve"> </w:t>
      </w:r>
      <w:r w:rsidR="0002712E" w:rsidRPr="0002712E">
        <w:rPr>
          <w:rFonts w:asciiTheme="minorHAnsi" w:eastAsiaTheme="minorHAnsi" w:hAnsiTheme="minorHAnsi"/>
          <w:i/>
          <w:sz w:val="22"/>
          <w:szCs w:val="22"/>
        </w:rPr>
        <w:t xml:space="preserve">This </w:t>
      </w:r>
      <w:r w:rsidR="00B16AAA">
        <w:rPr>
          <w:rFonts w:asciiTheme="minorHAnsi" w:eastAsiaTheme="minorHAnsi" w:hAnsiTheme="minorHAnsi"/>
          <w:i/>
          <w:sz w:val="22"/>
          <w:szCs w:val="22"/>
        </w:rPr>
        <w:t>consultancy</w:t>
      </w:r>
      <w:r w:rsidR="0002712E" w:rsidRPr="0002712E">
        <w:rPr>
          <w:rFonts w:asciiTheme="minorHAnsi" w:eastAsiaTheme="minorHAnsi" w:hAnsiTheme="minorHAnsi"/>
          <w:i/>
          <w:sz w:val="22"/>
          <w:szCs w:val="22"/>
        </w:rPr>
        <w:t xml:space="preserve"> will be under the supervision of </w:t>
      </w:r>
      <w:r w:rsidR="00B16AAA">
        <w:rPr>
          <w:rFonts w:asciiTheme="minorHAnsi" w:eastAsiaTheme="minorHAnsi" w:hAnsiTheme="minorHAnsi"/>
          <w:i/>
          <w:sz w:val="22"/>
          <w:szCs w:val="22"/>
        </w:rPr>
        <w:t>Ramon Espinasa (</w:t>
      </w:r>
      <w:hyperlink r:id="rId14" w:history="1">
        <w:r w:rsidR="00B16AAA" w:rsidRPr="00654A71">
          <w:rPr>
            <w:rStyle w:val="Hyperlink"/>
            <w:rFonts w:asciiTheme="minorHAnsi" w:eastAsiaTheme="minorHAnsi" w:hAnsiTheme="minorHAnsi"/>
            <w:i/>
            <w:sz w:val="22"/>
            <w:szCs w:val="22"/>
          </w:rPr>
          <w:t>ramones@iadb.org</w:t>
        </w:r>
      </w:hyperlink>
      <w:r w:rsidR="00B16AAA">
        <w:rPr>
          <w:rFonts w:asciiTheme="minorHAnsi" w:eastAsiaTheme="minorHAnsi" w:hAnsiTheme="minorHAnsi"/>
          <w:i/>
          <w:sz w:val="22"/>
          <w:szCs w:val="22"/>
        </w:rPr>
        <w:t xml:space="preserve">), </w:t>
      </w:r>
      <w:r w:rsidR="0002712E">
        <w:rPr>
          <w:rFonts w:asciiTheme="minorHAnsi" w:eastAsiaTheme="minorHAnsi" w:hAnsiTheme="minorHAnsi"/>
          <w:i/>
          <w:sz w:val="22"/>
          <w:szCs w:val="22"/>
        </w:rPr>
        <w:t>Lenin H. Balza</w:t>
      </w:r>
      <w:r w:rsidR="003B584D">
        <w:rPr>
          <w:rFonts w:asciiTheme="minorHAnsi" w:eastAsiaTheme="minorHAnsi" w:hAnsiTheme="minorHAnsi"/>
          <w:i/>
          <w:sz w:val="22"/>
          <w:szCs w:val="22"/>
        </w:rPr>
        <w:t xml:space="preserve"> (</w:t>
      </w:r>
      <w:hyperlink r:id="rId15" w:history="1">
        <w:r w:rsidR="000E619F" w:rsidRPr="00C00957">
          <w:rPr>
            <w:rStyle w:val="Hyperlink"/>
            <w:rFonts w:asciiTheme="minorHAnsi" w:eastAsiaTheme="minorHAnsi" w:hAnsiTheme="minorHAnsi"/>
            <w:i/>
            <w:sz w:val="22"/>
            <w:szCs w:val="22"/>
          </w:rPr>
          <w:t xml:space="preserve">leninb@iadb.org) </w:t>
        </w:r>
      </w:hyperlink>
      <w:r w:rsidR="00B16AAA">
        <w:rPr>
          <w:rFonts w:asciiTheme="minorHAnsi" w:eastAsiaTheme="minorHAnsi" w:hAnsiTheme="minorHAnsi"/>
          <w:i/>
          <w:sz w:val="22"/>
          <w:szCs w:val="22"/>
        </w:rPr>
        <w:t xml:space="preserve"> </w:t>
      </w:r>
      <w:r w:rsidR="0002712E">
        <w:rPr>
          <w:rFonts w:asciiTheme="minorHAnsi" w:eastAsiaTheme="minorHAnsi" w:hAnsiTheme="minorHAnsi"/>
          <w:i/>
          <w:sz w:val="22"/>
          <w:szCs w:val="22"/>
        </w:rPr>
        <w:t xml:space="preserve"> </w:t>
      </w:r>
      <w:r w:rsidR="000E619F">
        <w:rPr>
          <w:rFonts w:asciiTheme="minorHAnsi" w:eastAsiaTheme="minorHAnsi" w:hAnsiTheme="minorHAnsi"/>
          <w:i/>
          <w:sz w:val="22"/>
          <w:szCs w:val="22"/>
        </w:rPr>
        <w:t xml:space="preserve">and </w:t>
      </w:r>
      <w:r w:rsidR="0002712E">
        <w:rPr>
          <w:rFonts w:asciiTheme="minorHAnsi" w:eastAsiaTheme="minorHAnsi" w:hAnsiTheme="minorHAnsi"/>
          <w:i/>
          <w:sz w:val="22"/>
          <w:szCs w:val="22"/>
        </w:rPr>
        <w:t>Carlos Sucre</w:t>
      </w:r>
      <w:r w:rsidR="003B584D">
        <w:rPr>
          <w:rFonts w:asciiTheme="minorHAnsi" w:eastAsiaTheme="minorHAnsi" w:hAnsiTheme="minorHAnsi"/>
          <w:i/>
          <w:sz w:val="22"/>
          <w:szCs w:val="22"/>
        </w:rPr>
        <w:t xml:space="preserve"> (</w:t>
      </w:r>
      <w:hyperlink r:id="rId16" w:history="1">
        <w:r w:rsidR="003B584D" w:rsidRPr="00654A71">
          <w:rPr>
            <w:rStyle w:val="Hyperlink"/>
            <w:rFonts w:asciiTheme="minorHAnsi" w:eastAsiaTheme="minorHAnsi" w:hAnsiTheme="minorHAnsi"/>
            <w:i/>
            <w:sz w:val="22"/>
            <w:szCs w:val="22"/>
          </w:rPr>
          <w:t>csucre@iadb.org</w:t>
        </w:r>
      </w:hyperlink>
      <w:r w:rsidR="003B584D">
        <w:rPr>
          <w:rFonts w:asciiTheme="minorHAnsi" w:eastAsiaTheme="minorHAnsi" w:hAnsiTheme="minorHAnsi"/>
          <w:i/>
          <w:sz w:val="22"/>
          <w:szCs w:val="22"/>
        </w:rPr>
        <w:t xml:space="preserve">) </w:t>
      </w:r>
    </w:p>
    <w:p w:rsidR="00A27784" w:rsidRDefault="00A27784" w:rsidP="00A27784">
      <w:pPr>
        <w:pStyle w:val="ListParagraph"/>
        <w:numPr>
          <w:ilvl w:val="0"/>
          <w:numId w:val="1"/>
        </w:numPr>
        <w:ind w:right="-10"/>
        <w:jc w:val="both"/>
        <w:rPr>
          <w:rFonts w:asciiTheme="minorHAnsi" w:hAnsiTheme="minorHAnsi"/>
          <w:b/>
          <w:sz w:val="22"/>
          <w:szCs w:val="22"/>
        </w:rPr>
      </w:pPr>
      <w:r w:rsidRPr="00C42183">
        <w:rPr>
          <w:rFonts w:asciiTheme="minorHAnsi" w:hAnsiTheme="minorHAnsi"/>
          <w:b/>
          <w:sz w:val="22"/>
          <w:szCs w:val="22"/>
        </w:rPr>
        <w:t>Schedule of Payments</w:t>
      </w:r>
    </w:p>
    <w:p w:rsidR="006E62D9" w:rsidRPr="00C42183" w:rsidRDefault="006E62D9" w:rsidP="006E62D9">
      <w:pPr>
        <w:pStyle w:val="ListParagraph"/>
        <w:ind w:left="360" w:right="-10"/>
        <w:jc w:val="both"/>
        <w:rPr>
          <w:rFonts w:asciiTheme="minorHAnsi" w:hAnsiTheme="minorHAnsi"/>
          <w:b/>
          <w:sz w:val="22"/>
          <w:szCs w:val="22"/>
        </w:rPr>
      </w:pPr>
    </w:p>
    <w:p w:rsidR="00615112" w:rsidRPr="008B331F" w:rsidRDefault="00615112" w:rsidP="008B331F">
      <w:pPr>
        <w:pStyle w:val="BodyTextIndent3"/>
        <w:numPr>
          <w:ilvl w:val="1"/>
          <w:numId w:val="1"/>
        </w:numPr>
        <w:tabs>
          <w:tab w:val="left" w:pos="1080"/>
        </w:tabs>
        <w:suppressAutoHyphens/>
        <w:textAlignment w:val="baseline"/>
        <w:rPr>
          <w:rFonts w:asciiTheme="minorHAnsi" w:eastAsiaTheme="minorHAnsi" w:hAnsiTheme="minorHAnsi" w:cs="Times New Roman"/>
          <w:i/>
          <w:color w:val="auto"/>
          <w:sz w:val="22"/>
          <w:szCs w:val="22"/>
          <w:lang w:val="en-US" w:eastAsia="en-US"/>
        </w:rPr>
      </w:pPr>
      <w:r w:rsidRPr="00C03444">
        <w:rPr>
          <w:rFonts w:asciiTheme="minorHAnsi" w:eastAsiaTheme="minorHAnsi" w:hAnsiTheme="minorHAnsi" w:cs="Times New Roman"/>
          <w:i/>
          <w:color w:val="auto"/>
          <w:sz w:val="22"/>
          <w:szCs w:val="22"/>
          <w:lang w:val="en-US" w:eastAsia="en-US"/>
        </w:rPr>
        <w:t>Payment terms will be based on project milestones or deliverables.  The Bank does not expect to make advance payments under The Bank wishes to receive the most competitive cost proposal for the services described herein</w:t>
      </w:r>
      <w:r w:rsidR="00D06011" w:rsidRPr="00C03444">
        <w:rPr>
          <w:rFonts w:asciiTheme="minorHAnsi" w:eastAsiaTheme="minorHAnsi" w:hAnsiTheme="minorHAnsi" w:cs="Times New Roman"/>
          <w:i/>
          <w:color w:val="auto"/>
          <w:sz w:val="22"/>
          <w:szCs w:val="22"/>
          <w:lang w:val="en-US" w:eastAsia="en-US"/>
        </w:rPr>
        <w:t>.</w:t>
      </w:r>
      <w:r w:rsidR="003B584D">
        <w:rPr>
          <w:rFonts w:asciiTheme="minorHAnsi" w:eastAsiaTheme="minorHAnsi" w:hAnsiTheme="minorHAnsi" w:cs="Times New Roman"/>
          <w:i/>
          <w:color w:val="auto"/>
          <w:sz w:val="22"/>
          <w:szCs w:val="22"/>
          <w:lang w:val="en-US" w:eastAsia="en-US"/>
        </w:rPr>
        <w:t xml:space="preserve"> All product must be deliverable </w:t>
      </w:r>
    </w:p>
    <w:p w:rsidR="006E62D9" w:rsidRPr="00C42183" w:rsidRDefault="006E62D9" w:rsidP="006E62D9">
      <w:pPr>
        <w:widowControl w:val="0"/>
        <w:shd w:val="clear" w:color="auto" w:fill="FFFFFF"/>
        <w:tabs>
          <w:tab w:val="left" w:pos="990"/>
        </w:tabs>
        <w:spacing w:after="200" w:line="276" w:lineRule="auto"/>
        <w:ind w:left="792" w:right="-10"/>
        <w:contextualSpacing/>
        <w:jc w:val="both"/>
        <w:rPr>
          <w:rFonts w:asciiTheme="minorHAnsi" w:hAnsiTheme="minorHAnsi"/>
          <w:b/>
          <w:sz w:val="22"/>
          <w:szCs w:val="22"/>
        </w:rPr>
      </w:pPr>
    </w:p>
    <w:tbl>
      <w:tblPr>
        <w:tblStyle w:val="TableGrid"/>
        <w:tblW w:w="0" w:type="auto"/>
        <w:tblInd w:w="720" w:type="dxa"/>
        <w:tblLook w:val="04A0" w:firstRow="1" w:lastRow="0" w:firstColumn="1" w:lastColumn="0" w:noHBand="0" w:noVBand="1"/>
      </w:tblPr>
      <w:tblGrid>
        <w:gridCol w:w="3688"/>
        <w:gridCol w:w="1368"/>
      </w:tblGrid>
      <w:tr w:rsidR="008644F0" w:rsidRPr="00C42183" w:rsidTr="008644F0">
        <w:trPr>
          <w:trHeight w:val="218"/>
        </w:trPr>
        <w:tc>
          <w:tcPr>
            <w:tcW w:w="5055" w:type="dxa"/>
            <w:gridSpan w:val="2"/>
          </w:tcPr>
          <w:p w:rsidR="008644F0" w:rsidRPr="008644F0" w:rsidRDefault="008644F0" w:rsidP="008644F0">
            <w:pPr>
              <w:pStyle w:val="ListParagraph"/>
              <w:ind w:left="0" w:right="-10"/>
              <w:jc w:val="center"/>
              <w:rPr>
                <w:rFonts w:asciiTheme="minorHAnsi" w:hAnsiTheme="minorHAnsi"/>
                <w:b/>
                <w:lang w:val="en-US"/>
              </w:rPr>
            </w:pPr>
            <w:r w:rsidRPr="008644F0">
              <w:rPr>
                <w:rFonts w:asciiTheme="minorHAnsi" w:hAnsiTheme="minorHAnsi"/>
                <w:b/>
                <w:lang w:val="en-US"/>
              </w:rPr>
              <w:t>Payment Schedule</w:t>
            </w:r>
          </w:p>
        </w:tc>
      </w:tr>
      <w:tr w:rsidR="00A27784" w:rsidRPr="00C42183" w:rsidTr="008644F0">
        <w:trPr>
          <w:trHeight w:val="149"/>
        </w:trPr>
        <w:tc>
          <w:tcPr>
            <w:tcW w:w="3688" w:type="dxa"/>
          </w:tcPr>
          <w:p w:rsidR="00A27784" w:rsidRPr="008644F0" w:rsidRDefault="008644F0" w:rsidP="008644F0">
            <w:pPr>
              <w:pStyle w:val="ListParagraph"/>
              <w:ind w:right="-10"/>
              <w:jc w:val="center"/>
              <w:rPr>
                <w:rFonts w:asciiTheme="minorHAnsi" w:hAnsiTheme="minorHAnsi"/>
                <w:b/>
                <w:lang w:val="en-US"/>
              </w:rPr>
            </w:pPr>
            <w:r w:rsidRPr="008644F0">
              <w:rPr>
                <w:rFonts w:asciiTheme="minorHAnsi" w:hAnsiTheme="minorHAnsi"/>
                <w:b/>
                <w:i/>
                <w:lang w:val="en-US"/>
              </w:rPr>
              <w:t>Deliverable</w:t>
            </w:r>
            <w:r w:rsidR="007953FD">
              <w:rPr>
                <w:rFonts w:asciiTheme="minorHAnsi" w:hAnsiTheme="minorHAnsi"/>
                <w:b/>
                <w:i/>
                <w:lang w:val="en-US"/>
              </w:rPr>
              <w:t xml:space="preserve"> </w:t>
            </w:r>
          </w:p>
        </w:tc>
        <w:tc>
          <w:tcPr>
            <w:tcW w:w="1368" w:type="dxa"/>
          </w:tcPr>
          <w:p w:rsidR="008644F0" w:rsidRPr="008644F0" w:rsidRDefault="008644F0" w:rsidP="008644F0">
            <w:pPr>
              <w:pStyle w:val="ListParagraph"/>
              <w:ind w:left="0" w:right="-10"/>
              <w:jc w:val="center"/>
              <w:rPr>
                <w:rFonts w:asciiTheme="minorHAnsi" w:hAnsiTheme="minorHAnsi"/>
                <w:b/>
                <w:lang w:val="en-US"/>
              </w:rPr>
            </w:pPr>
            <w:r w:rsidRPr="008644F0">
              <w:rPr>
                <w:rFonts w:asciiTheme="minorHAnsi" w:hAnsiTheme="minorHAnsi"/>
                <w:b/>
                <w:lang w:val="en-US"/>
              </w:rPr>
              <w:t>%</w:t>
            </w:r>
          </w:p>
        </w:tc>
      </w:tr>
      <w:tr w:rsidR="008644F0" w:rsidRPr="00C42183" w:rsidTr="008644F0">
        <w:trPr>
          <w:trHeight w:val="357"/>
        </w:trPr>
        <w:tc>
          <w:tcPr>
            <w:tcW w:w="3688" w:type="dxa"/>
          </w:tcPr>
          <w:p w:rsidR="008644F0" w:rsidRPr="007C59F6" w:rsidRDefault="00EE3FB7" w:rsidP="008A1676">
            <w:pPr>
              <w:pStyle w:val="ListParagraph"/>
              <w:numPr>
                <w:ilvl w:val="0"/>
                <w:numId w:val="2"/>
              </w:numPr>
              <w:ind w:right="-10"/>
              <w:rPr>
                <w:rFonts w:asciiTheme="minorHAnsi" w:hAnsiTheme="minorHAnsi"/>
                <w:lang w:val="en-US"/>
              </w:rPr>
            </w:pPr>
            <w:r w:rsidRPr="007C59F6">
              <w:rPr>
                <w:rFonts w:asciiTheme="minorHAnsi" w:hAnsiTheme="minorHAnsi"/>
                <w:color w:val="4F81BD" w:themeColor="accent1"/>
                <w:lang w:val="en-US"/>
              </w:rPr>
              <w:t xml:space="preserve">Work Plan </w:t>
            </w:r>
          </w:p>
        </w:tc>
        <w:tc>
          <w:tcPr>
            <w:tcW w:w="1368" w:type="dxa"/>
          </w:tcPr>
          <w:p w:rsidR="008644F0" w:rsidRPr="008644F0" w:rsidRDefault="008644F0" w:rsidP="007B5F9F">
            <w:pPr>
              <w:pStyle w:val="ListParagraph"/>
              <w:ind w:left="0" w:right="-10"/>
              <w:rPr>
                <w:rFonts w:asciiTheme="minorHAnsi" w:hAnsiTheme="minorHAnsi"/>
                <w:lang w:val="en-US"/>
              </w:rPr>
            </w:pPr>
            <w:r w:rsidRPr="008644F0">
              <w:rPr>
                <w:rFonts w:asciiTheme="minorHAnsi" w:hAnsiTheme="minorHAnsi"/>
                <w:color w:val="4F81BD" w:themeColor="accent1"/>
                <w:lang w:val="en-US"/>
              </w:rPr>
              <w:t xml:space="preserve">  </w:t>
            </w:r>
            <w:r w:rsidR="00EE3FB7">
              <w:rPr>
                <w:rFonts w:asciiTheme="minorHAnsi" w:hAnsiTheme="minorHAnsi"/>
                <w:color w:val="4F81BD" w:themeColor="accent1"/>
                <w:lang w:val="en-US"/>
              </w:rPr>
              <w:t>15</w:t>
            </w:r>
            <w:r w:rsidRPr="008644F0">
              <w:rPr>
                <w:rFonts w:asciiTheme="minorHAnsi" w:hAnsiTheme="minorHAnsi"/>
                <w:color w:val="4F81BD" w:themeColor="accent1"/>
                <w:lang w:val="en-US"/>
              </w:rPr>
              <w:t>%</w:t>
            </w:r>
          </w:p>
        </w:tc>
      </w:tr>
      <w:tr w:rsidR="008644F0" w:rsidRPr="00C42183" w:rsidTr="008644F0">
        <w:trPr>
          <w:trHeight w:val="308"/>
        </w:trPr>
        <w:tc>
          <w:tcPr>
            <w:tcW w:w="3688" w:type="dxa"/>
          </w:tcPr>
          <w:p w:rsidR="008644F0" w:rsidRPr="007C59F6" w:rsidRDefault="00EE3FB7" w:rsidP="007B5F9F">
            <w:pPr>
              <w:pStyle w:val="ListParagraph"/>
              <w:numPr>
                <w:ilvl w:val="0"/>
                <w:numId w:val="2"/>
              </w:numPr>
              <w:ind w:right="-10"/>
              <w:rPr>
                <w:rFonts w:asciiTheme="minorHAnsi" w:hAnsiTheme="minorHAnsi"/>
                <w:lang w:val="en-US"/>
              </w:rPr>
            </w:pPr>
            <w:r w:rsidRPr="007C59F6">
              <w:rPr>
                <w:rFonts w:asciiTheme="minorHAnsi" w:hAnsiTheme="minorHAnsi"/>
                <w:color w:val="4F81BD" w:themeColor="accent1"/>
                <w:lang w:val="en-US"/>
              </w:rPr>
              <w:t xml:space="preserve">Mid-term report </w:t>
            </w:r>
          </w:p>
        </w:tc>
        <w:tc>
          <w:tcPr>
            <w:tcW w:w="1368" w:type="dxa"/>
          </w:tcPr>
          <w:p w:rsidR="008644F0" w:rsidRPr="008644F0" w:rsidRDefault="008644F0" w:rsidP="007B5F9F">
            <w:pPr>
              <w:pStyle w:val="ListParagraph"/>
              <w:ind w:left="0" w:right="-10"/>
              <w:rPr>
                <w:rFonts w:asciiTheme="minorHAnsi" w:hAnsiTheme="minorHAnsi"/>
                <w:lang w:val="en-US"/>
              </w:rPr>
            </w:pPr>
            <w:r w:rsidRPr="008644F0">
              <w:rPr>
                <w:rFonts w:asciiTheme="minorHAnsi" w:hAnsiTheme="minorHAnsi"/>
                <w:color w:val="4F81BD" w:themeColor="accent1"/>
                <w:lang w:val="en-US"/>
              </w:rPr>
              <w:t xml:space="preserve">  </w:t>
            </w:r>
            <w:r w:rsidR="00EE3FB7">
              <w:rPr>
                <w:rFonts w:asciiTheme="minorHAnsi" w:hAnsiTheme="minorHAnsi"/>
                <w:color w:val="4F81BD" w:themeColor="accent1"/>
                <w:lang w:val="en-US"/>
              </w:rPr>
              <w:t>35</w:t>
            </w:r>
            <w:r w:rsidRPr="008644F0">
              <w:rPr>
                <w:rFonts w:asciiTheme="minorHAnsi" w:hAnsiTheme="minorHAnsi"/>
                <w:color w:val="4F81BD" w:themeColor="accent1"/>
                <w:lang w:val="en-US"/>
              </w:rPr>
              <w:t>%</w:t>
            </w:r>
          </w:p>
        </w:tc>
      </w:tr>
      <w:tr w:rsidR="008644F0" w:rsidRPr="00C42183" w:rsidTr="008644F0">
        <w:trPr>
          <w:trHeight w:val="298"/>
        </w:trPr>
        <w:tc>
          <w:tcPr>
            <w:tcW w:w="3688" w:type="dxa"/>
          </w:tcPr>
          <w:p w:rsidR="008644F0" w:rsidRPr="007C59F6" w:rsidRDefault="00EE3FB7" w:rsidP="007B5F9F">
            <w:pPr>
              <w:pStyle w:val="ListParagraph"/>
              <w:numPr>
                <w:ilvl w:val="0"/>
                <w:numId w:val="2"/>
              </w:numPr>
              <w:ind w:right="-10"/>
              <w:rPr>
                <w:rFonts w:asciiTheme="minorHAnsi" w:hAnsiTheme="minorHAnsi"/>
                <w:lang w:val="en-US"/>
              </w:rPr>
            </w:pPr>
            <w:r w:rsidRPr="007C59F6">
              <w:rPr>
                <w:rFonts w:asciiTheme="minorHAnsi" w:hAnsiTheme="minorHAnsi"/>
                <w:color w:val="4F81BD" w:themeColor="accent1"/>
                <w:lang w:val="en-US"/>
              </w:rPr>
              <w:t xml:space="preserve">Final Report </w:t>
            </w:r>
          </w:p>
        </w:tc>
        <w:tc>
          <w:tcPr>
            <w:tcW w:w="1368" w:type="dxa"/>
          </w:tcPr>
          <w:p w:rsidR="008644F0" w:rsidRPr="008644F0" w:rsidRDefault="008644F0" w:rsidP="007B5F9F">
            <w:pPr>
              <w:pStyle w:val="ListParagraph"/>
              <w:ind w:left="0" w:right="-10"/>
              <w:rPr>
                <w:rFonts w:asciiTheme="minorHAnsi" w:hAnsiTheme="minorHAnsi"/>
                <w:lang w:val="en-US"/>
              </w:rPr>
            </w:pPr>
            <w:r w:rsidRPr="008644F0">
              <w:rPr>
                <w:rFonts w:asciiTheme="minorHAnsi" w:hAnsiTheme="minorHAnsi"/>
                <w:color w:val="4F81BD" w:themeColor="accent1"/>
                <w:lang w:val="en-US"/>
              </w:rPr>
              <w:t xml:space="preserve">  </w:t>
            </w:r>
            <w:r w:rsidR="00EE3FB7">
              <w:rPr>
                <w:rFonts w:asciiTheme="minorHAnsi" w:hAnsiTheme="minorHAnsi"/>
                <w:color w:val="4F81BD" w:themeColor="accent1"/>
                <w:lang w:val="en-US"/>
              </w:rPr>
              <w:t>50</w:t>
            </w:r>
            <w:r w:rsidRPr="008644F0">
              <w:rPr>
                <w:rFonts w:asciiTheme="minorHAnsi" w:hAnsiTheme="minorHAnsi"/>
                <w:color w:val="4F81BD" w:themeColor="accent1"/>
                <w:lang w:val="en-US"/>
              </w:rPr>
              <w:t>%</w:t>
            </w:r>
          </w:p>
        </w:tc>
      </w:tr>
      <w:tr w:rsidR="00A27784" w:rsidTr="008644F0">
        <w:trPr>
          <w:trHeight w:val="158"/>
        </w:trPr>
        <w:tc>
          <w:tcPr>
            <w:tcW w:w="3688" w:type="dxa"/>
          </w:tcPr>
          <w:p w:rsidR="00A27784" w:rsidRPr="00C42183" w:rsidRDefault="00A27784" w:rsidP="007B5F9F">
            <w:pPr>
              <w:pStyle w:val="ListParagraph"/>
              <w:ind w:left="0" w:right="-10"/>
              <w:jc w:val="right"/>
              <w:rPr>
                <w:rFonts w:asciiTheme="minorHAnsi" w:hAnsiTheme="minorHAnsi"/>
                <w:b/>
              </w:rPr>
            </w:pPr>
            <w:r w:rsidRPr="00C42183">
              <w:rPr>
                <w:rFonts w:asciiTheme="minorHAnsi" w:hAnsiTheme="minorHAnsi"/>
                <w:b/>
              </w:rPr>
              <w:t>TOTAL</w:t>
            </w:r>
          </w:p>
        </w:tc>
        <w:tc>
          <w:tcPr>
            <w:tcW w:w="1368" w:type="dxa"/>
          </w:tcPr>
          <w:p w:rsidR="00A27784" w:rsidRPr="003D00AE" w:rsidRDefault="008644F0" w:rsidP="007B5F9F">
            <w:pPr>
              <w:pStyle w:val="ListParagraph"/>
              <w:ind w:left="0" w:right="-10"/>
              <w:rPr>
                <w:rFonts w:asciiTheme="minorHAnsi" w:hAnsiTheme="minorHAnsi"/>
                <w:b/>
              </w:rPr>
            </w:pPr>
            <w:r>
              <w:rPr>
                <w:rFonts w:asciiTheme="minorHAnsi" w:hAnsiTheme="minorHAnsi"/>
              </w:rPr>
              <w:t>100%</w:t>
            </w:r>
          </w:p>
        </w:tc>
      </w:tr>
    </w:tbl>
    <w:p w:rsidR="00A27784" w:rsidRPr="007953FD" w:rsidRDefault="00A27784">
      <w:pPr>
        <w:rPr>
          <w:rFonts w:asciiTheme="minorHAnsi" w:eastAsiaTheme="minorHAnsi" w:hAnsiTheme="minorHAnsi" w:cs="Arial"/>
          <w:color w:val="000000"/>
          <w:sz w:val="22"/>
          <w:szCs w:val="22"/>
          <w:lang w:eastAsia="es-AR"/>
        </w:rPr>
      </w:pPr>
    </w:p>
    <w:p w:rsidR="00C03444" w:rsidRPr="00C03444" w:rsidRDefault="007953FD" w:rsidP="00C03444">
      <w:pPr>
        <w:pStyle w:val="BodyTextIndent3"/>
        <w:numPr>
          <w:ilvl w:val="1"/>
          <w:numId w:val="1"/>
        </w:numPr>
        <w:tabs>
          <w:tab w:val="left" w:pos="1080"/>
        </w:tabs>
        <w:suppressAutoHyphens/>
        <w:textAlignment w:val="baseline"/>
        <w:rPr>
          <w:rFonts w:asciiTheme="minorHAnsi" w:eastAsiaTheme="minorHAnsi" w:hAnsiTheme="minorHAnsi" w:cs="Times New Roman"/>
          <w:i/>
          <w:color w:val="auto"/>
          <w:sz w:val="22"/>
          <w:szCs w:val="22"/>
          <w:lang w:val="en-US" w:eastAsia="en-US"/>
        </w:rPr>
      </w:pPr>
      <w:r w:rsidRPr="00C03444">
        <w:rPr>
          <w:rFonts w:asciiTheme="minorHAnsi" w:eastAsiaTheme="minorHAnsi" w:hAnsiTheme="minorHAnsi" w:cs="Times New Roman"/>
          <w:i/>
          <w:color w:val="auto"/>
          <w:sz w:val="22"/>
          <w:szCs w:val="22"/>
          <w:lang w:val="en-US" w:eastAsia="en-US"/>
        </w:rPr>
        <w:t>All deliverables shall be submitted to the IDBG</w:t>
      </w:r>
      <w:r w:rsidR="00C03444" w:rsidRPr="00C03444">
        <w:rPr>
          <w:rFonts w:asciiTheme="minorHAnsi" w:eastAsiaTheme="minorHAnsi" w:hAnsiTheme="minorHAnsi" w:cs="Times New Roman"/>
          <w:i/>
          <w:color w:val="auto"/>
          <w:sz w:val="22"/>
          <w:szCs w:val="22"/>
          <w:lang w:val="en-US" w:eastAsia="en-US"/>
        </w:rPr>
        <w:t xml:space="preserve">. </w:t>
      </w:r>
    </w:p>
    <w:p w:rsidR="00C03444" w:rsidRPr="00C03444" w:rsidRDefault="00C03444" w:rsidP="00C03444">
      <w:pPr>
        <w:pStyle w:val="BodyTextIndent3"/>
        <w:numPr>
          <w:ilvl w:val="1"/>
          <w:numId w:val="1"/>
        </w:numPr>
        <w:tabs>
          <w:tab w:val="left" w:pos="1080"/>
        </w:tabs>
        <w:suppressAutoHyphens/>
        <w:textAlignment w:val="baseline"/>
        <w:rPr>
          <w:rFonts w:asciiTheme="minorHAnsi" w:eastAsiaTheme="minorHAnsi" w:hAnsiTheme="minorHAnsi" w:cs="Times New Roman"/>
          <w:i/>
          <w:color w:val="auto"/>
          <w:sz w:val="22"/>
          <w:szCs w:val="22"/>
          <w:lang w:val="en-US" w:eastAsia="en-US"/>
        </w:rPr>
      </w:pPr>
      <w:r w:rsidRPr="00C03444">
        <w:rPr>
          <w:rFonts w:asciiTheme="minorHAnsi" w:eastAsiaTheme="minorHAnsi" w:hAnsiTheme="minorHAnsi" w:cs="Times New Roman"/>
          <w:i/>
          <w:color w:val="auto"/>
          <w:sz w:val="22"/>
          <w:szCs w:val="22"/>
          <w:lang w:val="en-US" w:eastAsia="en-US"/>
        </w:rPr>
        <w:t>Every report must be submitted to the Bank in an electronic file. The report should include cover, main document, and all annexes. Zip files will not be accepted as final reports, due to Records Management Section regulations.</w:t>
      </w:r>
    </w:p>
    <w:p w:rsidR="00C03444" w:rsidRPr="007953FD" w:rsidRDefault="00C03444">
      <w:pPr>
        <w:rPr>
          <w:rFonts w:asciiTheme="minorHAnsi" w:eastAsiaTheme="minorHAnsi" w:hAnsiTheme="minorHAnsi" w:cs="Arial"/>
          <w:color w:val="000000"/>
          <w:sz w:val="22"/>
          <w:szCs w:val="22"/>
          <w:lang w:eastAsia="es-AR"/>
        </w:rPr>
      </w:pPr>
    </w:p>
    <w:sectPr w:rsidR="00C03444" w:rsidRPr="007953F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59D6" w:rsidRDefault="006059D6" w:rsidP="00A27784">
      <w:r>
        <w:separator/>
      </w:r>
    </w:p>
  </w:endnote>
  <w:endnote w:type="continuationSeparator" w:id="0">
    <w:p w:rsidR="006059D6" w:rsidRDefault="006059D6"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860735"/>
      <w:docPartObj>
        <w:docPartGallery w:val="Page Numbers (Bottom of Page)"/>
        <w:docPartUnique/>
      </w:docPartObj>
    </w:sdtPr>
    <w:sdtEndPr>
      <w:rPr>
        <w:noProof/>
      </w:rPr>
    </w:sdtEndPr>
    <w:sdtContent>
      <w:p w:rsidR="007B5F9F" w:rsidRDefault="007B5F9F" w:rsidP="006E62D9">
        <w:pPr>
          <w:pStyle w:val="Foot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Terms of Reference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59D6" w:rsidRDefault="006059D6" w:rsidP="00A27784">
      <w:r>
        <w:separator/>
      </w:r>
    </w:p>
  </w:footnote>
  <w:footnote w:type="continuationSeparator" w:id="0">
    <w:p w:rsidR="006059D6" w:rsidRDefault="006059D6" w:rsidP="00A2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F9F" w:rsidRDefault="007B5F9F" w:rsidP="003277B0">
    <w:pPr>
      <w:pStyle w:val="Header"/>
    </w:pPr>
    <w:r>
      <w:rPr>
        <w:noProof/>
      </w:rPr>
      <w:drawing>
        <wp:inline distT="0" distB="0" distL="0" distR="0" wp14:anchorId="5A59F9F4" wp14:editId="48D6F5E2">
          <wp:extent cx="1476375" cy="37449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Pr>
        <w:i/>
        <w:color w:val="4F81BD" w:themeColor="accent1"/>
      </w:rPr>
      <w:t xml:space="preserve">                                                                                 </w:t>
    </w:r>
  </w:p>
  <w:p w:rsidR="007B5F9F" w:rsidRPr="006E62D9" w:rsidRDefault="007B5F9F">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5BC6"/>
    <w:multiLevelType w:val="hybridMultilevel"/>
    <w:tmpl w:val="A5ECDF0A"/>
    <w:lvl w:ilvl="0" w:tplc="67DE14EA">
      <w:start w:val="3"/>
      <w:numFmt w:val="bullet"/>
      <w:lvlText w:val=""/>
      <w:lvlJc w:val="left"/>
      <w:pPr>
        <w:ind w:left="1152" w:hanging="360"/>
      </w:pPr>
      <w:rPr>
        <w:rFonts w:ascii="Symbol" w:eastAsia="Times New Roman" w:hAnsi="Symbol"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104305F"/>
    <w:multiLevelType w:val="hybridMultilevel"/>
    <w:tmpl w:val="CC14B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3E571AF"/>
    <w:multiLevelType w:val="hybridMultilevel"/>
    <w:tmpl w:val="4BB84070"/>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 w15:restartNumberingAfterBreak="0">
    <w:nsid w:val="1A166C13"/>
    <w:multiLevelType w:val="multilevel"/>
    <w:tmpl w:val="62E460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956BEC"/>
    <w:multiLevelType w:val="multilevel"/>
    <w:tmpl w:val="1BC267AE"/>
    <w:lvl w:ilvl="0">
      <w:start w:val="3"/>
      <w:numFmt w:val="decimal"/>
      <w:lvlText w:val="%1"/>
      <w:lvlJc w:val="left"/>
      <w:pPr>
        <w:ind w:left="360" w:hanging="360"/>
      </w:pPr>
      <w:rPr>
        <w:rFonts w:ascii="Arial" w:eastAsia="Times New Roman" w:hAnsi="Arial" w:hint="default"/>
        <w:i w:val="0"/>
        <w:sz w:val="20"/>
      </w:rPr>
    </w:lvl>
    <w:lvl w:ilvl="1">
      <w:start w:val="4"/>
      <w:numFmt w:val="decimal"/>
      <w:lvlText w:val="%1.%2"/>
      <w:lvlJc w:val="left"/>
      <w:pPr>
        <w:ind w:left="360" w:hanging="360"/>
      </w:pPr>
      <w:rPr>
        <w:rFonts w:ascii="Arial" w:eastAsia="Times New Roman" w:hAnsi="Arial" w:hint="default"/>
        <w:i w:val="0"/>
        <w:sz w:val="20"/>
      </w:rPr>
    </w:lvl>
    <w:lvl w:ilvl="2">
      <w:start w:val="1"/>
      <w:numFmt w:val="decimal"/>
      <w:lvlText w:val="%1.%2.%3"/>
      <w:lvlJc w:val="left"/>
      <w:pPr>
        <w:ind w:left="720" w:hanging="720"/>
      </w:pPr>
      <w:rPr>
        <w:rFonts w:ascii="Arial" w:eastAsia="Times New Roman" w:hAnsi="Arial" w:hint="default"/>
        <w:i w:val="0"/>
        <w:sz w:val="20"/>
      </w:rPr>
    </w:lvl>
    <w:lvl w:ilvl="3">
      <w:start w:val="1"/>
      <w:numFmt w:val="decimal"/>
      <w:lvlText w:val="%1.%2.%3.%4"/>
      <w:lvlJc w:val="left"/>
      <w:pPr>
        <w:ind w:left="720" w:hanging="720"/>
      </w:pPr>
      <w:rPr>
        <w:rFonts w:ascii="Arial" w:eastAsia="Times New Roman" w:hAnsi="Arial" w:hint="default"/>
        <w:i w:val="0"/>
        <w:sz w:val="20"/>
      </w:rPr>
    </w:lvl>
    <w:lvl w:ilvl="4">
      <w:start w:val="1"/>
      <w:numFmt w:val="decimal"/>
      <w:lvlText w:val="%1.%2.%3.%4.%5"/>
      <w:lvlJc w:val="left"/>
      <w:pPr>
        <w:ind w:left="1080" w:hanging="1080"/>
      </w:pPr>
      <w:rPr>
        <w:rFonts w:ascii="Arial" w:eastAsia="Times New Roman" w:hAnsi="Arial" w:hint="default"/>
        <w:i w:val="0"/>
        <w:sz w:val="20"/>
      </w:rPr>
    </w:lvl>
    <w:lvl w:ilvl="5">
      <w:start w:val="1"/>
      <w:numFmt w:val="decimal"/>
      <w:lvlText w:val="%1.%2.%3.%4.%5.%6"/>
      <w:lvlJc w:val="left"/>
      <w:pPr>
        <w:ind w:left="1080" w:hanging="1080"/>
      </w:pPr>
      <w:rPr>
        <w:rFonts w:ascii="Arial" w:eastAsia="Times New Roman" w:hAnsi="Arial" w:hint="default"/>
        <w:i w:val="0"/>
        <w:sz w:val="20"/>
      </w:rPr>
    </w:lvl>
    <w:lvl w:ilvl="6">
      <w:start w:val="1"/>
      <w:numFmt w:val="decimal"/>
      <w:lvlText w:val="%1.%2.%3.%4.%5.%6.%7"/>
      <w:lvlJc w:val="left"/>
      <w:pPr>
        <w:ind w:left="1440" w:hanging="1440"/>
      </w:pPr>
      <w:rPr>
        <w:rFonts w:ascii="Arial" w:eastAsia="Times New Roman" w:hAnsi="Arial" w:hint="default"/>
        <w:i w:val="0"/>
        <w:sz w:val="20"/>
      </w:rPr>
    </w:lvl>
    <w:lvl w:ilvl="7">
      <w:start w:val="1"/>
      <w:numFmt w:val="decimal"/>
      <w:lvlText w:val="%1.%2.%3.%4.%5.%6.%7.%8"/>
      <w:lvlJc w:val="left"/>
      <w:pPr>
        <w:ind w:left="1440" w:hanging="1440"/>
      </w:pPr>
      <w:rPr>
        <w:rFonts w:ascii="Arial" w:eastAsia="Times New Roman" w:hAnsi="Arial" w:hint="default"/>
        <w:i w:val="0"/>
        <w:sz w:val="20"/>
      </w:rPr>
    </w:lvl>
    <w:lvl w:ilvl="8">
      <w:start w:val="1"/>
      <w:numFmt w:val="decimal"/>
      <w:lvlText w:val="%1.%2.%3.%4.%5.%6.%7.%8.%9"/>
      <w:lvlJc w:val="left"/>
      <w:pPr>
        <w:ind w:left="1440" w:hanging="1440"/>
      </w:pPr>
      <w:rPr>
        <w:rFonts w:ascii="Arial" w:eastAsia="Times New Roman" w:hAnsi="Arial" w:hint="default"/>
        <w:i w:val="0"/>
        <w:sz w:val="20"/>
      </w:rPr>
    </w:lvl>
  </w:abstractNum>
  <w:abstractNum w:abstractNumId="6" w15:restartNumberingAfterBreak="0">
    <w:nsid w:val="34FE2020"/>
    <w:multiLevelType w:val="hybridMultilevel"/>
    <w:tmpl w:val="5F64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2D1E17"/>
    <w:multiLevelType w:val="multilevel"/>
    <w:tmpl w:val="7A569F2A"/>
    <w:lvl w:ilvl="0">
      <w:start w:val="3"/>
      <w:numFmt w:val="decimal"/>
      <w:lvlText w:val="%1"/>
      <w:lvlJc w:val="left"/>
      <w:pPr>
        <w:ind w:left="360" w:hanging="360"/>
      </w:pPr>
      <w:rPr>
        <w:rFonts w:ascii="Arial" w:eastAsia="Times New Roman" w:hAnsi="Arial" w:hint="default"/>
        <w:i w:val="0"/>
        <w:sz w:val="20"/>
      </w:rPr>
    </w:lvl>
    <w:lvl w:ilvl="1">
      <w:start w:val="1"/>
      <w:numFmt w:val="decimal"/>
      <w:lvlText w:val="%1.%2"/>
      <w:lvlJc w:val="left"/>
      <w:pPr>
        <w:ind w:left="360" w:hanging="360"/>
      </w:pPr>
      <w:rPr>
        <w:rFonts w:ascii="Arial" w:eastAsia="Times New Roman" w:hAnsi="Arial" w:hint="default"/>
        <w:i/>
        <w:sz w:val="20"/>
      </w:rPr>
    </w:lvl>
    <w:lvl w:ilvl="2">
      <w:start w:val="1"/>
      <w:numFmt w:val="decimal"/>
      <w:lvlText w:val="%1.%2.%3"/>
      <w:lvlJc w:val="left"/>
      <w:pPr>
        <w:ind w:left="720" w:hanging="720"/>
      </w:pPr>
      <w:rPr>
        <w:rFonts w:ascii="Arial" w:eastAsia="Times New Roman" w:hAnsi="Arial" w:hint="default"/>
        <w:i w:val="0"/>
        <w:sz w:val="20"/>
      </w:rPr>
    </w:lvl>
    <w:lvl w:ilvl="3">
      <w:start w:val="1"/>
      <w:numFmt w:val="decimal"/>
      <w:lvlText w:val="%1.%2.%3.%4"/>
      <w:lvlJc w:val="left"/>
      <w:pPr>
        <w:ind w:left="720" w:hanging="720"/>
      </w:pPr>
      <w:rPr>
        <w:rFonts w:ascii="Arial" w:eastAsia="Times New Roman" w:hAnsi="Arial" w:hint="default"/>
        <w:i w:val="0"/>
        <w:sz w:val="20"/>
      </w:rPr>
    </w:lvl>
    <w:lvl w:ilvl="4">
      <w:start w:val="1"/>
      <w:numFmt w:val="decimal"/>
      <w:lvlText w:val="%1.%2.%3.%4.%5"/>
      <w:lvlJc w:val="left"/>
      <w:pPr>
        <w:ind w:left="1080" w:hanging="1080"/>
      </w:pPr>
      <w:rPr>
        <w:rFonts w:ascii="Arial" w:eastAsia="Times New Roman" w:hAnsi="Arial" w:hint="default"/>
        <w:i w:val="0"/>
        <w:sz w:val="20"/>
      </w:rPr>
    </w:lvl>
    <w:lvl w:ilvl="5">
      <w:start w:val="1"/>
      <w:numFmt w:val="decimal"/>
      <w:lvlText w:val="%1.%2.%3.%4.%5.%6"/>
      <w:lvlJc w:val="left"/>
      <w:pPr>
        <w:ind w:left="1080" w:hanging="1080"/>
      </w:pPr>
      <w:rPr>
        <w:rFonts w:ascii="Arial" w:eastAsia="Times New Roman" w:hAnsi="Arial" w:hint="default"/>
        <w:i w:val="0"/>
        <w:sz w:val="20"/>
      </w:rPr>
    </w:lvl>
    <w:lvl w:ilvl="6">
      <w:start w:val="1"/>
      <w:numFmt w:val="decimal"/>
      <w:lvlText w:val="%1.%2.%3.%4.%5.%6.%7"/>
      <w:lvlJc w:val="left"/>
      <w:pPr>
        <w:ind w:left="1440" w:hanging="1440"/>
      </w:pPr>
      <w:rPr>
        <w:rFonts w:ascii="Arial" w:eastAsia="Times New Roman" w:hAnsi="Arial" w:hint="default"/>
        <w:i w:val="0"/>
        <w:sz w:val="20"/>
      </w:rPr>
    </w:lvl>
    <w:lvl w:ilvl="7">
      <w:start w:val="1"/>
      <w:numFmt w:val="decimal"/>
      <w:lvlText w:val="%1.%2.%3.%4.%5.%6.%7.%8"/>
      <w:lvlJc w:val="left"/>
      <w:pPr>
        <w:ind w:left="1440" w:hanging="1440"/>
      </w:pPr>
      <w:rPr>
        <w:rFonts w:ascii="Arial" w:eastAsia="Times New Roman" w:hAnsi="Arial" w:hint="default"/>
        <w:i w:val="0"/>
        <w:sz w:val="20"/>
      </w:rPr>
    </w:lvl>
    <w:lvl w:ilvl="8">
      <w:start w:val="1"/>
      <w:numFmt w:val="decimal"/>
      <w:lvlText w:val="%1.%2.%3.%4.%5.%6.%7.%8.%9"/>
      <w:lvlJc w:val="left"/>
      <w:pPr>
        <w:ind w:left="1440" w:hanging="1440"/>
      </w:pPr>
      <w:rPr>
        <w:rFonts w:ascii="Arial" w:eastAsia="Times New Roman" w:hAnsi="Arial" w:hint="default"/>
        <w:i w:val="0"/>
        <w:sz w:val="20"/>
      </w:rPr>
    </w:lvl>
  </w:abstractNum>
  <w:abstractNum w:abstractNumId="8"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5BE06616"/>
    <w:multiLevelType w:val="hybridMultilevel"/>
    <w:tmpl w:val="306CF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52808CF"/>
    <w:multiLevelType w:val="multilevel"/>
    <w:tmpl w:val="B36CBB6C"/>
    <w:lvl w:ilvl="0">
      <w:start w:val="1"/>
      <w:numFmt w:val="decimal"/>
      <w:lvlText w:val="%1"/>
      <w:lvlJc w:val="left"/>
      <w:pPr>
        <w:ind w:left="360" w:hanging="360"/>
      </w:pPr>
      <w:rPr>
        <w:rFonts w:hint="default"/>
        <w:b w:val="0"/>
        <w:i/>
        <w:u w:val="none"/>
      </w:rPr>
    </w:lvl>
    <w:lvl w:ilvl="1">
      <w:start w:val="8"/>
      <w:numFmt w:val="decimal"/>
      <w:lvlText w:val="%1.%2"/>
      <w:lvlJc w:val="left"/>
      <w:pPr>
        <w:ind w:left="360" w:hanging="360"/>
      </w:pPr>
      <w:rPr>
        <w:rFonts w:hint="default"/>
        <w:b/>
        <w:i/>
        <w:u w:val="none"/>
      </w:rPr>
    </w:lvl>
    <w:lvl w:ilvl="2">
      <w:start w:val="1"/>
      <w:numFmt w:val="decimal"/>
      <w:lvlText w:val="%1.%2.%3"/>
      <w:lvlJc w:val="left"/>
      <w:pPr>
        <w:ind w:left="720" w:hanging="720"/>
      </w:pPr>
      <w:rPr>
        <w:rFonts w:hint="default"/>
        <w:b w:val="0"/>
        <w:i/>
        <w:u w:val="none"/>
      </w:rPr>
    </w:lvl>
    <w:lvl w:ilvl="3">
      <w:start w:val="1"/>
      <w:numFmt w:val="decimal"/>
      <w:lvlText w:val="%1.%2.%3.%4"/>
      <w:lvlJc w:val="left"/>
      <w:pPr>
        <w:ind w:left="720" w:hanging="720"/>
      </w:pPr>
      <w:rPr>
        <w:rFonts w:hint="default"/>
        <w:b w:val="0"/>
        <w:i/>
        <w:u w:val="none"/>
      </w:rPr>
    </w:lvl>
    <w:lvl w:ilvl="4">
      <w:start w:val="1"/>
      <w:numFmt w:val="decimal"/>
      <w:lvlText w:val="%1.%2.%3.%4.%5"/>
      <w:lvlJc w:val="left"/>
      <w:pPr>
        <w:ind w:left="1080" w:hanging="1080"/>
      </w:pPr>
      <w:rPr>
        <w:rFonts w:hint="default"/>
        <w:b w:val="0"/>
        <w:i/>
        <w:u w:val="none"/>
      </w:rPr>
    </w:lvl>
    <w:lvl w:ilvl="5">
      <w:start w:val="1"/>
      <w:numFmt w:val="decimal"/>
      <w:lvlText w:val="%1.%2.%3.%4.%5.%6"/>
      <w:lvlJc w:val="left"/>
      <w:pPr>
        <w:ind w:left="1080" w:hanging="1080"/>
      </w:pPr>
      <w:rPr>
        <w:rFonts w:hint="default"/>
        <w:b w:val="0"/>
        <w:i/>
        <w:u w:val="none"/>
      </w:rPr>
    </w:lvl>
    <w:lvl w:ilvl="6">
      <w:start w:val="1"/>
      <w:numFmt w:val="decimal"/>
      <w:lvlText w:val="%1.%2.%3.%4.%5.%6.%7"/>
      <w:lvlJc w:val="left"/>
      <w:pPr>
        <w:ind w:left="1440" w:hanging="1440"/>
      </w:pPr>
      <w:rPr>
        <w:rFonts w:hint="default"/>
        <w:b w:val="0"/>
        <w:i/>
        <w:u w:val="none"/>
      </w:rPr>
    </w:lvl>
    <w:lvl w:ilvl="7">
      <w:start w:val="1"/>
      <w:numFmt w:val="decimal"/>
      <w:lvlText w:val="%1.%2.%3.%4.%5.%6.%7.%8"/>
      <w:lvlJc w:val="left"/>
      <w:pPr>
        <w:ind w:left="1440" w:hanging="1440"/>
      </w:pPr>
      <w:rPr>
        <w:rFonts w:hint="default"/>
        <w:b w:val="0"/>
        <w:i/>
        <w:u w:val="none"/>
      </w:rPr>
    </w:lvl>
    <w:lvl w:ilvl="8">
      <w:start w:val="1"/>
      <w:numFmt w:val="decimal"/>
      <w:lvlText w:val="%1.%2.%3.%4.%5.%6.%7.%8.%9"/>
      <w:lvlJc w:val="left"/>
      <w:pPr>
        <w:ind w:left="1800" w:hanging="1800"/>
      </w:pPr>
      <w:rPr>
        <w:rFonts w:hint="default"/>
        <w:b w:val="0"/>
        <w:i/>
        <w:u w:val="none"/>
      </w:rPr>
    </w:lvl>
  </w:abstractNum>
  <w:abstractNum w:abstractNumId="12" w15:restartNumberingAfterBreak="0">
    <w:nsid w:val="6AE367B2"/>
    <w:multiLevelType w:val="hybridMultilevel"/>
    <w:tmpl w:val="C840CE34"/>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3"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D10E90"/>
    <w:multiLevelType w:val="hybridMultilevel"/>
    <w:tmpl w:val="9C24B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13"/>
  </w:num>
  <w:num w:numId="4">
    <w:abstractNumId w:val="8"/>
  </w:num>
  <w:num w:numId="5">
    <w:abstractNumId w:val="9"/>
  </w:num>
  <w:num w:numId="6">
    <w:abstractNumId w:val="14"/>
  </w:num>
  <w:num w:numId="7">
    <w:abstractNumId w:val="11"/>
  </w:num>
  <w:num w:numId="8">
    <w:abstractNumId w:val="12"/>
  </w:num>
  <w:num w:numId="9">
    <w:abstractNumId w:val="6"/>
  </w:num>
  <w:num w:numId="10">
    <w:abstractNumId w:val="0"/>
  </w:num>
  <w:num w:numId="11">
    <w:abstractNumId w:val="1"/>
  </w:num>
  <w:num w:numId="12">
    <w:abstractNumId w:val="3"/>
  </w:num>
  <w:num w:numId="13">
    <w:abstractNumId w:val="5"/>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784"/>
    <w:rsid w:val="0002712E"/>
    <w:rsid w:val="00031CBB"/>
    <w:rsid w:val="00067974"/>
    <w:rsid w:val="000E619F"/>
    <w:rsid w:val="00136E9B"/>
    <w:rsid w:val="00152A01"/>
    <w:rsid w:val="00212686"/>
    <w:rsid w:val="00223E66"/>
    <w:rsid w:val="002565D1"/>
    <w:rsid w:val="00291116"/>
    <w:rsid w:val="002D3787"/>
    <w:rsid w:val="003277B0"/>
    <w:rsid w:val="00382472"/>
    <w:rsid w:val="00386A96"/>
    <w:rsid w:val="003872FB"/>
    <w:rsid w:val="003B584D"/>
    <w:rsid w:val="003E1627"/>
    <w:rsid w:val="00460FE2"/>
    <w:rsid w:val="00542605"/>
    <w:rsid w:val="00564AB4"/>
    <w:rsid w:val="0059376B"/>
    <w:rsid w:val="005972FF"/>
    <w:rsid w:val="005F05C6"/>
    <w:rsid w:val="006059D6"/>
    <w:rsid w:val="00615112"/>
    <w:rsid w:val="0066187B"/>
    <w:rsid w:val="006746E4"/>
    <w:rsid w:val="00680876"/>
    <w:rsid w:val="006A2CD4"/>
    <w:rsid w:val="006E62D9"/>
    <w:rsid w:val="00706759"/>
    <w:rsid w:val="00722C93"/>
    <w:rsid w:val="00775C03"/>
    <w:rsid w:val="007953FD"/>
    <w:rsid w:val="007B5F9F"/>
    <w:rsid w:val="007C59F6"/>
    <w:rsid w:val="008644F0"/>
    <w:rsid w:val="008A1676"/>
    <w:rsid w:val="008B331F"/>
    <w:rsid w:val="0090366A"/>
    <w:rsid w:val="00910C7F"/>
    <w:rsid w:val="00912C80"/>
    <w:rsid w:val="0099676C"/>
    <w:rsid w:val="009A543F"/>
    <w:rsid w:val="009B0B22"/>
    <w:rsid w:val="009E0007"/>
    <w:rsid w:val="00A27784"/>
    <w:rsid w:val="00A537CC"/>
    <w:rsid w:val="00A94ACB"/>
    <w:rsid w:val="00A95165"/>
    <w:rsid w:val="00AA59E8"/>
    <w:rsid w:val="00AD738C"/>
    <w:rsid w:val="00B120DE"/>
    <w:rsid w:val="00B16AAA"/>
    <w:rsid w:val="00B47990"/>
    <w:rsid w:val="00B601A3"/>
    <w:rsid w:val="00B60E45"/>
    <w:rsid w:val="00B843C3"/>
    <w:rsid w:val="00BD3D8A"/>
    <w:rsid w:val="00BE1FDB"/>
    <w:rsid w:val="00C03444"/>
    <w:rsid w:val="00C245C4"/>
    <w:rsid w:val="00C30DC7"/>
    <w:rsid w:val="00C85466"/>
    <w:rsid w:val="00C90D51"/>
    <w:rsid w:val="00D06011"/>
    <w:rsid w:val="00D76321"/>
    <w:rsid w:val="00E32EDA"/>
    <w:rsid w:val="00E811FC"/>
    <w:rsid w:val="00EA52DA"/>
    <w:rsid w:val="00EE3FB7"/>
    <w:rsid w:val="00EE5CA1"/>
    <w:rsid w:val="00FF1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49339"/>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FootnoteText">
    <w:name w:val="footnote text"/>
    <w:basedOn w:val="Normal"/>
    <w:link w:val="FootnoteTextChar"/>
    <w:uiPriority w:val="99"/>
    <w:semiHidden/>
    <w:unhideWhenUsed/>
    <w:rsid w:val="002D3787"/>
    <w:rPr>
      <w:rFonts w:ascii="Calibri" w:eastAsiaTheme="minorHAnsi" w:hAnsi="Calibri" w:cs="Calibri"/>
    </w:rPr>
  </w:style>
  <w:style w:type="character" w:customStyle="1" w:styleId="FootnoteTextChar">
    <w:name w:val="Footnote Text Char"/>
    <w:basedOn w:val="DefaultParagraphFont"/>
    <w:link w:val="FootnoteText"/>
    <w:uiPriority w:val="99"/>
    <w:semiHidden/>
    <w:rsid w:val="002D3787"/>
    <w:rPr>
      <w:rFonts w:ascii="Calibri" w:hAnsi="Calibri" w:cs="Calibri"/>
      <w:sz w:val="20"/>
      <w:szCs w:val="20"/>
    </w:rPr>
  </w:style>
  <w:style w:type="character" w:styleId="FootnoteReference">
    <w:name w:val="footnote reference"/>
    <w:basedOn w:val="DefaultParagraphFont"/>
    <w:uiPriority w:val="99"/>
    <w:semiHidden/>
    <w:unhideWhenUsed/>
    <w:rsid w:val="002D3787"/>
    <w:rPr>
      <w:vertAlign w:val="superscript"/>
    </w:rPr>
  </w:style>
  <w:style w:type="character" w:styleId="Hyperlink">
    <w:name w:val="Hyperlink"/>
    <w:basedOn w:val="DefaultParagraphFont"/>
    <w:uiPriority w:val="99"/>
    <w:unhideWhenUsed/>
    <w:rsid w:val="002D3787"/>
    <w:rPr>
      <w:color w:val="0000FF" w:themeColor="hyperlink"/>
      <w:u w:val="single"/>
    </w:rPr>
  </w:style>
  <w:style w:type="character" w:styleId="UnresolvedMention">
    <w:name w:val="Unresolved Mention"/>
    <w:basedOn w:val="DefaultParagraphFont"/>
    <w:uiPriority w:val="99"/>
    <w:semiHidden/>
    <w:unhideWhenUsed/>
    <w:rsid w:val="003B58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sucre@iadb.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leninb@iadb.org)"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ramones@iad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ADB7130D4640C4B9F78450573EDAAE3" ma:contentTypeVersion="1207" ma:contentTypeDescription="A content type to manage public (operations) IDB documents" ma:contentTypeScope="" ma:versionID="715c4a89450070f604125b5ae9fe38c8">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Division_x0020_or_x0020_Unit xmlns="cdc7663a-08f0-4737-9e8c-148ce897a09c">INE/ENE</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Bonifaz Urquizu, Jeanette</Document_x0020_Author>
    <Document_x0020_Language_x0020_IDB xmlns="cdc7663a-08f0-4737-9e8c-148ce897a09c">English</Document_x0020_Language_x0020_IDB>
    <TaxCatchAll xmlns="cdc7663a-08f0-4737-9e8c-148ce897a09c">
      <Value>54</Value>
      <Value>102</Value>
      <Value>45</Value>
      <Value>2</Value>
      <Value>28</Value>
    </TaxCatchAll>
    <Identifier xmlns="cdc7663a-08f0-4737-9e8c-148ce897a09c" xsi:nil="true"/>
    <_dlc_DocId xmlns="cdc7663a-08f0-4737-9e8c-148ce897a09c">EZSHARE-750583073-2</_dlc_DocId>
    <_dlc_DocIdUrl xmlns="cdc7663a-08f0-4737-9e8c-148ce897a09c">
      <Url>https://idbg.sharepoint.com/teams/EZ-GY-TCP/GY-T1154/_layouts/15/DocIdRedir.aspx?ID=EZSHARE-750583073-2</Url>
      <Description>EZSHARE-750583073-2</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ATN/OC-17165-GY;</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NEW OIL AND GAS AND EXTRACTIVE INDUSTRIES</TermName>
          <TermId xmlns="http://schemas.microsoft.com/office/infopath/2007/PartnerControls">bcc83a9b-50a8-4d09-8319-26ca493c6afc</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GY-T1154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2.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3.xml><?xml version="1.0" encoding="utf-8"?>
<ds:datastoreItem xmlns:ds="http://schemas.openxmlformats.org/officeDocument/2006/customXml" ds:itemID="{DCA27BB4-DA91-4383-9BD3-F45E8F8BEEC2}"/>
</file>

<file path=customXml/itemProps4.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12D84987-8C6B-4D3E-BAA8-8FA5175A267E}"/>
</file>

<file path=customXml/itemProps6.xml><?xml version="1.0" encoding="utf-8"?>
<ds:datastoreItem xmlns:ds="http://schemas.openxmlformats.org/officeDocument/2006/customXml" ds:itemID="{9D79A880-E038-4A6D-A818-7D90F8EF17FA}"/>
</file>

<file path=customXml/itemProps7.xml><?xml version="1.0" encoding="utf-8"?>
<ds:datastoreItem xmlns:ds="http://schemas.openxmlformats.org/officeDocument/2006/customXml" ds:itemID="{D5222009-2E40-4961-AB42-6E7970A6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Balza Angulo, Lenin Humberto</cp:lastModifiedBy>
  <cp:revision>2</cp:revision>
  <dcterms:created xsi:type="dcterms:W3CDTF">2018-11-26T16:19:00Z</dcterms:created>
  <dcterms:modified xsi:type="dcterms:W3CDTF">2018-11-26T16:19:00Z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28;#Guyana|56862354-b867-4ea1-80cf-2c12eebb71f3</vt:lpwstr>
  </property>
  <property fmtid="{D5CDD505-2E9C-101B-9397-08002B2CF9AE}" pid="8" name="_dlc_DocIdItemGuid">
    <vt:lpwstr>4d1b920e-49c0-4b67-8cb1-7fcd73bd1af6</vt:lpwstr>
  </property>
  <property fmtid="{D5CDD505-2E9C-101B-9397-08002B2CF9AE}" pid="9" name="SharedWithUsers">
    <vt:lpwstr>2384;#Nunes da Cunha, Natascha;#2480;#Salazar, Lina Piedad;#3481;#Bravo Velasquez, Julianyth De Jesus</vt:lpwstr>
  </property>
  <property fmtid="{D5CDD505-2E9C-101B-9397-08002B2CF9AE}" pid="10" name="Series Operations IDB">
    <vt:lpwstr/>
  </property>
  <property fmtid="{D5CDD505-2E9C-101B-9397-08002B2CF9AE}" pid="11" name="Sub-Sector">
    <vt:lpwstr>102;#NEW OIL AND GAS AND EXTRACTIVE INDUSTRIES|bcc83a9b-50a8-4d09-8319-26ca493c6afc</vt:lpwstr>
  </property>
  <property fmtid="{D5CDD505-2E9C-101B-9397-08002B2CF9AE}" pid="12" name="Fund IDB">
    <vt:lpwstr>54;#TBD|d62f6e05-3e80-4abd-9bb4-5f10b4906ff6</vt:lpwstr>
  </property>
  <property fmtid="{D5CDD505-2E9C-101B-9397-08002B2CF9AE}" pid="13" name="Sector IDB">
    <vt:lpwstr>45;#ENERGY|4fed196a-cd0b-4970-87de-42da17f9b203</vt:lpwstr>
  </property>
  <property fmtid="{D5CDD505-2E9C-101B-9397-08002B2CF9AE}" pid="14" name="Function Operations IDB">
    <vt:lpwstr>2;#Monitoring and Reporting|df3c2aa1-d63e-41aa-b1f5-bb15dee691ca</vt:lpwstr>
  </property>
  <property fmtid="{D5CDD505-2E9C-101B-9397-08002B2CF9AE}" pid="15" name="ContentTypeId">
    <vt:lpwstr>0x0101001A458A224826124E8B45B1D613300CFC00FADB7130D4640C4B9F78450573EDAAE3</vt:lpwstr>
  </property>
</Properties>
</file>