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54B9" w:rsidRDefault="005E54B9" w:rsidP="000A0A4D">
      <w:bookmarkStart w:id="0" w:name="_GoBack"/>
      <w:bookmarkEnd w:id="0"/>
    </w:p>
    <w:p w:rsidR="002205B9" w:rsidRDefault="002205B9" w:rsidP="000A0A4D"/>
    <w:p w:rsidR="002205B9" w:rsidRDefault="002205B9" w:rsidP="000A0A4D"/>
    <w:p w:rsidR="002205B9" w:rsidRDefault="002205B9" w:rsidP="000A0A4D"/>
    <w:p w:rsidR="002205B9" w:rsidRDefault="002205B9" w:rsidP="000A0A4D"/>
    <w:p w:rsidR="002205B9" w:rsidRDefault="002205B9" w:rsidP="000A0A4D"/>
    <w:p w:rsidR="002205B9" w:rsidRDefault="002205B9" w:rsidP="000A0A4D"/>
    <w:p w:rsidR="002205B9" w:rsidRDefault="002205B9" w:rsidP="000A0A4D"/>
    <w:p w:rsidR="001C77AC" w:rsidRDefault="001C77AC" w:rsidP="000A0A4D"/>
    <w:p w:rsidR="002205B9" w:rsidRDefault="002205B9" w:rsidP="000A0A4D"/>
    <w:p w:rsidR="002205B9" w:rsidRDefault="002205B9" w:rsidP="000A0A4D"/>
    <w:p w:rsidR="002205B9" w:rsidRDefault="002205B9" w:rsidP="000A0A4D"/>
    <w:p w:rsidR="002205B9" w:rsidRDefault="002205B9" w:rsidP="000A0A4D"/>
    <w:p w:rsidR="002205B9" w:rsidRDefault="00D65991" w:rsidP="002205B9">
      <w:pPr>
        <w:ind w:left="851" w:right="567"/>
        <w:jc w:val="center"/>
        <w:rPr>
          <w:b/>
          <w:sz w:val="36"/>
          <w:szCs w:val="36"/>
        </w:rPr>
      </w:pPr>
      <w:r>
        <w:rPr>
          <w:b/>
          <w:sz w:val="36"/>
          <w:szCs w:val="36"/>
        </w:rPr>
        <w:t>ANALYSE</w:t>
      </w:r>
      <w:r w:rsidR="002205B9">
        <w:rPr>
          <w:b/>
          <w:sz w:val="36"/>
          <w:szCs w:val="36"/>
        </w:rPr>
        <w:t xml:space="preserve"> FINANCIERE </w:t>
      </w:r>
    </w:p>
    <w:p w:rsidR="008E4B77" w:rsidRDefault="002205B9" w:rsidP="002205B9">
      <w:pPr>
        <w:ind w:left="851" w:right="567"/>
        <w:jc w:val="center"/>
        <w:rPr>
          <w:b/>
          <w:sz w:val="36"/>
          <w:szCs w:val="36"/>
        </w:rPr>
      </w:pPr>
      <w:r>
        <w:rPr>
          <w:b/>
          <w:sz w:val="36"/>
          <w:szCs w:val="36"/>
        </w:rPr>
        <w:t>P</w:t>
      </w:r>
      <w:r w:rsidRPr="00FB2112">
        <w:rPr>
          <w:b/>
          <w:sz w:val="36"/>
          <w:szCs w:val="36"/>
        </w:rPr>
        <w:t>ROJET D’A</w:t>
      </w:r>
      <w:r w:rsidR="00A36E57">
        <w:rPr>
          <w:b/>
          <w:sz w:val="36"/>
          <w:szCs w:val="36"/>
        </w:rPr>
        <w:t>MELIORATION DE L’ACCES A L’EAU, L’ASSAINISSEMENT ET L’HYGIENE EN ZONES URBAINES, PERI-URBAINES ET RURALES DU NORD</w:t>
      </w:r>
      <w:r w:rsidR="008E4B77">
        <w:rPr>
          <w:b/>
          <w:sz w:val="36"/>
          <w:szCs w:val="36"/>
        </w:rPr>
        <w:t xml:space="preserve"> D’HAITI</w:t>
      </w:r>
    </w:p>
    <w:p w:rsidR="002205B9" w:rsidRPr="00FB2112" w:rsidRDefault="002205B9" w:rsidP="002205B9">
      <w:pPr>
        <w:ind w:left="851" w:right="567"/>
        <w:jc w:val="center"/>
        <w:rPr>
          <w:b/>
          <w:sz w:val="36"/>
          <w:szCs w:val="36"/>
        </w:rPr>
      </w:pPr>
      <w:r w:rsidRPr="00FB2112">
        <w:rPr>
          <w:b/>
          <w:sz w:val="36"/>
          <w:szCs w:val="36"/>
        </w:rPr>
        <w:t>(HA – L11</w:t>
      </w:r>
      <w:r>
        <w:rPr>
          <w:b/>
          <w:sz w:val="36"/>
          <w:szCs w:val="36"/>
        </w:rPr>
        <w:t>35</w:t>
      </w:r>
      <w:r w:rsidRPr="00FB2112">
        <w:rPr>
          <w:b/>
          <w:sz w:val="36"/>
          <w:szCs w:val="36"/>
        </w:rPr>
        <w:t>)</w:t>
      </w:r>
    </w:p>
    <w:p w:rsidR="002205B9" w:rsidRDefault="002205B9" w:rsidP="002205B9"/>
    <w:p w:rsidR="002205B9" w:rsidRDefault="002205B9" w:rsidP="002205B9"/>
    <w:p w:rsidR="002205B9" w:rsidRDefault="002205B9" w:rsidP="002205B9"/>
    <w:p w:rsidR="002205B9" w:rsidRDefault="002205B9" w:rsidP="002205B9">
      <w:pPr>
        <w:jc w:val="center"/>
      </w:pPr>
    </w:p>
    <w:p w:rsidR="002205B9" w:rsidRDefault="002205B9" w:rsidP="000A0A4D"/>
    <w:p w:rsidR="002205B9" w:rsidRDefault="002205B9" w:rsidP="000A0A4D"/>
    <w:p w:rsidR="002205B9" w:rsidRDefault="002205B9" w:rsidP="000A0A4D"/>
    <w:p w:rsidR="002205B9" w:rsidRDefault="002205B9" w:rsidP="000A0A4D"/>
    <w:p w:rsidR="002205B9" w:rsidRDefault="002205B9" w:rsidP="000A0A4D"/>
    <w:p w:rsidR="002205B9" w:rsidRDefault="002205B9" w:rsidP="000A0A4D"/>
    <w:p w:rsidR="002205B9" w:rsidRDefault="002205B9" w:rsidP="000A0A4D"/>
    <w:p w:rsidR="002205B9" w:rsidRDefault="002205B9" w:rsidP="000A0A4D"/>
    <w:p w:rsidR="002205B9" w:rsidRDefault="002205B9" w:rsidP="000A0A4D"/>
    <w:p w:rsidR="001E55E1" w:rsidRDefault="001E55E1" w:rsidP="00BD7EF5">
      <w:pPr>
        <w:pStyle w:val="Heading1"/>
        <w:numPr>
          <w:ilvl w:val="0"/>
          <w:numId w:val="12"/>
        </w:numPr>
        <w:shd w:val="clear" w:color="auto" w:fill="FFFFFF"/>
        <w:spacing w:line="330" w:lineRule="atLeast"/>
        <w:rPr>
          <w:rFonts w:ascii="Arial" w:hAnsi="Arial"/>
        </w:rPr>
      </w:pPr>
      <w:r>
        <w:rPr>
          <w:rFonts w:ascii="Arial" w:hAnsi="Arial"/>
        </w:rPr>
        <w:lastRenderedPageBreak/>
        <w:t>DINEPA/OREPA</w:t>
      </w:r>
    </w:p>
    <w:p w:rsidR="00C52260" w:rsidRPr="005F2436" w:rsidRDefault="00C52260" w:rsidP="005F2436">
      <w:pPr>
        <w:pStyle w:val="ListParagraph"/>
        <w:numPr>
          <w:ilvl w:val="0"/>
          <w:numId w:val="20"/>
        </w:numPr>
        <w:rPr>
          <w:rFonts w:ascii="Arial" w:hAnsi="Arial" w:cs="Arial"/>
          <w:b/>
          <w:sz w:val="28"/>
          <w:szCs w:val="28"/>
        </w:rPr>
      </w:pPr>
      <w:r w:rsidRPr="005F2436">
        <w:rPr>
          <w:rFonts w:ascii="Arial" w:hAnsi="Arial" w:cs="Arial"/>
          <w:b/>
          <w:sz w:val="28"/>
          <w:szCs w:val="28"/>
        </w:rPr>
        <w:t>DINEPA</w:t>
      </w:r>
    </w:p>
    <w:p w:rsidR="00523F6C" w:rsidRPr="00961CDB" w:rsidRDefault="00523F6C" w:rsidP="00523F6C">
      <w:pPr>
        <w:ind w:left="360"/>
        <w:rPr>
          <w:rFonts w:ascii="Arial" w:hAnsi="Arial" w:cs="Arial"/>
          <w:sz w:val="24"/>
          <w:szCs w:val="24"/>
        </w:rPr>
      </w:pPr>
      <w:r w:rsidRPr="00961CDB">
        <w:rPr>
          <w:rFonts w:ascii="Arial" w:hAnsi="Arial" w:cs="Arial"/>
          <w:sz w:val="24"/>
          <w:szCs w:val="24"/>
        </w:rPr>
        <w:t>La DINEPA est une entité autonome sous la responsabilité du Ministère des Travaux Publiques, Transport et Communication (MTPTC) et responsable de la gestion des projets d’eau et d’assainissement avec les objectifs suivants : (i) le développement du secteur eau potable et assainissement au  niveau national ; (ii) la régulation du secteur et l’établissement de la politique tarifaire du secteur eau et assainissement; (iii) l</w:t>
      </w:r>
      <w:r>
        <w:rPr>
          <w:rFonts w:ascii="Arial" w:hAnsi="Arial" w:cs="Arial"/>
          <w:sz w:val="24"/>
          <w:szCs w:val="24"/>
        </w:rPr>
        <w:t xml:space="preserve">’établissement de normes et règlements sur la qualité de </w:t>
      </w:r>
      <w:r w:rsidRPr="00961CDB">
        <w:rPr>
          <w:rFonts w:ascii="Arial" w:hAnsi="Arial" w:cs="Arial"/>
          <w:sz w:val="24"/>
          <w:szCs w:val="24"/>
        </w:rPr>
        <w:t xml:space="preserve"> </w:t>
      </w:r>
      <w:r>
        <w:rPr>
          <w:rFonts w:ascii="Arial" w:hAnsi="Arial" w:cs="Arial"/>
          <w:sz w:val="24"/>
          <w:szCs w:val="24"/>
        </w:rPr>
        <w:t>l’eau</w:t>
      </w:r>
      <w:r w:rsidRPr="00961CDB">
        <w:rPr>
          <w:rFonts w:ascii="Arial" w:hAnsi="Arial" w:cs="Arial"/>
          <w:sz w:val="24"/>
          <w:szCs w:val="24"/>
        </w:rPr>
        <w:t>; (iv) la prépara</w:t>
      </w:r>
      <w:r>
        <w:rPr>
          <w:rFonts w:ascii="Arial" w:hAnsi="Arial" w:cs="Arial"/>
          <w:sz w:val="24"/>
          <w:szCs w:val="24"/>
        </w:rPr>
        <w:t>t</w:t>
      </w:r>
      <w:r w:rsidRPr="00961CDB">
        <w:rPr>
          <w:rFonts w:ascii="Arial" w:hAnsi="Arial" w:cs="Arial"/>
          <w:sz w:val="24"/>
          <w:szCs w:val="24"/>
        </w:rPr>
        <w:t>ion de</w:t>
      </w:r>
      <w:r>
        <w:rPr>
          <w:rFonts w:ascii="Arial" w:hAnsi="Arial" w:cs="Arial"/>
          <w:sz w:val="24"/>
          <w:szCs w:val="24"/>
        </w:rPr>
        <w:t>s indicateurs de performance pour le secteur</w:t>
      </w:r>
      <w:r w:rsidRPr="00961CDB">
        <w:rPr>
          <w:rFonts w:ascii="Arial" w:hAnsi="Arial" w:cs="Arial"/>
          <w:sz w:val="24"/>
          <w:szCs w:val="24"/>
        </w:rPr>
        <w:t>; (v) la créa</w:t>
      </w:r>
      <w:r>
        <w:rPr>
          <w:rFonts w:ascii="Arial" w:hAnsi="Arial" w:cs="Arial"/>
          <w:sz w:val="24"/>
          <w:szCs w:val="24"/>
        </w:rPr>
        <w:t>tion</w:t>
      </w:r>
      <w:r w:rsidRPr="00961CDB">
        <w:rPr>
          <w:rFonts w:ascii="Arial" w:hAnsi="Arial" w:cs="Arial"/>
          <w:sz w:val="24"/>
          <w:szCs w:val="24"/>
        </w:rPr>
        <w:t xml:space="preserve"> de </w:t>
      </w:r>
      <w:r>
        <w:rPr>
          <w:rFonts w:ascii="Arial" w:hAnsi="Arial" w:cs="Arial"/>
          <w:sz w:val="24"/>
          <w:szCs w:val="24"/>
        </w:rPr>
        <w:t>plusieurs bureaux régionaux</w:t>
      </w:r>
      <w:r w:rsidRPr="00961CDB">
        <w:rPr>
          <w:rFonts w:ascii="Arial" w:hAnsi="Arial" w:cs="Arial"/>
          <w:sz w:val="24"/>
          <w:szCs w:val="24"/>
        </w:rPr>
        <w:t xml:space="preserve"> (OREPAs); </w:t>
      </w:r>
      <w:r>
        <w:rPr>
          <w:rFonts w:ascii="Arial" w:hAnsi="Arial" w:cs="Arial"/>
          <w:sz w:val="24"/>
          <w:szCs w:val="24"/>
        </w:rPr>
        <w:t>et</w:t>
      </w:r>
      <w:r w:rsidRPr="00961CDB">
        <w:rPr>
          <w:rFonts w:ascii="Arial" w:hAnsi="Arial" w:cs="Arial"/>
          <w:sz w:val="24"/>
          <w:szCs w:val="24"/>
        </w:rPr>
        <w:t xml:space="preserve"> (vi) </w:t>
      </w:r>
      <w:r>
        <w:rPr>
          <w:rFonts w:ascii="Arial" w:hAnsi="Arial" w:cs="Arial"/>
          <w:sz w:val="24"/>
          <w:szCs w:val="24"/>
        </w:rPr>
        <w:t>le contrôle des acteurs du secteur</w:t>
      </w:r>
      <w:r w:rsidRPr="00961CDB">
        <w:rPr>
          <w:rFonts w:ascii="Arial" w:hAnsi="Arial" w:cs="Arial"/>
          <w:sz w:val="24"/>
          <w:szCs w:val="24"/>
        </w:rPr>
        <w:t xml:space="preserve">s (OREPAs </w:t>
      </w:r>
      <w:r>
        <w:rPr>
          <w:rFonts w:ascii="Arial" w:hAnsi="Arial" w:cs="Arial"/>
          <w:sz w:val="24"/>
          <w:szCs w:val="24"/>
        </w:rPr>
        <w:t>et</w:t>
      </w:r>
      <w:r w:rsidRPr="00961CDB">
        <w:rPr>
          <w:rFonts w:ascii="Arial" w:hAnsi="Arial" w:cs="Arial"/>
          <w:sz w:val="24"/>
          <w:szCs w:val="24"/>
        </w:rPr>
        <w:t xml:space="preserve"> opera</w:t>
      </w:r>
      <w:r>
        <w:rPr>
          <w:rFonts w:ascii="Arial" w:hAnsi="Arial" w:cs="Arial"/>
          <w:sz w:val="24"/>
          <w:szCs w:val="24"/>
        </w:rPr>
        <w:t>teurs</w:t>
      </w:r>
      <w:r w:rsidRPr="00961CDB">
        <w:rPr>
          <w:rFonts w:ascii="Arial" w:hAnsi="Arial" w:cs="Arial"/>
          <w:sz w:val="24"/>
          <w:szCs w:val="24"/>
        </w:rPr>
        <w:t>).</w:t>
      </w:r>
    </w:p>
    <w:p w:rsidR="00402044" w:rsidRDefault="00402044" w:rsidP="00402044">
      <w:pPr>
        <w:ind w:left="360"/>
        <w:rPr>
          <w:rFonts w:ascii="Arial" w:hAnsi="Arial" w:cs="Arial"/>
          <w:sz w:val="24"/>
          <w:szCs w:val="24"/>
        </w:rPr>
      </w:pPr>
      <w:r w:rsidRPr="00356E3A">
        <w:rPr>
          <w:rFonts w:ascii="Arial" w:hAnsi="Arial" w:cs="Arial"/>
          <w:sz w:val="24"/>
          <w:szCs w:val="24"/>
        </w:rPr>
        <w:t>La DINEPA a un personnel de 1,000 employés (4 Offices Régionaux de l’Eau potable et de l’Assainissement, 11 Unités Rurales Départementales e</w:t>
      </w:r>
      <w:r>
        <w:rPr>
          <w:rFonts w:ascii="Arial" w:hAnsi="Arial" w:cs="Arial"/>
          <w:sz w:val="24"/>
          <w:szCs w:val="24"/>
        </w:rPr>
        <w:t>t</w:t>
      </w:r>
      <w:r w:rsidRPr="00356E3A">
        <w:rPr>
          <w:rFonts w:ascii="Arial" w:hAnsi="Arial" w:cs="Arial"/>
          <w:sz w:val="24"/>
          <w:szCs w:val="24"/>
        </w:rPr>
        <w:t xml:space="preserve"> 25 Centr</w:t>
      </w:r>
      <w:r>
        <w:rPr>
          <w:rFonts w:ascii="Arial" w:hAnsi="Arial" w:cs="Arial"/>
          <w:sz w:val="24"/>
          <w:szCs w:val="24"/>
        </w:rPr>
        <w:t>e</w:t>
      </w:r>
      <w:r w:rsidRPr="00356E3A">
        <w:rPr>
          <w:rFonts w:ascii="Arial" w:hAnsi="Arial" w:cs="Arial"/>
          <w:sz w:val="24"/>
          <w:szCs w:val="24"/>
        </w:rPr>
        <w:t>s T</w:t>
      </w:r>
      <w:r>
        <w:rPr>
          <w:rFonts w:ascii="Arial" w:hAnsi="Arial" w:cs="Arial"/>
          <w:sz w:val="24"/>
          <w:szCs w:val="24"/>
        </w:rPr>
        <w:t>echniques</w:t>
      </w:r>
      <w:r w:rsidRPr="00356E3A">
        <w:rPr>
          <w:rFonts w:ascii="Arial" w:hAnsi="Arial" w:cs="Arial"/>
          <w:sz w:val="24"/>
          <w:szCs w:val="24"/>
        </w:rPr>
        <w:t xml:space="preserve"> d</w:t>
      </w:r>
      <w:r>
        <w:rPr>
          <w:rFonts w:ascii="Arial" w:hAnsi="Arial" w:cs="Arial"/>
          <w:sz w:val="24"/>
          <w:szCs w:val="24"/>
        </w:rPr>
        <w:t>’Exploitation</w:t>
      </w:r>
      <w:r w:rsidRPr="00356E3A">
        <w:rPr>
          <w:rFonts w:ascii="Arial" w:hAnsi="Arial" w:cs="Arial"/>
          <w:sz w:val="24"/>
          <w:szCs w:val="24"/>
        </w:rPr>
        <w:t>). La Direction de la DINEPA est composée d’une Direction Générale, une Coordination générale, une Direction administrative et financière, une Direction de ressources humaines, une Direc</w:t>
      </w:r>
      <w:r>
        <w:rPr>
          <w:rFonts w:ascii="Arial" w:hAnsi="Arial" w:cs="Arial"/>
          <w:sz w:val="24"/>
          <w:szCs w:val="24"/>
        </w:rPr>
        <w:t>tion technique</w:t>
      </w:r>
      <w:r w:rsidRPr="00356E3A">
        <w:rPr>
          <w:rFonts w:ascii="Arial" w:hAnsi="Arial" w:cs="Arial"/>
          <w:sz w:val="24"/>
          <w:szCs w:val="24"/>
        </w:rPr>
        <w:t>, un</w:t>
      </w:r>
      <w:r>
        <w:rPr>
          <w:rFonts w:ascii="Arial" w:hAnsi="Arial" w:cs="Arial"/>
          <w:sz w:val="24"/>
          <w:szCs w:val="24"/>
        </w:rPr>
        <w:t>e</w:t>
      </w:r>
      <w:r w:rsidRPr="00356E3A">
        <w:rPr>
          <w:rFonts w:ascii="Arial" w:hAnsi="Arial" w:cs="Arial"/>
          <w:sz w:val="24"/>
          <w:szCs w:val="24"/>
        </w:rPr>
        <w:t xml:space="preserve"> Direc</w:t>
      </w:r>
      <w:r>
        <w:rPr>
          <w:rFonts w:ascii="Arial" w:hAnsi="Arial" w:cs="Arial"/>
          <w:sz w:val="24"/>
          <w:szCs w:val="24"/>
        </w:rPr>
        <w:t>tion de l’assainissement et une Direction des opérations régionales</w:t>
      </w:r>
      <w:r w:rsidRPr="00356E3A">
        <w:rPr>
          <w:rFonts w:ascii="Arial" w:hAnsi="Arial" w:cs="Arial"/>
          <w:sz w:val="24"/>
          <w:szCs w:val="24"/>
        </w:rPr>
        <w:t xml:space="preserve">. </w:t>
      </w:r>
      <w:r w:rsidRPr="001B0A89">
        <w:rPr>
          <w:rFonts w:ascii="Arial" w:hAnsi="Arial" w:cs="Arial"/>
          <w:sz w:val="24"/>
          <w:szCs w:val="24"/>
        </w:rPr>
        <w:t>Elle compte également avec l’appui de deux conseillers juridiques.</w:t>
      </w:r>
    </w:p>
    <w:p w:rsidR="00402044" w:rsidRPr="0004468B" w:rsidRDefault="00402044" w:rsidP="00D74AFD">
      <w:pPr>
        <w:ind w:left="360"/>
        <w:rPr>
          <w:rFonts w:ascii="Arial" w:hAnsi="Arial" w:cs="Arial"/>
          <w:b/>
          <w:bCs/>
          <w:i/>
          <w:iCs/>
          <w:sz w:val="24"/>
          <w:szCs w:val="24"/>
        </w:rPr>
      </w:pPr>
      <w:r w:rsidRPr="0004468B">
        <w:rPr>
          <w:rFonts w:ascii="Arial" w:hAnsi="Arial" w:cs="Arial"/>
          <w:sz w:val="24"/>
          <w:szCs w:val="24"/>
        </w:rPr>
        <w:t>La préparation du programme budgétaire de la DINEPA fait appel à la mobilisation des ressources pour le financement des dépenses (Fonctionnement, Investissement). Les ressources budgétaires de la DINEPA proviennent des fonds des Bailleurs (BID, AECID, BM, CDC, UNICEF, CS etc.…), du Trésor Public (MEF) et des revenus des Centres Techniques d’Exploitation (CTE).</w:t>
      </w:r>
      <w:r w:rsidR="001A0083">
        <w:rPr>
          <w:rStyle w:val="FootnoteReference"/>
          <w:rFonts w:ascii="Arial" w:hAnsi="Arial" w:cs="Arial"/>
          <w:sz w:val="24"/>
          <w:szCs w:val="24"/>
        </w:rPr>
        <w:footnoteReference w:id="1"/>
      </w:r>
    </w:p>
    <w:p w:rsidR="00402044" w:rsidRPr="0004468B" w:rsidRDefault="00402044" w:rsidP="00402044">
      <w:pPr>
        <w:pStyle w:val="Caption"/>
        <w:rPr>
          <w:rFonts w:ascii="Arial" w:hAnsi="Arial"/>
          <w:b/>
          <w:sz w:val="24"/>
          <w:szCs w:val="24"/>
          <w:lang w:val="fr-FR"/>
        </w:rPr>
      </w:pPr>
      <w:bookmarkStart w:id="1" w:name="_Toc480235428"/>
      <w:r w:rsidRPr="0004468B">
        <w:rPr>
          <w:rFonts w:ascii="Arial" w:hAnsi="Arial"/>
          <w:sz w:val="24"/>
          <w:szCs w:val="24"/>
          <w:lang w:val="fr-FR"/>
        </w:rPr>
        <w:t xml:space="preserve"> Répartition du financement du secteur de l'eau en Haïti, Budget prévisionnel (en Millions de HTG)</w:t>
      </w:r>
      <w:bookmarkEnd w:id="1"/>
    </w:p>
    <w:p w:rsidR="00402044" w:rsidRPr="0004468B" w:rsidRDefault="00402044" w:rsidP="00402044">
      <w:pPr>
        <w:jc w:val="center"/>
        <w:rPr>
          <w:rFonts w:ascii="Arial" w:hAnsi="Arial" w:cs="Arial"/>
          <w:b/>
          <w:sz w:val="24"/>
          <w:szCs w:val="24"/>
        </w:rPr>
      </w:pPr>
      <w:r w:rsidRPr="0004468B">
        <w:rPr>
          <w:rFonts w:ascii="Arial" w:hAnsi="Arial" w:cs="Arial"/>
          <w:b/>
          <w:noProof/>
          <w:sz w:val="24"/>
          <w:szCs w:val="24"/>
        </w:rPr>
        <w:drawing>
          <wp:inline distT="0" distB="0" distL="0" distR="0" wp14:anchorId="41859F28" wp14:editId="3E37A6C3">
            <wp:extent cx="4050533" cy="1758461"/>
            <wp:effectExtent l="19050" t="0" r="26167" b="0"/>
            <wp:docPr id="5" name="Graphique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02044" w:rsidRPr="0004468B" w:rsidRDefault="00402044" w:rsidP="00402044">
      <w:pPr>
        <w:rPr>
          <w:rFonts w:ascii="Arial" w:hAnsi="Arial" w:cs="Arial"/>
          <w:sz w:val="24"/>
          <w:szCs w:val="24"/>
        </w:rPr>
      </w:pPr>
    </w:p>
    <w:p w:rsidR="00402044" w:rsidRPr="00F43933" w:rsidRDefault="00402044" w:rsidP="005829E9">
      <w:pPr>
        <w:pStyle w:val="ps"/>
        <w:spacing w:before="0"/>
        <w:ind w:firstLine="360"/>
        <w:rPr>
          <w:rFonts w:ascii="Arial" w:hAnsi="Arial"/>
          <w:sz w:val="24"/>
          <w:szCs w:val="24"/>
          <w:lang w:val="fr-FR"/>
        </w:rPr>
      </w:pPr>
      <w:r w:rsidRPr="00F43933">
        <w:rPr>
          <w:rFonts w:ascii="Arial" w:hAnsi="Arial"/>
          <w:sz w:val="24"/>
          <w:szCs w:val="24"/>
          <w:lang w:val="fr-FR"/>
        </w:rPr>
        <w:t>Les ressources financières de la D</w:t>
      </w:r>
      <w:r>
        <w:rPr>
          <w:rFonts w:ascii="Arial" w:hAnsi="Arial"/>
          <w:sz w:val="24"/>
          <w:szCs w:val="24"/>
          <w:lang w:val="fr-FR"/>
        </w:rPr>
        <w:t>INEPA</w:t>
      </w:r>
      <w:r w:rsidRPr="00F43933">
        <w:rPr>
          <w:rFonts w:ascii="Arial" w:hAnsi="Arial"/>
          <w:sz w:val="24"/>
          <w:szCs w:val="24"/>
          <w:lang w:val="fr-FR"/>
        </w:rPr>
        <w:t xml:space="preserve">, proviennent à hauteur de : </w:t>
      </w:r>
    </w:p>
    <w:p w:rsidR="00402044" w:rsidRPr="00F43933" w:rsidRDefault="00402044" w:rsidP="00402044">
      <w:pPr>
        <w:pStyle w:val="ps"/>
        <w:numPr>
          <w:ilvl w:val="0"/>
          <w:numId w:val="17"/>
        </w:numPr>
        <w:spacing w:before="0"/>
        <w:rPr>
          <w:rFonts w:ascii="Arial" w:hAnsi="Arial"/>
          <w:sz w:val="24"/>
          <w:szCs w:val="24"/>
          <w:lang w:val="fr-FR"/>
        </w:rPr>
      </w:pPr>
      <w:r w:rsidRPr="00F43933">
        <w:rPr>
          <w:rFonts w:ascii="Arial" w:hAnsi="Arial"/>
          <w:sz w:val="24"/>
          <w:szCs w:val="24"/>
          <w:lang w:val="fr-FR"/>
        </w:rPr>
        <w:t xml:space="preserve">86,5% des transferts provenant des bailleurs,  </w:t>
      </w:r>
    </w:p>
    <w:p w:rsidR="00402044" w:rsidRPr="00F43933" w:rsidRDefault="00402044" w:rsidP="00402044">
      <w:pPr>
        <w:pStyle w:val="ps"/>
        <w:numPr>
          <w:ilvl w:val="0"/>
          <w:numId w:val="17"/>
        </w:numPr>
        <w:spacing w:before="0"/>
        <w:rPr>
          <w:rFonts w:ascii="Arial" w:hAnsi="Arial"/>
          <w:sz w:val="24"/>
          <w:szCs w:val="24"/>
          <w:lang w:val="fr-FR"/>
        </w:rPr>
      </w:pPr>
      <w:r w:rsidRPr="00F43933">
        <w:rPr>
          <w:rFonts w:ascii="Arial" w:hAnsi="Arial"/>
          <w:sz w:val="24"/>
          <w:szCs w:val="24"/>
          <w:lang w:val="fr-FR"/>
        </w:rPr>
        <w:t xml:space="preserve">2,4% de subvention du Trésor Public, et </w:t>
      </w:r>
    </w:p>
    <w:p w:rsidR="00402044" w:rsidRPr="00F43933" w:rsidRDefault="00402044" w:rsidP="00402044">
      <w:pPr>
        <w:pStyle w:val="ps"/>
        <w:numPr>
          <w:ilvl w:val="0"/>
          <w:numId w:val="17"/>
        </w:numPr>
        <w:spacing w:before="0"/>
        <w:rPr>
          <w:rFonts w:ascii="Arial" w:hAnsi="Arial"/>
          <w:sz w:val="24"/>
          <w:szCs w:val="24"/>
          <w:lang w:val="fr-FR"/>
        </w:rPr>
      </w:pPr>
      <w:r w:rsidRPr="00F43933">
        <w:rPr>
          <w:rFonts w:ascii="Arial" w:hAnsi="Arial"/>
          <w:sz w:val="24"/>
          <w:szCs w:val="24"/>
          <w:lang w:val="fr-FR"/>
        </w:rPr>
        <w:lastRenderedPageBreak/>
        <w:t xml:space="preserve">11,1% des recettes des vente d'eau </w:t>
      </w:r>
    </w:p>
    <w:p w:rsidR="00402044" w:rsidRPr="00F43933" w:rsidRDefault="00402044" w:rsidP="00402044">
      <w:pPr>
        <w:rPr>
          <w:rFonts w:ascii="Arial" w:hAnsi="Arial" w:cs="Arial"/>
          <w:sz w:val="24"/>
          <w:szCs w:val="24"/>
        </w:rPr>
      </w:pPr>
    </w:p>
    <w:p w:rsidR="00402044" w:rsidRPr="00F43933" w:rsidRDefault="00402044" w:rsidP="005829E9">
      <w:pPr>
        <w:ind w:firstLine="360"/>
        <w:rPr>
          <w:rFonts w:ascii="Arial" w:hAnsi="Arial" w:cs="Arial"/>
          <w:b/>
          <w:sz w:val="24"/>
          <w:szCs w:val="24"/>
        </w:rPr>
      </w:pPr>
      <w:r w:rsidRPr="00F43933">
        <w:rPr>
          <w:rFonts w:ascii="Arial" w:hAnsi="Arial" w:cs="Arial"/>
          <w:sz w:val="24"/>
          <w:szCs w:val="24"/>
        </w:rPr>
        <w:t>Les dépenses de la D</w:t>
      </w:r>
      <w:r>
        <w:rPr>
          <w:rFonts w:ascii="Arial" w:hAnsi="Arial" w:cs="Arial"/>
          <w:sz w:val="24"/>
          <w:szCs w:val="24"/>
        </w:rPr>
        <w:t>INEPA</w:t>
      </w:r>
      <w:r w:rsidRPr="00F43933">
        <w:rPr>
          <w:rFonts w:ascii="Arial" w:hAnsi="Arial" w:cs="Arial"/>
          <w:sz w:val="24"/>
          <w:szCs w:val="24"/>
        </w:rPr>
        <w:t xml:space="preserve"> se répartissent entre : </w:t>
      </w:r>
    </w:p>
    <w:p w:rsidR="00402044" w:rsidRPr="00F43933" w:rsidRDefault="00402044" w:rsidP="00402044">
      <w:pPr>
        <w:pStyle w:val="ListParagraph"/>
        <w:numPr>
          <w:ilvl w:val="0"/>
          <w:numId w:val="18"/>
        </w:numPr>
        <w:spacing w:after="0" w:line="240" w:lineRule="auto"/>
        <w:contextualSpacing w:val="0"/>
        <w:jc w:val="left"/>
        <w:rPr>
          <w:rFonts w:ascii="Arial" w:eastAsia="Arial Narrow" w:hAnsi="Arial" w:cs="Arial"/>
          <w:sz w:val="24"/>
          <w:szCs w:val="24"/>
        </w:rPr>
      </w:pPr>
      <w:r w:rsidRPr="00F43933">
        <w:rPr>
          <w:rFonts w:ascii="Arial" w:eastAsia="Arial Narrow" w:hAnsi="Arial" w:cs="Arial"/>
          <w:sz w:val="24"/>
          <w:szCs w:val="24"/>
        </w:rPr>
        <w:t xml:space="preserve">72% de coûts d'investissement, </w:t>
      </w:r>
    </w:p>
    <w:p w:rsidR="00402044" w:rsidRPr="00F43933" w:rsidRDefault="00402044" w:rsidP="00402044">
      <w:pPr>
        <w:pStyle w:val="ListParagraph"/>
        <w:numPr>
          <w:ilvl w:val="0"/>
          <w:numId w:val="18"/>
        </w:numPr>
        <w:spacing w:after="0" w:line="240" w:lineRule="auto"/>
        <w:contextualSpacing w:val="0"/>
        <w:jc w:val="left"/>
        <w:rPr>
          <w:rFonts w:ascii="Arial" w:eastAsia="Arial Narrow" w:hAnsi="Arial" w:cs="Arial"/>
          <w:sz w:val="24"/>
          <w:szCs w:val="24"/>
        </w:rPr>
      </w:pPr>
      <w:r w:rsidRPr="00F43933">
        <w:rPr>
          <w:rFonts w:ascii="Arial" w:eastAsia="Arial Narrow" w:hAnsi="Arial" w:cs="Arial"/>
          <w:sz w:val="24"/>
          <w:szCs w:val="24"/>
        </w:rPr>
        <w:t xml:space="preserve">7% de coûts de fonctionnement, et </w:t>
      </w:r>
    </w:p>
    <w:p w:rsidR="00402044" w:rsidRDefault="00402044" w:rsidP="00402044">
      <w:pPr>
        <w:pStyle w:val="ListParagraph"/>
        <w:numPr>
          <w:ilvl w:val="0"/>
          <w:numId w:val="18"/>
        </w:numPr>
        <w:spacing w:after="0" w:line="240" w:lineRule="auto"/>
        <w:contextualSpacing w:val="0"/>
        <w:jc w:val="left"/>
        <w:rPr>
          <w:rFonts w:ascii="Arial" w:eastAsia="Arial Narrow" w:hAnsi="Arial" w:cs="Arial"/>
          <w:sz w:val="24"/>
          <w:szCs w:val="24"/>
        </w:rPr>
      </w:pPr>
      <w:r w:rsidRPr="00F43933">
        <w:rPr>
          <w:rFonts w:ascii="Arial" w:eastAsia="Arial Narrow" w:hAnsi="Arial" w:cs="Arial"/>
          <w:sz w:val="24"/>
          <w:szCs w:val="24"/>
        </w:rPr>
        <w:t xml:space="preserve">21% des coûts opérationnels. </w:t>
      </w:r>
    </w:p>
    <w:p w:rsidR="00D44C89" w:rsidRPr="00F43933" w:rsidRDefault="00D44C89" w:rsidP="00D44C89">
      <w:pPr>
        <w:pStyle w:val="ListParagraph"/>
        <w:spacing w:after="0" w:line="240" w:lineRule="auto"/>
        <w:contextualSpacing w:val="0"/>
        <w:jc w:val="left"/>
        <w:rPr>
          <w:rFonts w:ascii="Arial" w:eastAsia="Arial Narrow" w:hAnsi="Arial" w:cs="Arial"/>
          <w:sz w:val="24"/>
          <w:szCs w:val="24"/>
        </w:rPr>
      </w:pPr>
    </w:p>
    <w:p w:rsidR="006E1465" w:rsidRDefault="00D44C89" w:rsidP="006E1465">
      <w:pPr>
        <w:ind w:left="360"/>
        <w:rPr>
          <w:rFonts w:ascii="Arial" w:hAnsi="Arial" w:cs="Arial"/>
          <w:sz w:val="24"/>
          <w:szCs w:val="24"/>
        </w:rPr>
      </w:pPr>
      <w:r w:rsidRPr="00D44C89">
        <w:rPr>
          <w:rFonts w:ascii="Arial" w:hAnsi="Arial" w:cs="Arial"/>
          <w:sz w:val="24"/>
          <w:szCs w:val="24"/>
        </w:rPr>
        <w:t>Depuis sa création en 2</w:t>
      </w:r>
      <w:r>
        <w:rPr>
          <w:rFonts w:ascii="Arial" w:hAnsi="Arial" w:cs="Arial"/>
          <w:sz w:val="24"/>
          <w:szCs w:val="24"/>
        </w:rPr>
        <w:t>00</w:t>
      </w:r>
      <w:r w:rsidRPr="00D44C89">
        <w:rPr>
          <w:rFonts w:ascii="Arial" w:hAnsi="Arial" w:cs="Arial"/>
          <w:sz w:val="24"/>
          <w:szCs w:val="24"/>
        </w:rPr>
        <w:t xml:space="preserve">9, la DINEPA a beaucoup amélioré sa capacite de gestion de l’exécution de projets. Les décaissements de projets financés par la Banque sont passés de USD9 millions en 2009 a USD19 millions en 2015. </w:t>
      </w:r>
    </w:p>
    <w:p w:rsidR="00D44C89" w:rsidRPr="00D44C89" w:rsidRDefault="00D44C89" w:rsidP="006E1465">
      <w:pPr>
        <w:ind w:left="360"/>
        <w:rPr>
          <w:rFonts w:ascii="Arial" w:hAnsi="Arial" w:cs="Arial"/>
          <w:sz w:val="24"/>
          <w:szCs w:val="24"/>
        </w:rPr>
      </w:pPr>
      <w:r w:rsidRPr="00D44C89">
        <w:rPr>
          <w:rFonts w:ascii="Arial" w:hAnsi="Arial" w:cs="Arial"/>
          <w:sz w:val="24"/>
          <w:szCs w:val="24"/>
        </w:rPr>
        <w:t>Un sujet critique est la pérennité de la DINEPA dans le futur. La DINEPA dépend financièrement en majorité de l’appui des bailleurs de fonds. Les principaux bailleurs de fonds sont la BID, le Fonds de Coopération Espagnol pour les Caraïbes et l’Amérique latine, la banque Mondiale, l’UNICEF et la Coopération Suisse. Les bailleurs de fonds financent presque la totalité des couts opérationnels de la DINEPA, ce qui pose un risque pour sa pérennité sur le long terme. La contribution du GOH, depuis 2012, ne dépasse pas les 6% du budget de fonctionnement de la DINEPA et la contribution du GoH est de moins de 2% du budget d’investissements de la DINEPA. Depuis 2013, les bailleurs de fonds subventionnent les couts de fonctionnement de la DINEPA sur la base d’indicateurs de résultats assignes à chacune de ses directions, et depuis 2015, aux OREPAs. Ce mécanisme innovant – qui est le seul au niveau des organismes d’exécution en Haïti – motive le personnel de la DINEPA pour produire les résultats espères tant au niveau de l’institution qu’au niveau de l’exécution des projets.</w:t>
      </w:r>
    </w:p>
    <w:p w:rsidR="00D44C89" w:rsidRPr="006E1465" w:rsidRDefault="00D44C89" w:rsidP="006E1465">
      <w:pPr>
        <w:ind w:left="360"/>
        <w:rPr>
          <w:rFonts w:ascii="Arial" w:hAnsi="Arial" w:cs="Arial"/>
          <w:sz w:val="24"/>
          <w:szCs w:val="24"/>
        </w:rPr>
      </w:pPr>
      <w:r w:rsidRPr="006E1465">
        <w:rPr>
          <w:rFonts w:ascii="Arial" w:hAnsi="Arial" w:cs="Arial"/>
          <w:sz w:val="24"/>
          <w:szCs w:val="24"/>
        </w:rPr>
        <w:t xml:space="preserve">Une des activités en cours avec l’actualisation du Plan stratégique sectoriel (HA-T1194) correspond à l’élaboration du plan de financement du secteur pour les 5 prochaines années (2016-2020), sur la base de projections de l’évolution des 3 principales sources de financement du secteur (vente d’eau, contribution de l’Etat et appui des bailleurs de fonds). </w:t>
      </w:r>
    </w:p>
    <w:p w:rsidR="00771EB5" w:rsidRDefault="0017049A" w:rsidP="00771EB5">
      <w:pPr>
        <w:ind w:left="360"/>
        <w:rPr>
          <w:rFonts w:ascii="Arial" w:eastAsia="Times New Roman" w:hAnsi="Arial" w:cs="Arial"/>
          <w:sz w:val="24"/>
          <w:szCs w:val="24"/>
        </w:rPr>
      </w:pPr>
      <w:r w:rsidRPr="005F2436">
        <w:rPr>
          <w:rFonts w:ascii="Arial" w:eastAsia="Times New Roman" w:hAnsi="Arial" w:cs="Arial"/>
          <w:b/>
          <w:sz w:val="28"/>
          <w:szCs w:val="28"/>
        </w:rPr>
        <w:t>OREPA Nord</w:t>
      </w:r>
      <w:r w:rsidRPr="005F2436">
        <w:rPr>
          <w:rFonts w:ascii="Arial" w:eastAsia="Times New Roman" w:hAnsi="Arial" w:cs="Arial"/>
          <w:b/>
          <w:sz w:val="24"/>
          <w:szCs w:val="24"/>
        </w:rPr>
        <w:t>.</w:t>
      </w:r>
      <w:r w:rsidRPr="005F2436">
        <w:rPr>
          <w:rFonts w:ascii="Arial" w:eastAsia="Times New Roman" w:hAnsi="Arial" w:cs="Arial"/>
          <w:sz w:val="24"/>
          <w:szCs w:val="24"/>
        </w:rPr>
        <w:t xml:space="preserve"> </w:t>
      </w:r>
      <w:r w:rsidR="00771EB5" w:rsidRPr="00971282">
        <w:rPr>
          <w:rFonts w:ascii="Arial" w:eastAsia="Times New Roman" w:hAnsi="Arial" w:cs="Arial"/>
          <w:sz w:val="24"/>
          <w:szCs w:val="24"/>
        </w:rPr>
        <w:t xml:space="preserve">L’OREPA Nord </w:t>
      </w:r>
      <w:r w:rsidR="00771EB5">
        <w:rPr>
          <w:rFonts w:ascii="Arial" w:eastAsia="Times New Roman" w:hAnsi="Arial" w:cs="Arial"/>
          <w:sz w:val="24"/>
          <w:szCs w:val="24"/>
        </w:rPr>
        <w:t xml:space="preserve">est une </w:t>
      </w:r>
      <w:r w:rsidR="00AA01F4">
        <w:rPr>
          <w:rFonts w:ascii="Arial" w:eastAsia="Times New Roman" w:hAnsi="Arial" w:cs="Arial"/>
          <w:sz w:val="24"/>
          <w:szCs w:val="24"/>
        </w:rPr>
        <w:t>entité</w:t>
      </w:r>
      <w:r w:rsidR="00771EB5">
        <w:rPr>
          <w:rFonts w:ascii="Arial" w:eastAsia="Times New Roman" w:hAnsi="Arial" w:cs="Arial"/>
          <w:sz w:val="24"/>
          <w:szCs w:val="24"/>
        </w:rPr>
        <w:t xml:space="preserve"> </w:t>
      </w:r>
      <w:r w:rsidR="00AA01F4">
        <w:rPr>
          <w:rFonts w:ascii="Arial" w:eastAsia="Times New Roman" w:hAnsi="Arial" w:cs="Arial"/>
          <w:sz w:val="24"/>
          <w:szCs w:val="24"/>
        </w:rPr>
        <w:t>déconcentrée</w:t>
      </w:r>
      <w:r w:rsidR="00771EB5">
        <w:rPr>
          <w:rFonts w:ascii="Arial" w:eastAsia="Times New Roman" w:hAnsi="Arial" w:cs="Arial"/>
          <w:sz w:val="24"/>
          <w:szCs w:val="24"/>
        </w:rPr>
        <w:t xml:space="preserve"> de la DINEPA qui supervise les </w:t>
      </w:r>
      <w:r w:rsidR="00AA01F4">
        <w:rPr>
          <w:rFonts w:ascii="Arial" w:eastAsia="Times New Roman" w:hAnsi="Arial" w:cs="Arial"/>
          <w:sz w:val="24"/>
          <w:szCs w:val="24"/>
        </w:rPr>
        <w:t>opérateurs</w:t>
      </w:r>
      <w:r w:rsidR="00771EB5">
        <w:rPr>
          <w:rFonts w:ascii="Arial" w:eastAsia="Times New Roman" w:hAnsi="Arial" w:cs="Arial"/>
          <w:sz w:val="24"/>
          <w:szCs w:val="24"/>
        </w:rPr>
        <w:t xml:space="preserve"> d’eau et d’assainissement responsables de fournir les services dans les zones urbaines et rurales des </w:t>
      </w:r>
      <w:r w:rsidR="00AA01F4">
        <w:rPr>
          <w:rFonts w:ascii="Arial" w:eastAsia="Times New Roman" w:hAnsi="Arial" w:cs="Arial"/>
          <w:sz w:val="24"/>
          <w:szCs w:val="24"/>
        </w:rPr>
        <w:t>régions</w:t>
      </w:r>
      <w:r w:rsidR="00771EB5">
        <w:rPr>
          <w:rFonts w:ascii="Arial" w:eastAsia="Times New Roman" w:hAnsi="Arial" w:cs="Arial"/>
          <w:sz w:val="24"/>
          <w:szCs w:val="24"/>
        </w:rPr>
        <w:t xml:space="preserve"> nord, </w:t>
      </w:r>
      <w:r w:rsidR="00AA01F4">
        <w:rPr>
          <w:rFonts w:ascii="Arial" w:eastAsia="Times New Roman" w:hAnsi="Arial" w:cs="Arial"/>
          <w:sz w:val="24"/>
          <w:szCs w:val="24"/>
        </w:rPr>
        <w:t>nord-est</w:t>
      </w:r>
      <w:r w:rsidR="00771EB5">
        <w:rPr>
          <w:rFonts w:ascii="Arial" w:eastAsia="Times New Roman" w:hAnsi="Arial" w:cs="Arial"/>
          <w:sz w:val="24"/>
          <w:szCs w:val="24"/>
        </w:rPr>
        <w:t xml:space="preserve"> et </w:t>
      </w:r>
      <w:r w:rsidR="00AA01F4">
        <w:rPr>
          <w:rFonts w:ascii="Arial" w:eastAsia="Times New Roman" w:hAnsi="Arial" w:cs="Arial"/>
          <w:sz w:val="24"/>
          <w:szCs w:val="24"/>
        </w:rPr>
        <w:t>nord-ouest</w:t>
      </w:r>
      <w:r w:rsidR="00771EB5">
        <w:rPr>
          <w:rFonts w:ascii="Arial" w:eastAsia="Times New Roman" w:hAnsi="Arial" w:cs="Arial"/>
          <w:sz w:val="24"/>
          <w:szCs w:val="24"/>
        </w:rPr>
        <w:t xml:space="preserve"> du pays. L’OREPA nord a été </w:t>
      </w:r>
      <w:r w:rsidR="00AA01F4">
        <w:rPr>
          <w:rFonts w:ascii="Arial" w:eastAsia="Times New Roman" w:hAnsi="Arial" w:cs="Arial"/>
          <w:sz w:val="24"/>
          <w:szCs w:val="24"/>
        </w:rPr>
        <w:t>créée</w:t>
      </w:r>
      <w:r w:rsidR="00771EB5">
        <w:rPr>
          <w:rFonts w:ascii="Arial" w:eastAsia="Times New Roman" w:hAnsi="Arial" w:cs="Arial"/>
          <w:sz w:val="24"/>
          <w:szCs w:val="24"/>
        </w:rPr>
        <w:t xml:space="preserve"> en 2011 </w:t>
      </w:r>
      <w:r w:rsidR="00AA01F4">
        <w:rPr>
          <w:rFonts w:ascii="Arial" w:eastAsia="Times New Roman" w:hAnsi="Arial" w:cs="Arial"/>
          <w:sz w:val="24"/>
          <w:szCs w:val="24"/>
        </w:rPr>
        <w:t>et a</w:t>
      </w:r>
      <w:r w:rsidR="00771EB5">
        <w:rPr>
          <w:rFonts w:ascii="Arial" w:eastAsia="Times New Roman" w:hAnsi="Arial" w:cs="Arial"/>
          <w:sz w:val="24"/>
          <w:szCs w:val="24"/>
        </w:rPr>
        <w:t xml:space="preserve"> sa </w:t>
      </w:r>
      <w:r w:rsidR="00AA01F4">
        <w:rPr>
          <w:rFonts w:ascii="Arial" w:eastAsia="Times New Roman" w:hAnsi="Arial" w:cs="Arial"/>
          <w:sz w:val="24"/>
          <w:szCs w:val="24"/>
        </w:rPr>
        <w:t>tête</w:t>
      </w:r>
      <w:r w:rsidR="00771EB5">
        <w:rPr>
          <w:rFonts w:ascii="Arial" w:eastAsia="Times New Roman" w:hAnsi="Arial" w:cs="Arial"/>
          <w:sz w:val="24"/>
          <w:szCs w:val="24"/>
        </w:rPr>
        <w:t xml:space="preserve"> un Directeur qui reporte directement au Directeur </w:t>
      </w:r>
      <w:r w:rsidR="00AA01F4">
        <w:rPr>
          <w:rFonts w:ascii="Arial" w:eastAsia="Times New Roman" w:hAnsi="Arial" w:cs="Arial"/>
          <w:sz w:val="24"/>
          <w:szCs w:val="24"/>
        </w:rPr>
        <w:t>général</w:t>
      </w:r>
      <w:r w:rsidR="00771EB5">
        <w:rPr>
          <w:rFonts w:ascii="Arial" w:eastAsia="Times New Roman" w:hAnsi="Arial" w:cs="Arial"/>
          <w:sz w:val="24"/>
          <w:szCs w:val="24"/>
        </w:rPr>
        <w:t xml:space="preserve"> de la DINEPA. L’</w:t>
      </w:r>
      <w:r w:rsidR="00AA01F4">
        <w:rPr>
          <w:rFonts w:ascii="Arial" w:eastAsia="Times New Roman" w:hAnsi="Arial" w:cs="Arial"/>
          <w:sz w:val="24"/>
          <w:szCs w:val="24"/>
        </w:rPr>
        <w:t>unité</w:t>
      </w:r>
      <w:r w:rsidR="00771EB5">
        <w:rPr>
          <w:rFonts w:ascii="Arial" w:eastAsia="Times New Roman" w:hAnsi="Arial" w:cs="Arial"/>
          <w:sz w:val="24"/>
          <w:szCs w:val="24"/>
        </w:rPr>
        <w:t xml:space="preserve"> administrative est </w:t>
      </w:r>
      <w:r w:rsidR="00AA01F4">
        <w:rPr>
          <w:rFonts w:ascii="Arial" w:eastAsia="Times New Roman" w:hAnsi="Arial" w:cs="Arial"/>
          <w:sz w:val="24"/>
          <w:szCs w:val="24"/>
        </w:rPr>
        <w:t>constituée</w:t>
      </w:r>
      <w:r w:rsidR="00771EB5">
        <w:rPr>
          <w:rFonts w:ascii="Arial" w:eastAsia="Times New Roman" w:hAnsi="Arial" w:cs="Arial"/>
          <w:sz w:val="24"/>
          <w:szCs w:val="24"/>
        </w:rPr>
        <w:t xml:space="preserve"> d’un comptable </w:t>
      </w:r>
      <w:r w:rsidR="00AA01F4">
        <w:rPr>
          <w:rFonts w:ascii="Arial" w:eastAsia="Times New Roman" w:hAnsi="Arial" w:cs="Arial"/>
          <w:sz w:val="24"/>
          <w:szCs w:val="24"/>
        </w:rPr>
        <w:t>et</w:t>
      </w:r>
      <w:r w:rsidR="00771EB5">
        <w:rPr>
          <w:rFonts w:ascii="Arial" w:eastAsia="Times New Roman" w:hAnsi="Arial" w:cs="Arial"/>
          <w:sz w:val="24"/>
          <w:szCs w:val="24"/>
        </w:rPr>
        <w:t xml:space="preserve"> d’une assistante </w:t>
      </w:r>
      <w:r w:rsidR="00AA01F4">
        <w:rPr>
          <w:rFonts w:ascii="Arial" w:eastAsia="Times New Roman" w:hAnsi="Arial" w:cs="Arial"/>
          <w:sz w:val="24"/>
          <w:szCs w:val="24"/>
        </w:rPr>
        <w:t>administrative</w:t>
      </w:r>
      <w:r w:rsidR="00771EB5">
        <w:rPr>
          <w:rFonts w:ascii="Arial" w:eastAsia="Times New Roman" w:hAnsi="Arial" w:cs="Arial"/>
          <w:sz w:val="24"/>
          <w:szCs w:val="24"/>
        </w:rPr>
        <w:t xml:space="preserve">. L’OREPA nord supervise les </w:t>
      </w:r>
      <w:r w:rsidR="00AA01F4">
        <w:rPr>
          <w:rFonts w:ascii="Arial" w:eastAsia="Times New Roman" w:hAnsi="Arial" w:cs="Arial"/>
          <w:sz w:val="24"/>
          <w:szCs w:val="24"/>
        </w:rPr>
        <w:t>opérations</w:t>
      </w:r>
      <w:r w:rsidR="00771EB5">
        <w:rPr>
          <w:rFonts w:ascii="Arial" w:eastAsia="Times New Roman" w:hAnsi="Arial" w:cs="Arial"/>
          <w:sz w:val="24"/>
          <w:szCs w:val="24"/>
        </w:rPr>
        <w:t xml:space="preserve"> </w:t>
      </w:r>
      <w:r w:rsidR="00AA01F4">
        <w:rPr>
          <w:rFonts w:ascii="Arial" w:eastAsia="Times New Roman" w:hAnsi="Arial" w:cs="Arial"/>
          <w:sz w:val="24"/>
          <w:szCs w:val="24"/>
        </w:rPr>
        <w:t>financières</w:t>
      </w:r>
      <w:r w:rsidR="00771EB5">
        <w:rPr>
          <w:rFonts w:ascii="Arial" w:eastAsia="Times New Roman" w:hAnsi="Arial" w:cs="Arial"/>
          <w:sz w:val="24"/>
          <w:szCs w:val="24"/>
        </w:rPr>
        <w:t xml:space="preserve"> des CTEs et des CAEPAs au travers de ses </w:t>
      </w:r>
      <w:r w:rsidR="00AA01F4">
        <w:rPr>
          <w:rFonts w:ascii="Arial" w:eastAsia="Times New Roman" w:hAnsi="Arial" w:cs="Arial"/>
          <w:sz w:val="24"/>
          <w:szCs w:val="24"/>
        </w:rPr>
        <w:t>unités</w:t>
      </w:r>
      <w:r w:rsidR="00771EB5">
        <w:rPr>
          <w:rFonts w:ascii="Arial" w:eastAsia="Times New Roman" w:hAnsi="Arial" w:cs="Arial"/>
          <w:sz w:val="24"/>
          <w:szCs w:val="24"/>
        </w:rPr>
        <w:t xml:space="preserve"> </w:t>
      </w:r>
      <w:r w:rsidR="00AA01F4">
        <w:rPr>
          <w:rFonts w:ascii="Arial" w:eastAsia="Times New Roman" w:hAnsi="Arial" w:cs="Arial"/>
          <w:sz w:val="24"/>
          <w:szCs w:val="24"/>
        </w:rPr>
        <w:t>départementales</w:t>
      </w:r>
      <w:r w:rsidR="00771EB5">
        <w:rPr>
          <w:rFonts w:ascii="Arial" w:eastAsia="Times New Roman" w:hAnsi="Arial" w:cs="Arial"/>
          <w:sz w:val="24"/>
          <w:szCs w:val="24"/>
        </w:rPr>
        <w:t xml:space="preserve"> (URDs). </w:t>
      </w:r>
    </w:p>
    <w:p w:rsidR="003F50AE" w:rsidRDefault="003F50AE" w:rsidP="005F2436">
      <w:pPr>
        <w:ind w:left="360"/>
        <w:rPr>
          <w:rFonts w:ascii="Arial" w:eastAsia="Times New Roman" w:hAnsi="Arial" w:cs="Arial"/>
          <w:sz w:val="24"/>
          <w:szCs w:val="24"/>
        </w:rPr>
      </w:pPr>
      <w:r w:rsidRPr="005F2436">
        <w:rPr>
          <w:rFonts w:ascii="Arial" w:eastAsia="Times New Roman" w:hAnsi="Arial" w:cs="Arial"/>
          <w:sz w:val="24"/>
          <w:szCs w:val="24"/>
        </w:rPr>
        <w:t xml:space="preserve">L’OREPA Nord a une expérience limitée de l’exécution de projets. Elle est actuellement en train d’exécuter un projet pour World Vision d’un montant de US$400,000 et a exécuté un projet pour OXFAM de HTG 25,000,000. L’OREPA Nord n’a pas de système comptable en place actuellement. Tous les rapports financiers sont préparés sur Excel.  L’OREPA </w:t>
      </w:r>
      <w:r w:rsidR="00771EB5">
        <w:rPr>
          <w:rFonts w:ascii="Arial" w:eastAsia="Times New Roman" w:hAnsi="Arial" w:cs="Arial"/>
          <w:sz w:val="24"/>
          <w:szCs w:val="24"/>
        </w:rPr>
        <w:t xml:space="preserve">Nord </w:t>
      </w:r>
      <w:r w:rsidRPr="005F2436">
        <w:rPr>
          <w:rFonts w:ascii="Arial" w:eastAsia="Times New Roman" w:hAnsi="Arial" w:cs="Arial"/>
          <w:sz w:val="24"/>
          <w:szCs w:val="24"/>
        </w:rPr>
        <w:t xml:space="preserve">ne dispose pas de fonds propres. La redevance des 4% sur la vente de l’eau est transférée à la DINEPA </w:t>
      </w:r>
      <w:r w:rsidRPr="005F2436">
        <w:rPr>
          <w:rFonts w:ascii="Arial" w:eastAsia="Times New Roman" w:hAnsi="Arial" w:cs="Arial"/>
          <w:sz w:val="24"/>
          <w:szCs w:val="24"/>
        </w:rPr>
        <w:lastRenderedPageBreak/>
        <w:t>pour le moment en attendant la loi organique qui permettra de mieux encadrer légalement l’utilisation du fonds.</w:t>
      </w:r>
    </w:p>
    <w:p w:rsidR="002A71D3" w:rsidRPr="00BC0EA6" w:rsidRDefault="00BC0EA6" w:rsidP="00BC0EA6">
      <w:pPr>
        <w:pStyle w:val="Default"/>
        <w:ind w:left="360"/>
        <w:jc w:val="both"/>
        <w:rPr>
          <w:lang w:val="fr-FR"/>
        </w:rPr>
      </w:pPr>
      <w:r w:rsidRPr="00BC0EA6">
        <w:rPr>
          <w:lang w:val="fr-FR"/>
        </w:rPr>
        <w:t>Dans le cadre de la préparation du pro</w:t>
      </w:r>
      <w:r>
        <w:rPr>
          <w:lang w:val="fr-FR"/>
        </w:rPr>
        <w:t>jet, une évaluation institutionnelle a été réalisée à l’aide du système PACI</w:t>
      </w:r>
      <w:r w:rsidR="001A4DBC">
        <w:rPr>
          <w:rStyle w:val="FootnoteReference"/>
          <w:lang w:val="fr-FR"/>
        </w:rPr>
        <w:footnoteReference w:id="2"/>
      </w:r>
      <w:r w:rsidR="0015152D">
        <w:rPr>
          <w:lang w:val="fr-FR"/>
        </w:rPr>
        <w:t xml:space="preserve"> (Plateforme pour l’Analyse de la Capacite Institutionnelle)</w:t>
      </w:r>
      <w:r>
        <w:rPr>
          <w:lang w:val="fr-FR"/>
        </w:rPr>
        <w:t xml:space="preserve">. </w:t>
      </w:r>
      <w:r w:rsidRPr="00BC0EA6">
        <w:rPr>
          <w:lang w:val="fr-FR"/>
        </w:rPr>
        <w:t>Du fait de l’accroissement des responsabilités de la DINEPA au niveau des passations de marches et du fait que l’OREPA Nord n’a pas exécuté de projet</w:t>
      </w:r>
      <w:r>
        <w:rPr>
          <w:lang w:val="fr-FR"/>
        </w:rPr>
        <w:t xml:space="preserve">s finances par la Banque, </w:t>
      </w:r>
      <w:r w:rsidR="00771EB5">
        <w:rPr>
          <w:lang w:val="fr-FR"/>
        </w:rPr>
        <w:t xml:space="preserve">il est </w:t>
      </w:r>
      <w:r w:rsidR="00AA01F4">
        <w:rPr>
          <w:lang w:val="fr-FR"/>
        </w:rPr>
        <w:t>nécessaire</w:t>
      </w:r>
      <w:r w:rsidR="00771EB5">
        <w:rPr>
          <w:lang w:val="fr-FR"/>
        </w:rPr>
        <w:t xml:space="preserve"> de renforcer la DINEPA et l’OREPA </w:t>
      </w:r>
      <w:r w:rsidR="00AA01F4">
        <w:rPr>
          <w:lang w:val="fr-FR"/>
        </w:rPr>
        <w:t>Nord en</w:t>
      </w:r>
      <w:r w:rsidR="00771EB5">
        <w:rPr>
          <w:lang w:val="fr-FR"/>
        </w:rPr>
        <w:t xml:space="preserve"> ce qui concerne la</w:t>
      </w:r>
      <w:r w:rsidRPr="00BC0EA6">
        <w:rPr>
          <w:lang w:val="fr-FR"/>
        </w:rPr>
        <w:t xml:space="preserve"> passation de marches.</w:t>
      </w:r>
      <w:r>
        <w:rPr>
          <w:lang w:val="fr-FR"/>
        </w:rPr>
        <w:t xml:space="preserve"> De plus, l’OREPA Nord sera renforcée dans sa gestion financière avec le recrutement d’un comptabl</w:t>
      </w:r>
      <w:r w:rsidR="00AA01F4">
        <w:rPr>
          <w:lang w:val="fr-FR"/>
        </w:rPr>
        <w:t>e et d’un analyste financier.</w:t>
      </w:r>
    </w:p>
    <w:p w:rsidR="002A71D3" w:rsidRPr="00BC0EA6" w:rsidRDefault="002A71D3" w:rsidP="002A71D3">
      <w:pPr>
        <w:pStyle w:val="Paragraph"/>
        <w:numPr>
          <w:ilvl w:val="0"/>
          <w:numId w:val="0"/>
        </w:numPr>
        <w:rPr>
          <w:rFonts w:ascii="Arial" w:hAnsi="Arial" w:cs="Arial"/>
          <w:szCs w:val="24"/>
          <w:lang w:val="fr-FR"/>
        </w:rPr>
      </w:pPr>
    </w:p>
    <w:p w:rsidR="00E64C0B" w:rsidRPr="00D424E1" w:rsidRDefault="00937892" w:rsidP="00BD7EF5">
      <w:pPr>
        <w:pStyle w:val="Heading1"/>
        <w:numPr>
          <w:ilvl w:val="0"/>
          <w:numId w:val="12"/>
        </w:numPr>
        <w:shd w:val="clear" w:color="auto" w:fill="FFFFFF"/>
        <w:spacing w:line="330" w:lineRule="atLeast"/>
        <w:rPr>
          <w:rFonts w:ascii="Arial" w:hAnsi="Arial"/>
        </w:rPr>
      </w:pPr>
      <w:r w:rsidRPr="00D424E1">
        <w:rPr>
          <w:rFonts w:ascii="Arial" w:hAnsi="Arial"/>
        </w:rPr>
        <w:t>L</w:t>
      </w:r>
      <w:r w:rsidR="00E64C0B" w:rsidRPr="00D424E1">
        <w:rPr>
          <w:rFonts w:ascii="Arial" w:hAnsi="Arial"/>
        </w:rPr>
        <w:t>e CTE de Cap haïtien et état du réseau d’eau potable et d’assainissement</w:t>
      </w:r>
      <w:r w:rsidR="004037A1">
        <w:rPr>
          <w:rStyle w:val="FootnoteReference"/>
          <w:rFonts w:ascii="Arial" w:hAnsi="Arial"/>
        </w:rPr>
        <w:footnoteReference w:id="3"/>
      </w:r>
    </w:p>
    <w:p w:rsidR="00A36C7C" w:rsidRPr="009A178D" w:rsidRDefault="00A36C7C" w:rsidP="00BD7EF5">
      <w:pPr>
        <w:pStyle w:val="Heading3"/>
        <w:numPr>
          <w:ilvl w:val="0"/>
          <w:numId w:val="13"/>
        </w:numPr>
        <w:tabs>
          <w:tab w:val="left" w:pos="709"/>
        </w:tabs>
        <w:spacing w:before="480" w:after="240" w:line="240" w:lineRule="auto"/>
        <w:jc w:val="left"/>
        <w:rPr>
          <w:sz w:val="26"/>
          <w:szCs w:val="26"/>
        </w:rPr>
      </w:pPr>
      <w:bookmarkStart w:id="2" w:name="_Toc480235363"/>
      <w:r w:rsidRPr="009A178D">
        <w:rPr>
          <w:sz w:val="26"/>
          <w:szCs w:val="26"/>
        </w:rPr>
        <w:t>Spécificités organisationnelles des CTE</w:t>
      </w:r>
      <w:bookmarkEnd w:id="2"/>
      <w:r w:rsidR="009226AB">
        <w:rPr>
          <w:rStyle w:val="FootnoteReference"/>
          <w:sz w:val="26"/>
          <w:szCs w:val="26"/>
        </w:rPr>
        <w:footnoteReference w:id="4"/>
      </w:r>
    </w:p>
    <w:p w:rsidR="00A36C7C" w:rsidRPr="00EE70D6" w:rsidRDefault="00A36C7C" w:rsidP="00ED72BC">
      <w:pPr>
        <w:ind w:left="360"/>
        <w:rPr>
          <w:rFonts w:ascii="Arial" w:hAnsi="Arial" w:cs="Arial"/>
          <w:b/>
          <w:sz w:val="24"/>
          <w:szCs w:val="24"/>
        </w:rPr>
      </w:pPr>
      <w:r w:rsidRPr="00EE70D6">
        <w:rPr>
          <w:rFonts w:ascii="Arial" w:hAnsi="Arial" w:cs="Arial"/>
          <w:sz w:val="24"/>
          <w:szCs w:val="24"/>
        </w:rPr>
        <w:t xml:space="preserve">Les CTE sont, pour la plupart, des structures indépendantes rattachées aux Offices régionaux d’Eau potable et d’Assainissement (Orepa). Ils disposent d’une équipe dirigée par un directeur et en charge d’assurer l’exploitation des services. En fonction des situations, on constate certaines spécificités organisationnelles. </w:t>
      </w:r>
    </w:p>
    <w:p w:rsidR="00A36C7C" w:rsidRPr="00EE70D6" w:rsidRDefault="00A36C7C" w:rsidP="00A36C7C">
      <w:pPr>
        <w:pStyle w:val="ListParagraph"/>
        <w:numPr>
          <w:ilvl w:val="0"/>
          <w:numId w:val="10"/>
        </w:numPr>
        <w:spacing w:after="0" w:line="240" w:lineRule="auto"/>
        <w:contextualSpacing w:val="0"/>
        <w:rPr>
          <w:rFonts w:ascii="Arial" w:hAnsi="Arial" w:cs="Arial"/>
          <w:sz w:val="24"/>
          <w:szCs w:val="24"/>
        </w:rPr>
      </w:pPr>
      <w:r w:rsidRPr="00EE70D6">
        <w:rPr>
          <w:rFonts w:ascii="Arial" w:hAnsi="Arial" w:cs="Arial"/>
          <w:sz w:val="24"/>
          <w:szCs w:val="24"/>
        </w:rPr>
        <w:t>Un CTE (St Marc) est géré par une entreprise privée dans le cadre d’un contrat de délégation de service public</w:t>
      </w:r>
    </w:p>
    <w:p w:rsidR="00A36C7C" w:rsidRPr="00EE70D6" w:rsidRDefault="00A36C7C" w:rsidP="00A36C7C">
      <w:pPr>
        <w:pStyle w:val="ListParagraph"/>
        <w:numPr>
          <w:ilvl w:val="0"/>
          <w:numId w:val="10"/>
        </w:numPr>
        <w:spacing w:after="0" w:line="240" w:lineRule="auto"/>
        <w:contextualSpacing w:val="0"/>
        <w:rPr>
          <w:rFonts w:ascii="Arial" w:hAnsi="Arial" w:cs="Arial"/>
          <w:sz w:val="24"/>
          <w:szCs w:val="24"/>
        </w:rPr>
      </w:pPr>
      <w:r w:rsidRPr="00EE70D6">
        <w:rPr>
          <w:rFonts w:ascii="Arial" w:hAnsi="Arial" w:cs="Arial"/>
          <w:sz w:val="24"/>
          <w:szCs w:val="24"/>
        </w:rPr>
        <w:t>Un CTE (RMPP) est appuyé par un prestataire (Suez Environnement) ayant une mission d’assistance technique opérationnelle.</w:t>
      </w:r>
    </w:p>
    <w:p w:rsidR="00A36C7C" w:rsidRPr="00EE70D6" w:rsidRDefault="00A36C7C" w:rsidP="00A36C7C">
      <w:pPr>
        <w:pStyle w:val="ListParagraph"/>
        <w:numPr>
          <w:ilvl w:val="0"/>
          <w:numId w:val="10"/>
        </w:numPr>
        <w:spacing w:after="0" w:line="240" w:lineRule="auto"/>
        <w:contextualSpacing w:val="0"/>
        <w:rPr>
          <w:rFonts w:ascii="Arial" w:hAnsi="Arial" w:cs="Arial"/>
          <w:sz w:val="24"/>
          <w:szCs w:val="24"/>
        </w:rPr>
      </w:pPr>
      <w:r w:rsidRPr="00EE70D6">
        <w:rPr>
          <w:rFonts w:ascii="Arial" w:hAnsi="Arial" w:cs="Arial"/>
          <w:sz w:val="24"/>
          <w:szCs w:val="24"/>
        </w:rPr>
        <w:t xml:space="preserve">Plusieurs CTE partagent un même directeur bien qu’ayant des équipes distinctes. Les CTE de Hinche, Mirebalais et Lascahobas sont sous la responsabilité d’un même directeur technique qui joue le rôle de directeur. Les CTE de Gonaïves et St Michel sont sous la responsabilité d’un même directeur. Les CTE de Jean Rabel et Môle St Nicolas sont administrés par l’administrateur du CTE de Port de Paix. </w:t>
      </w:r>
    </w:p>
    <w:p w:rsidR="00A36C7C" w:rsidRPr="00EE70D6" w:rsidRDefault="00A36C7C" w:rsidP="00A36C7C">
      <w:pPr>
        <w:pStyle w:val="ListParagraph"/>
        <w:numPr>
          <w:ilvl w:val="0"/>
          <w:numId w:val="10"/>
        </w:numPr>
        <w:spacing w:after="0" w:line="240" w:lineRule="auto"/>
        <w:contextualSpacing w:val="0"/>
        <w:rPr>
          <w:rFonts w:ascii="Arial" w:hAnsi="Arial" w:cs="Arial"/>
          <w:sz w:val="24"/>
          <w:szCs w:val="24"/>
        </w:rPr>
      </w:pPr>
      <w:r w:rsidRPr="00EE70D6">
        <w:rPr>
          <w:rFonts w:ascii="Arial" w:hAnsi="Arial" w:cs="Arial"/>
          <w:sz w:val="24"/>
          <w:szCs w:val="24"/>
        </w:rPr>
        <w:t xml:space="preserve">Plusieurs CTE n’ont pas de directeur et </w:t>
      </w:r>
      <w:r w:rsidR="00423748" w:rsidRPr="00EE70D6">
        <w:rPr>
          <w:rFonts w:ascii="Arial" w:hAnsi="Arial" w:cs="Arial"/>
          <w:sz w:val="24"/>
          <w:szCs w:val="24"/>
        </w:rPr>
        <w:t>son</w:t>
      </w:r>
      <w:r w:rsidRPr="00EE70D6">
        <w:rPr>
          <w:rFonts w:ascii="Arial" w:hAnsi="Arial" w:cs="Arial"/>
          <w:sz w:val="24"/>
          <w:szCs w:val="24"/>
        </w:rPr>
        <w:t xml:space="preserve"> </w:t>
      </w:r>
      <w:r w:rsidR="00423748" w:rsidRPr="00EE70D6">
        <w:rPr>
          <w:rFonts w:ascii="Arial" w:hAnsi="Arial" w:cs="Arial"/>
          <w:sz w:val="24"/>
          <w:szCs w:val="24"/>
        </w:rPr>
        <w:t>directeur et</w:t>
      </w:r>
      <w:r w:rsidRPr="00EE70D6">
        <w:rPr>
          <w:rFonts w:ascii="Arial" w:hAnsi="Arial" w:cs="Arial"/>
          <w:sz w:val="24"/>
          <w:szCs w:val="24"/>
        </w:rPr>
        <w:t xml:space="preserve"> sont accompagnés de manière plu rapprochée par l'Orepa ou un autre CTE. C'est le cas de Grand Goave (Orepa Ouest), Môle St Nicolas et Jean Rabel (CTE Port de Paix). </w:t>
      </w:r>
    </w:p>
    <w:p w:rsidR="00A36C7C" w:rsidRPr="00EE70D6" w:rsidRDefault="00A36C7C" w:rsidP="00A36C7C">
      <w:pPr>
        <w:pStyle w:val="ListParagraph"/>
        <w:numPr>
          <w:ilvl w:val="0"/>
          <w:numId w:val="10"/>
        </w:numPr>
        <w:spacing w:after="0" w:line="240" w:lineRule="auto"/>
        <w:contextualSpacing w:val="0"/>
        <w:rPr>
          <w:rFonts w:ascii="Arial" w:hAnsi="Arial" w:cs="Arial"/>
          <w:sz w:val="24"/>
          <w:szCs w:val="24"/>
        </w:rPr>
      </w:pPr>
      <w:r w:rsidRPr="00EE70D6">
        <w:rPr>
          <w:rFonts w:ascii="Arial" w:hAnsi="Arial" w:cs="Arial"/>
          <w:sz w:val="24"/>
          <w:szCs w:val="24"/>
        </w:rPr>
        <w:t xml:space="preserve">Dans la même logique, les CTE qui n’ont pas de directeur propre n’ont généralement pas de compte en banque propre. Les CTE qui sont dans ce cas déposent leurs recettes sur le compte d’un autre CTE. Leurs dépenses sont également réalisées par chèque émis par le directeur du CTE dont le compte héberge les fonds du CTE ne disposant pas de compte. </w:t>
      </w:r>
    </w:p>
    <w:p w:rsidR="00A36C7C" w:rsidRPr="00EE70D6" w:rsidRDefault="00A36C7C" w:rsidP="00C758CC">
      <w:pPr>
        <w:ind w:left="360"/>
        <w:rPr>
          <w:rFonts w:ascii="Arial" w:hAnsi="Arial" w:cs="Arial"/>
          <w:sz w:val="24"/>
          <w:szCs w:val="24"/>
        </w:rPr>
      </w:pPr>
    </w:p>
    <w:p w:rsidR="00A36C7C" w:rsidRPr="0044140F" w:rsidRDefault="0044140F" w:rsidP="00C758CC">
      <w:pPr>
        <w:ind w:left="360"/>
        <w:rPr>
          <w:rFonts w:ascii="Arial" w:hAnsi="Arial" w:cs="Arial"/>
          <w:sz w:val="24"/>
          <w:szCs w:val="24"/>
        </w:rPr>
      </w:pPr>
      <w:r w:rsidRPr="00EE70D6">
        <w:rPr>
          <w:rFonts w:ascii="Arial" w:hAnsi="Arial" w:cs="Arial"/>
          <w:sz w:val="24"/>
          <w:szCs w:val="24"/>
        </w:rPr>
        <w:lastRenderedPageBreak/>
        <w:t>Du fait de l’arrêt de la réforme du secteur de l’eau, les CTE n’ont, à ce jour, aucune existence juridique. Ils n’ont donc pas la capacité juridique de conserver les recettes qu’ils collectent.</w:t>
      </w:r>
      <w:r w:rsidR="00214235">
        <w:rPr>
          <w:rFonts w:ascii="Arial" w:hAnsi="Arial" w:cs="Arial"/>
          <w:sz w:val="24"/>
          <w:szCs w:val="24"/>
        </w:rPr>
        <w:t xml:space="preserve"> Tout comme dans le cas de Port-au-Prince, le CTE de Cao haïtien recevra un appui externe pour lui permettre d’améliorer sa gestion et sa situation financière. Actuellement, le CTE ne couvre pas ses couts d’exploitation. La section suivante décrit la situation du CTE de Cap haïtien et les activités prévues pour son amélioration ainsi que le plan d’affaires qui est proposé.</w:t>
      </w:r>
    </w:p>
    <w:p w:rsidR="00A36C7C" w:rsidRPr="0044140F" w:rsidRDefault="00A36C7C" w:rsidP="00C758CC">
      <w:pPr>
        <w:ind w:left="360"/>
        <w:rPr>
          <w:rFonts w:ascii="Arial" w:hAnsi="Arial" w:cs="Arial"/>
          <w:sz w:val="24"/>
          <w:szCs w:val="24"/>
        </w:rPr>
      </w:pPr>
    </w:p>
    <w:p w:rsidR="00A36C7C" w:rsidRDefault="00CE5443" w:rsidP="00BD402D">
      <w:pPr>
        <w:pStyle w:val="Heading1"/>
        <w:numPr>
          <w:ilvl w:val="0"/>
          <w:numId w:val="13"/>
        </w:numPr>
      </w:pPr>
      <w:r w:rsidRPr="00BD7EF5">
        <w:t>L</w:t>
      </w:r>
      <w:r w:rsidR="009A178D">
        <w:t>e</w:t>
      </w:r>
      <w:r w:rsidRPr="00BD7EF5">
        <w:t xml:space="preserve"> CTE de Cap haitien</w:t>
      </w:r>
      <w:r w:rsidR="007545AE">
        <w:rPr>
          <w:rStyle w:val="FootnoteReference"/>
        </w:rPr>
        <w:footnoteReference w:id="5"/>
      </w:r>
    </w:p>
    <w:tbl>
      <w:tblPr>
        <w:tblStyle w:val="TableGrid"/>
        <w:tblW w:w="0" w:type="auto"/>
        <w:jc w:val="center"/>
        <w:tblLook w:val="04A0" w:firstRow="1" w:lastRow="0" w:firstColumn="1" w:lastColumn="0" w:noHBand="0" w:noVBand="1"/>
      </w:tblPr>
      <w:tblGrid>
        <w:gridCol w:w="3794"/>
        <w:gridCol w:w="2027"/>
      </w:tblGrid>
      <w:tr w:rsidR="00EC07CA" w:rsidRPr="00EC530F" w:rsidTr="00CE3425">
        <w:trPr>
          <w:jc w:val="center"/>
        </w:trPr>
        <w:tc>
          <w:tcPr>
            <w:tcW w:w="3794" w:type="dxa"/>
            <w:shd w:val="clear" w:color="auto" w:fill="E7E6E6" w:themeFill="background2"/>
          </w:tcPr>
          <w:p w:rsidR="00EC07CA" w:rsidRPr="00EC530F" w:rsidRDefault="007E6A69" w:rsidP="00CE3425">
            <w:pPr>
              <w:contextualSpacing/>
              <w:jc w:val="center"/>
              <w:rPr>
                <w:b/>
              </w:rPr>
            </w:pPr>
            <w:r w:rsidRPr="00EC530F">
              <w:rPr>
                <w:b/>
              </w:rPr>
              <w:t xml:space="preserve">Données </w:t>
            </w:r>
            <w:r>
              <w:rPr>
                <w:b/>
              </w:rPr>
              <w:t>générales</w:t>
            </w:r>
            <w:r w:rsidR="007E2E00">
              <w:rPr>
                <w:rStyle w:val="FootnoteReference"/>
                <w:b/>
              </w:rPr>
              <w:footnoteReference w:id="6"/>
            </w:r>
          </w:p>
        </w:tc>
        <w:tc>
          <w:tcPr>
            <w:tcW w:w="2027" w:type="dxa"/>
            <w:shd w:val="clear" w:color="auto" w:fill="E7E6E6" w:themeFill="background2"/>
          </w:tcPr>
          <w:p w:rsidR="00EC07CA" w:rsidRPr="00EC530F" w:rsidRDefault="00EC07CA" w:rsidP="00CE3425">
            <w:pPr>
              <w:contextualSpacing/>
              <w:jc w:val="center"/>
              <w:rPr>
                <w:b/>
              </w:rPr>
            </w:pPr>
            <w:r w:rsidRPr="00EC530F">
              <w:rPr>
                <w:b/>
              </w:rPr>
              <w:t>Valeur</w:t>
            </w:r>
          </w:p>
        </w:tc>
      </w:tr>
      <w:tr w:rsidR="00EC07CA" w:rsidRPr="00EC530F" w:rsidTr="00CE3425">
        <w:trPr>
          <w:jc w:val="center"/>
        </w:trPr>
        <w:tc>
          <w:tcPr>
            <w:tcW w:w="5821" w:type="dxa"/>
            <w:gridSpan w:val="2"/>
          </w:tcPr>
          <w:p w:rsidR="00EC07CA" w:rsidRPr="00EC530F" w:rsidRDefault="00EC07CA" w:rsidP="00CE3425">
            <w:pPr>
              <w:contextualSpacing/>
            </w:pPr>
            <w:r w:rsidRPr="00EC530F">
              <w:rPr>
                <w:b/>
                <w:color w:val="FF0000"/>
                <w:sz w:val="20"/>
                <w:szCs w:val="20"/>
              </w:rPr>
              <w:t>Patrimoine</w:t>
            </w:r>
          </w:p>
        </w:tc>
      </w:tr>
      <w:tr w:rsidR="00EC07CA" w:rsidRPr="00EC530F" w:rsidTr="00CE3425">
        <w:trPr>
          <w:jc w:val="center"/>
        </w:trPr>
        <w:tc>
          <w:tcPr>
            <w:tcW w:w="3794" w:type="dxa"/>
          </w:tcPr>
          <w:p w:rsidR="00EC07CA" w:rsidRPr="00EC530F" w:rsidRDefault="00EC07CA" w:rsidP="00CE3425">
            <w:pPr>
              <w:contextualSpacing/>
              <w:rPr>
                <w:sz w:val="20"/>
                <w:szCs w:val="20"/>
              </w:rPr>
            </w:pPr>
            <w:r w:rsidRPr="00EC530F">
              <w:rPr>
                <w:sz w:val="20"/>
                <w:szCs w:val="20"/>
              </w:rPr>
              <w:t xml:space="preserve">Linéaire total </w:t>
            </w:r>
            <w:r w:rsidRPr="00EC530F">
              <w:rPr>
                <w:i/>
                <w:sz w:val="20"/>
                <w:szCs w:val="20"/>
              </w:rPr>
              <w:t>[</w:t>
            </w:r>
            <w:r w:rsidR="00423748" w:rsidRPr="00EC530F">
              <w:rPr>
                <w:i/>
                <w:sz w:val="20"/>
                <w:szCs w:val="20"/>
              </w:rPr>
              <w:t>ml</w:t>
            </w:r>
            <w:r w:rsidRPr="00EC530F">
              <w:rPr>
                <w:i/>
                <w:sz w:val="20"/>
                <w:szCs w:val="20"/>
              </w:rPr>
              <w:t>]</w:t>
            </w:r>
          </w:p>
        </w:tc>
        <w:tc>
          <w:tcPr>
            <w:tcW w:w="2027" w:type="dxa"/>
          </w:tcPr>
          <w:p w:rsidR="00EC07CA" w:rsidRPr="00EC530F" w:rsidRDefault="00EC07CA" w:rsidP="00CE3425">
            <w:r w:rsidRPr="00EC530F">
              <w:t>75 486</w:t>
            </w:r>
          </w:p>
        </w:tc>
      </w:tr>
      <w:tr w:rsidR="00EC07CA" w:rsidRPr="00EC530F" w:rsidTr="00CE3425">
        <w:trPr>
          <w:jc w:val="center"/>
        </w:trPr>
        <w:tc>
          <w:tcPr>
            <w:tcW w:w="3794" w:type="dxa"/>
          </w:tcPr>
          <w:p w:rsidR="00EC07CA" w:rsidRPr="00EC530F" w:rsidRDefault="00EC07CA" w:rsidP="00CE3425">
            <w:pPr>
              <w:contextualSpacing/>
            </w:pPr>
            <w:r w:rsidRPr="00EC530F">
              <w:rPr>
                <w:sz w:val="20"/>
                <w:szCs w:val="20"/>
              </w:rPr>
              <w:t>Nature du réseau</w:t>
            </w:r>
          </w:p>
        </w:tc>
        <w:tc>
          <w:tcPr>
            <w:tcW w:w="2027" w:type="dxa"/>
          </w:tcPr>
          <w:p w:rsidR="00EC07CA" w:rsidRPr="00EC530F" w:rsidRDefault="00EC07CA" w:rsidP="00CE3425">
            <w:r w:rsidRPr="00EC530F">
              <w:t>Gravitaire/Pompage</w:t>
            </w:r>
          </w:p>
        </w:tc>
      </w:tr>
      <w:tr w:rsidR="00EC07CA" w:rsidRPr="00EC530F" w:rsidTr="00CE3425">
        <w:trPr>
          <w:jc w:val="center"/>
        </w:trPr>
        <w:tc>
          <w:tcPr>
            <w:tcW w:w="3794" w:type="dxa"/>
          </w:tcPr>
          <w:p w:rsidR="00EC07CA" w:rsidRPr="00EC530F" w:rsidRDefault="00EC07CA" w:rsidP="00CE3425">
            <w:pPr>
              <w:contextualSpacing/>
            </w:pPr>
            <w:r w:rsidRPr="00EC530F">
              <w:rPr>
                <w:sz w:val="20"/>
                <w:szCs w:val="20"/>
              </w:rPr>
              <w:t>Nb de réservoirs</w:t>
            </w:r>
          </w:p>
        </w:tc>
        <w:tc>
          <w:tcPr>
            <w:tcW w:w="2027" w:type="dxa"/>
          </w:tcPr>
          <w:p w:rsidR="00EC07CA" w:rsidRPr="00EC530F" w:rsidRDefault="00EC07CA" w:rsidP="00CE3425">
            <w:r w:rsidRPr="00EC530F">
              <w:t>6</w:t>
            </w:r>
          </w:p>
        </w:tc>
      </w:tr>
      <w:tr w:rsidR="00EC07CA" w:rsidRPr="00EC530F" w:rsidTr="00CE3425">
        <w:trPr>
          <w:jc w:val="center"/>
        </w:trPr>
        <w:tc>
          <w:tcPr>
            <w:tcW w:w="3794" w:type="dxa"/>
          </w:tcPr>
          <w:p w:rsidR="00EC07CA" w:rsidRPr="00EC530F" w:rsidRDefault="00EC07CA" w:rsidP="00CE3425">
            <w:pPr>
              <w:contextualSpacing/>
            </w:pPr>
            <w:r w:rsidRPr="00EC530F">
              <w:rPr>
                <w:sz w:val="20"/>
                <w:szCs w:val="20"/>
              </w:rPr>
              <w:t>Nb de Kiosques</w:t>
            </w:r>
          </w:p>
        </w:tc>
        <w:tc>
          <w:tcPr>
            <w:tcW w:w="2027" w:type="dxa"/>
          </w:tcPr>
          <w:p w:rsidR="00EC07CA" w:rsidRPr="00EC530F" w:rsidRDefault="00EC07CA" w:rsidP="00CE3425">
            <w:r w:rsidRPr="00EC530F">
              <w:t>35</w:t>
            </w:r>
          </w:p>
        </w:tc>
      </w:tr>
      <w:tr w:rsidR="00EC07CA" w:rsidRPr="00EC530F" w:rsidTr="00CE3425">
        <w:trPr>
          <w:jc w:val="center"/>
        </w:trPr>
        <w:tc>
          <w:tcPr>
            <w:tcW w:w="3794" w:type="dxa"/>
          </w:tcPr>
          <w:p w:rsidR="00EC07CA" w:rsidRPr="00EC530F" w:rsidRDefault="00EC07CA" w:rsidP="00CE3425">
            <w:pPr>
              <w:contextualSpacing/>
            </w:pPr>
            <w:r w:rsidRPr="00EC530F">
              <w:rPr>
                <w:sz w:val="20"/>
                <w:szCs w:val="20"/>
              </w:rPr>
              <w:t>Nb de Bornes-Fontaines</w:t>
            </w:r>
          </w:p>
        </w:tc>
        <w:tc>
          <w:tcPr>
            <w:tcW w:w="2027" w:type="dxa"/>
          </w:tcPr>
          <w:p w:rsidR="00EC07CA" w:rsidRPr="00EC530F" w:rsidRDefault="00EC07CA" w:rsidP="00CE3425">
            <w:r w:rsidRPr="00EC530F">
              <w:t>3</w:t>
            </w:r>
          </w:p>
        </w:tc>
      </w:tr>
      <w:tr w:rsidR="00EC07CA" w:rsidRPr="00EC530F" w:rsidTr="00CE3425">
        <w:trPr>
          <w:jc w:val="center"/>
        </w:trPr>
        <w:tc>
          <w:tcPr>
            <w:tcW w:w="3794" w:type="dxa"/>
          </w:tcPr>
          <w:p w:rsidR="00EC07CA" w:rsidRPr="00EC530F" w:rsidRDefault="00EC07CA" w:rsidP="00CE3425">
            <w:pPr>
              <w:contextualSpacing/>
            </w:pPr>
            <w:r w:rsidRPr="00EC530F">
              <w:rPr>
                <w:sz w:val="20"/>
                <w:szCs w:val="20"/>
              </w:rPr>
              <w:t>Nb de Branchements Individuels</w:t>
            </w:r>
          </w:p>
        </w:tc>
        <w:tc>
          <w:tcPr>
            <w:tcW w:w="2027" w:type="dxa"/>
          </w:tcPr>
          <w:p w:rsidR="00EC07CA" w:rsidRPr="00EC530F" w:rsidRDefault="00EC07CA" w:rsidP="00CE3425">
            <w:r w:rsidRPr="00EC530F">
              <w:t>4 045</w:t>
            </w:r>
          </w:p>
        </w:tc>
      </w:tr>
      <w:tr w:rsidR="00EC07CA" w:rsidRPr="00EC530F" w:rsidTr="00CE3425">
        <w:trPr>
          <w:jc w:val="center"/>
        </w:trPr>
        <w:tc>
          <w:tcPr>
            <w:tcW w:w="3794" w:type="dxa"/>
          </w:tcPr>
          <w:p w:rsidR="00EC07CA" w:rsidRPr="00EC530F" w:rsidRDefault="00EC07CA" w:rsidP="00CE3425">
            <w:pPr>
              <w:contextualSpacing/>
              <w:rPr>
                <w:sz w:val="20"/>
                <w:szCs w:val="20"/>
              </w:rPr>
            </w:pPr>
            <w:r w:rsidRPr="00EC530F">
              <w:rPr>
                <w:sz w:val="20"/>
                <w:szCs w:val="20"/>
              </w:rPr>
              <w:t xml:space="preserve">Coûts de maintenance théorique </w:t>
            </w:r>
            <w:r w:rsidRPr="00EC530F">
              <w:rPr>
                <w:i/>
                <w:sz w:val="20"/>
                <w:szCs w:val="20"/>
              </w:rPr>
              <w:t>[HTG]</w:t>
            </w:r>
          </w:p>
        </w:tc>
        <w:tc>
          <w:tcPr>
            <w:tcW w:w="2027" w:type="dxa"/>
          </w:tcPr>
          <w:p w:rsidR="00EC07CA" w:rsidRPr="00EC530F" w:rsidRDefault="00EC07CA" w:rsidP="00CE3425">
            <w:r w:rsidRPr="00EC530F">
              <w:t>4 810 916</w:t>
            </w:r>
          </w:p>
        </w:tc>
      </w:tr>
      <w:tr w:rsidR="00EC07CA" w:rsidRPr="00EC530F" w:rsidTr="00CE3425">
        <w:trPr>
          <w:jc w:val="center"/>
        </w:trPr>
        <w:tc>
          <w:tcPr>
            <w:tcW w:w="3794" w:type="dxa"/>
          </w:tcPr>
          <w:p w:rsidR="00EC07CA" w:rsidRPr="00EC530F" w:rsidRDefault="00EC07CA" w:rsidP="00CE3425">
            <w:pPr>
              <w:contextualSpacing/>
              <w:rPr>
                <w:sz w:val="20"/>
                <w:szCs w:val="20"/>
              </w:rPr>
            </w:pPr>
            <w:r w:rsidRPr="00EC530F">
              <w:rPr>
                <w:sz w:val="20"/>
                <w:szCs w:val="20"/>
              </w:rPr>
              <w:t xml:space="preserve">Amortissement annuel à pratiquer </w:t>
            </w:r>
            <w:r w:rsidRPr="00EC530F">
              <w:rPr>
                <w:i/>
                <w:sz w:val="20"/>
                <w:szCs w:val="20"/>
              </w:rPr>
              <w:t>[HTG]</w:t>
            </w:r>
          </w:p>
        </w:tc>
        <w:tc>
          <w:tcPr>
            <w:tcW w:w="2027" w:type="dxa"/>
          </w:tcPr>
          <w:p w:rsidR="00EC07CA" w:rsidRPr="00EC530F" w:rsidRDefault="00EC07CA" w:rsidP="00CE3425">
            <w:r w:rsidRPr="00EC530F">
              <w:t>11 880 543</w:t>
            </w:r>
          </w:p>
        </w:tc>
      </w:tr>
      <w:tr w:rsidR="00EC07CA" w:rsidRPr="00EC530F" w:rsidTr="00CE3425">
        <w:trPr>
          <w:jc w:val="center"/>
        </w:trPr>
        <w:tc>
          <w:tcPr>
            <w:tcW w:w="5821" w:type="dxa"/>
            <w:gridSpan w:val="2"/>
          </w:tcPr>
          <w:p w:rsidR="00EC07CA" w:rsidRPr="00EC530F" w:rsidRDefault="00EC07CA" w:rsidP="00CE3425">
            <w:pPr>
              <w:contextualSpacing/>
            </w:pPr>
            <w:r w:rsidRPr="00EC530F">
              <w:rPr>
                <w:b/>
                <w:color w:val="FF0000"/>
                <w:sz w:val="20"/>
                <w:szCs w:val="20"/>
              </w:rPr>
              <w:t>Exploitation commerciale</w:t>
            </w:r>
          </w:p>
        </w:tc>
      </w:tr>
      <w:tr w:rsidR="00EC07CA" w:rsidRPr="00EC530F" w:rsidTr="00CE3425">
        <w:trPr>
          <w:jc w:val="center"/>
        </w:trPr>
        <w:tc>
          <w:tcPr>
            <w:tcW w:w="3794" w:type="dxa"/>
          </w:tcPr>
          <w:p w:rsidR="00EC07CA" w:rsidRPr="00EC530F" w:rsidRDefault="00EC07CA" w:rsidP="00CE3425">
            <w:pPr>
              <w:contextualSpacing/>
            </w:pPr>
            <w:r w:rsidRPr="00EC530F">
              <w:rPr>
                <w:sz w:val="20"/>
                <w:szCs w:val="20"/>
              </w:rPr>
              <w:t>Abonnés actifs</w:t>
            </w:r>
          </w:p>
        </w:tc>
        <w:tc>
          <w:tcPr>
            <w:tcW w:w="2027" w:type="dxa"/>
          </w:tcPr>
          <w:p w:rsidR="00EC07CA" w:rsidRPr="00EC530F" w:rsidRDefault="00EC07CA" w:rsidP="00CE3425">
            <w:pPr>
              <w:contextualSpacing/>
            </w:pPr>
            <w:r w:rsidRPr="00EC530F">
              <w:t>1 245</w:t>
            </w:r>
          </w:p>
        </w:tc>
      </w:tr>
      <w:tr w:rsidR="00EC07CA" w:rsidRPr="00EC530F" w:rsidTr="00CE3425">
        <w:trPr>
          <w:jc w:val="center"/>
        </w:trPr>
        <w:tc>
          <w:tcPr>
            <w:tcW w:w="3794" w:type="dxa"/>
          </w:tcPr>
          <w:p w:rsidR="00EC07CA" w:rsidRPr="00EC530F" w:rsidRDefault="00EC07CA" w:rsidP="00CE3425">
            <w:pPr>
              <w:contextualSpacing/>
              <w:rPr>
                <w:sz w:val="20"/>
                <w:szCs w:val="20"/>
              </w:rPr>
            </w:pPr>
            <w:r w:rsidRPr="00EC530F">
              <w:rPr>
                <w:sz w:val="20"/>
                <w:szCs w:val="20"/>
              </w:rPr>
              <w:t>Nb d’employés administratifs permanents</w:t>
            </w:r>
          </w:p>
        </w:tc>
        <w:tc>
          <w:tcPr>
            <w:tcW w:w="2027" w:type="dxa"/>
          </w:tcPr>
          <w:p w:rsidR="00EC07CA" w:rsidRPr="00EC530F" w:rsidRDefault="00EC07CA" w:rsidP="00CE3425">
            <w:r w:rsidRPr="00EC530F">
              <w:t>11</w:t>
            </w:r>
          </w:p>
        </w:tc>
      </w:tr>
      <w:tr w:rsidR="00EC07CA" w:rsidRPr="00EC530F" w:rsidTr="00CE3425">
        <w:trPr>
          <w:jc w:val="center"/>
        </w:trPr>
        <w:tc>
          <w:tcPr>
            <w:tcW w:w="3794" w:type="dxa"/>
          </w:tcPr>
          <w:p w:rsidR="00EC07CA" w:rsidRPr="00EC530F" w:rsidRDefault="00EC07CA" w:rsidP="00CE3425">
            <w:pPr>
              <w:contextualSpacing/>
              <w:rPr>
                <w:sz w:val="20"/>
                <w:szCs w:val="20"/>
              </w:rPr>
            </w:pPr>
            <w:r w:rsidRPr="00EC530F">
              <w:rPr>
                <w:sz w:val="20"/>
                <w:szCs w:val="20"/>
              </w:rPr>
              <w:t>Nb d’employés techniques permanents</w:t>
            </w:r>
          </w:p>
        </w:tc>
        <w:tc>
          <w:tcPr>
            <w:tcW w:w="2027" w:type="dxa"/>
          </w:tcPr>
          <w:p w:rsidR="00EC07CA" w:rsidRPr="00EC530F" w:rsidRDefault="00EC07CA" w:rsidP="00CE3425">
            <w:r w:rsidRPr="00EC530F">
              <w:t>8</w:t>
            </w:r>
          </w:p>
        </w:tc>
      </w:tr>
      <w:tr w:rsidR="00EC07CA" w:rsidRPr="00EC530F" w:rsidTr="00CE3425">
        <w:trPr>
          <w:jc w:val="center"/>
        </w:trPr>
        <w:tc>
          <w:tcPr>
            <w:tcW w:w="3794" w:type="dxa"/>
          </w:tcPr>
          <w:p w:rsidR="00EC07CA" w:rsidRPr="00EC530F" w:rsidRDefault="00EC07CA" w:rsidP="00CE3425">
            <w:pPr>
              <w:contextualSpacing/>
              <w:rPr>
                <w:sz w:val="20"/>
                <w:szCs w:val="20"/>
              </w:rPr>
            </w:pPr>
            <w:r w:rsidRPr="00EC530F">
              <w:rPr>
                <w:sz w:val="20"/>
                <w:szCs w:val="20"/>
              </w:rPr>
              <w:t xml:space="preserve">Tarif abonné domestique </w:t>
            </w:r>
            <w:r w:rsidRPr="00EC530F">
              <w:rPr>
                <w:i/>
                <w:sz w:val="20"/>
                <w:szCs w:val="20"/>
              </w:rPr>
              <w:t>[HTG/mois]</w:t>
            </w:r>
          </w:p>
        </w:tc>
        <w:tc>
          <w:tcPr>
            <w:tcW w:w="2027" w:type="dxa"/>
          </w:tcPr>
          <w:p w:rsidR="00EC07CA" w:rsidRPr="00EC530F" w:rsidRDefault="00EC07CA" w:rsidP="00CE3425">
            <w:r w:rsidRPr="00EC530F">
              <w:t>220</w:t>
            </w:r>
          </w:p>
        </w:tc>
      </w:tr>
      <w:tr w:rsidR="00EC07CA" w:rsidRPr="00EC530F" w:rsidTr="00CE3425">
        <w:trPr>
          <w:jc w:val="center"/>
        </w:trPr>
        <w:tc>
          <w:tcPr>
            <w:tcW w:w="3794" w:type="dxa"/>
          </w:tcPr>
          <w:p w:rsidR="00EC07CA" w:rsidRPr="00EC530F" w:rsidRDefault="00EC07CA" w:rsidP="00CE3425">
            <w:pPr>
              <w:contextualSpacing/>
              <w:rPr>
                <w:sz w:val="20"/>
                <w:szCs w:val="20"/>
              </w:rPr>
            </w:pPr>
            <w:r w:rsidRPr="00EC530F">
              <w:rPr>
                <w:sz w:val="20"/>
                <w:szCs w:val="20"/>
              </w:rPr>
              <w:t xml:space="preserve">Tarif abonné commercial </w:t>
            </w:r>
            <w:r w:rsidRPr="00EC530F">
              <w:rPr>
                <w:i/>
                <w:sz w:val="20"/>
                <w:szCs w:val="20"/>
              </w:rPr>
              <w:t>[HTG/mois]</w:t>
            </w:r>
          </w:p>
        </w:tc>
        <w:tc>
          <w:tcPr>
            <w:tcW w:w="2027" w:type="dxa"/>
          </w:tcPr>
          <w:p w:rsidR="00EC07CA" w:rsidRPr="00EC530F" w:rsidRDefault="00EC07CA" w:rsidP="00CE3425">
            <w:r w:rsidRPr="00EC530F">
              <w:t>NA</w:t>
            </w:r>
          </w:p>
        </w:tc>
      </w:tr>
      <w:tr w:rsidR="00EC07CA" w:rsidRPr="00EC530F" w:rsidTr="00CE3425">
        <w:trPr>
          <w:jc w:val="center"/>
        </w:trPr>
        <w:tc>
          <w:tcPr>
            <w:tcW w:w="3794" w:type="dxa"/>
          </w:tcPr>
          <w:p w:rsidR="00EC07CA" w:rsidRPr="00EC530F" w:rsidRDefault="00EC07CA" w:rsidP="00CE3425">
            <w:pPr>
              <w:contextualSpacing/>
              <w:rPr>
                <w:sz w:val="20"/>
                <w:szCs w:val="20"/>
              </w:rPr>
            </w:pPr>
            <w:r w:rsidRPr="00EC530F">
              <w:rPr>
                <w:sz w:val="20"/>
                <w:szCs w:val="20"/>
              </w:rPr>
              <w:t xml:space="preserve">Tarif abonné institutionnel </w:t>
            </w:r>
            <w:r w:rsidRPr="00EC530F">
              <w:rPr>
                <w:i/>
                <w:sz w:val="20"/>
                <w:szCs w:val="20"/>
              </w:rPr>
              <w:t>[HTG/mois]</w:t>
            </w:r>
          </w:p>
        </w:tc>
        <w:tc>
          <w:tcPr>
            <w:tcW w:w="2027" w:type="dxa"/>
          </w:tcPr>
          <w:p w:rsidR="00EC07CA" w:rsidRPr="00EC530F" w:rsidRDefault="00EC07CA" w:rsidP="00CE3425">
            <w:r w:rsidRPr="00EC530F">
              <w:t>NA</w:t>
            </w:r>
          </w:p>
        </w:tc>
      </w:tr>
      <w:tr w:rsidR="00EC07CA" w:rsidRPr="00EC530F" w:rsidTr="00CE3425">
        <w:trPr>
          <w:jc w:val="center"/>
        </w:trPr>
        <w:tc>
          <w:tcPr>
            <w:tcW w:w="3794" w:type="dxa"/>
          </w:tcPr>
          <w:p w:rsidR="00EC07CA" w:rsidRPr="00EC530F" w:rsidRDefault="00EC07CA" w:rsidP="00CE3425">
            <w:pPr>
              <w:contextualSpacing/>
              <w:rPr>
                <w:sz w:val="20"/>
                <w:szCs w:val="20"/>
              </w:rPr>
            </w:pPr>
            <w:r w:rsidRPr="00EC530F">
              <w:rPr>
                <w:sz w:val="20"/>
                <w:szCs w:val="20"/>
              </w:rPr>
              <w:t xml:space="preserve">Tarif Kiosque </w:t>
            </w:r>
            <w:r w:rsidRPr="00EC530F">
              <w:rPr>
                <w:i/>
                <w:sz w:val="20"/>
                <w:szCs w:val="20"/>
              </w:rPr>
              <w:t>[HTG/bockit]</w:t>
            </w:r>
          </w:p>
        </w:tc>
        <w:tc>
          <w:tcPr>
            <w:tcW w:w="2027" w:type="dxa"/>
          </w:tcPr>
          <w:p w:rsidR="00EC07CA" w:rsidRPr="00EC530F" w:rsidRDefault="00EC07CA" w:rsidP="00CE3425">
            <w:r w:rsidRPr="00EC530F">
              <w:t>0</w:t>
            </w:r>
          </w:p>
        </w:tc>
      </w:tr>
    </w:tbl>
    <w:p w:rsidR="00EC07CA" w:rsidRPr="00EC530F" w:rsidRDefault="00EC07CA" w:rsidP="00EC07CA">
      <w:pPr>
        <w:spacing w:after="0" w:line="240" w:lineRule="auto"/>
        <w:contextualSpacing/>
      </w:pPr>
    </w:p>
    <w:tbl>
      <w:tblPr>
        <w:tblStyle w:val="TableGrid"/>
        <w:tblW w:w="0" w:type="auto"/>
        <w:jc w:val="center"/>
        <w:tblLook w:val="04A0" w:firstRow="1" w:lastRow="0" w:firstColumn="1" w:lastColumn="0" w:noHBand="0" w:noVBand="1"/>
      </w:tblPr>
      <w:tblGrid>
        <w:gridCol w:w="2799"/>
        <w:gridCol w:w="1488"/>
        <w:gridCol w:w="1747"/>
      </w:tblGrid>
      <w:tr w:rsidR="00EC07CA" w:rsidRPr="00EC530F" w:rsidTr="00CE3425">
        <w:trPr>
          <w:jc w:val="center"/>
        </w:trPr>
        <w:tc>
          <w:tcPr>
            <w:tcW w:w="2799" w:type="dxa"/>
            <w:shd w:val="clear" w:color="auto" w:fill="E7E6E6" w:themeFill="background2"/>
          </w:tcPr>
          <w:p w:rsidR="00EC07CA" w:rsidRPr="00EC530F" w:rsidRDefault="00EC07CA" w:rsidP="00CE3425">
            <w:pPr>
              <w:contextualSpacing/>
              <w:jc w:val="center"/>
              <w:rPr>
                <w:b/>
              </w:rPr>
            </w:pPr>
            <w:r w:rsidRPr="00EC530F">
              <w:rPr>
                <w:b/>
              </w:rPr>
              <w:t>Exploitation du CTE</w:t>
            </w:r>
          </w:p>
        </w:tc>
        <w:tc>
          <w:tcPr>
            <w:tcW w:w="1488" w:type="dxa"/>
            <w:shd w:val="clear" w:color="auto" w:fill="E7E6E6" w:themeFill="background2"/>
          </w:tcPr>
          <w:p w:rsidR="00EC07CA" w:rsidRPr="00EC530F" w:rsidRDefault="00EC07CA" w:rsidP="00CE3425">
            <w:pPr>
              <w:contextualSpacing/>
              <w:jc w:val="center"/>
              <w:rPr>
                <w:b/>
              </w:rPr>
            </w:pPr>
            <w:r w:rsidRPr="00EC530F">
              <w:rPr>
                <w:b/>
              </w:rPr>
              <w:t>Valeur</w:t>
            </w:r>
          </w:p>
        </w:tc>
        <w:tc>
          <w:tcPr>
            <w:tcW w:w="1747" w:type="dxa"/>
            <w:shd w:val="clear" w:color="auto" w:fill="E7E6E6" w:themeFill="background2"/>
          </w:tcPr>
          <w:p w:rsidR="00EC07CA" w:rsidRPr="00EC530F" w:rsidRDefault="00EC07CA" w:rsidP="00CE3425">
            <w:pPr>
              <w:contextualSpacing/>
              <w:jc w:val="center"/>
              <w:rPr>
                <w:b/>
              </w:rPr>
            </w:pPr>
            <w:r w:rsidRPr="00EC530F">
              <w:rPr>
                <w:b/>
              </w:rPr>
              <w:t xml:space="preserve">Rapporté au </w:t>
            </w:r>
            <w:r w:rsidR="00423748" w:rsidRPr="00EC530F">
              <w:rPr>
                <w:b/>
              </w:rPr>
              <w:t>ml</w:t>
            </w:r>
          </w:p>
        </w:tc>
      </w:tr>
      <w:tr w:rsidR="00EC07CA" w:rsidRPr="00EC530F" w:rsidTr="00CE3425">
        <w:trPr>
          <w:jc w:val="center"/>
        </w:trPr>
        <w:tc>
          <w:tcPr>
            <w:tcW w:w="2799" w:type="dxa"/>
          </w:tcPr>
          <w:p w:rsidR="00EC07CA" w:rsidRPr="00EC530F" w:rsidRDefault="00EC07CA" w:rsidP="00CE3425">
            <w:pPr>
              <w:contextualSpacing/>
            </w:pPr>
            <w:r w:rsidRPr="00EC530F">
              <w:rPr>
                <w:sz w:val="20"/>
                <w:szCs w:val="20"/>
              </w:rPr>
              <w:t xml:space="preserve">Recettes d’exploitation </w:t>
            </w:r>
            <w:r w:rsidRPr="00EC530F">
              <w:rPr>
                <w:i/>
                <w:sz w:val="20"/>
                <w:szCs w:val="20"/>
              </w:rPr>
              <w:t>[HTG]</w:t>
            </w:r>
          </w:p>
        </w:tc>
        <w:tc>
          <w:tcPr>
            <w:tcW w:w="1488" w:type="dxa"/>
          </w:tcPr>
          <w:p w:rsidR="00EC07CA" w:rsidRPr="00EC530F" w:rsidRDefault="00EC07CA" w:rsidP="00CE3425">
            <w:r w:rsidRPr="00EC530F">
              <w:t>3 379 660</w:t>
            </w:r>
          </w:p>
        </w:tc>
        <w:tc>
          <w:tcPr>
            <w:tcW w:w="1747" w:type="dxa"/>
          </w:tcPr>
          <w:p w:rsidR="00EC07CA" w:rsidRPr="00EC530F" w:rsidRDefault="00EC07CA" w:rsidP="00CE3425">
            <w:r w:rsidRPr="00EC530F">
              <w:t>45</w:t>
            </w:r>
          </w:p>
        </w:tc>
      </w:tr>
      <w:tr w:rsidR="00EC07CA" w:rsidRPr="00EC530F" w:rsidTr="00CE3425">
        <w:trPr>
          <w:jc w:val="center"/>
        </w:trPr>
        <w:tc>
          <w:tcPr>
            <w:tcW w:w="2799" w:type="dxa"/>
          </w:tcPr>
          <w:p w:rsidR="00EC07CA" w:rsidRPr="00EC530F" w:rsidRDefault="00EC07CA" w:rsidP="00CE3425">
            <w:pPr>
              <w:contextualSpacing/>
            </w:pPr>
            <w:r w:rsidRPr="00EC530F">
              <w:rPr>
                <w:sz w:val="20"/>
                <w:szCs w:val="20"/>
              </w:rPr>
              <w:t xml:space="preserve">Charges d’exploitation </w:t>
            </w:r>
            <w:r w:rsidRPr="00EC530F">
              <w:rPr>
                <w:i/>
                <w:sz w:val="20"/>
                <w:szCs w:val="20"/>
              </w:rPr>
              <w:t>[HTG]</w:t>
            </w:r>
          </w:p>
        </w:tc>
        <w:tc>
          <w:tcPr>
            <w:tcW w:w="1488" w:type="dxa"/>
          </w:tcPr>
          <w:p w:rsidR="00EC07CA" w:rsidRPr="00EC530F" w:rsidRDefault="00EC07CA" w:rsidP="00CE3425">
            <w:r w:rsidRPr="00EC530F">
              <w:t>5 066 149</w:t>
            </w:r>
          </w:p>
        </w:tc>
        <w:tc>
          <w:tcPr>
            <w:tcW w:w="1747" w:type="dxa"/>
          </w:tcPr>
          <w:p w:rsidR="00EC07CA" w:rsidRPr="00EC530F" w:rsidRDefault="00EC07CA" w:rsidP="00CE3425">
            <w:r w:rsidRPr="00EC530F">
              <w:t>67</w:t>
            </w:r>
          </w:p>
        </w:tc>
      </w:tr>
      <w:tr w:rsidR="00EC07CA" w:rsidRPr="00EC530F" w:rsidTr="00CE3425">
        <w:trPr>
          <w:jc w:val="center"/>
        </w:trPr>
        <w:tc>
          <w:tcPr>
            <w:tcW w:w="2799" w:type="dxa"/>
          </w:tcPr>
          <w:p w:rsidR="00EC07CA" w:rsidRPr="00EC530F" w:rsidRDefault="00EC07CA" w:rsidP="00CE3425">
            <w:pPr>
              <w:contextualSpacing/>
            </w:pPr>
            <w:r w:rsidRPr="00EC530F">
              <w:rPr>
                <w:sz w:val="20"/>
                <w:szCs w:val="20"/>
              </w:rPr>
              <w:t xml:space="preserve">Résultat d’exploitation </w:t>
            </w:r>
            <w:r w:rsidRPr="00EC530F">
              <w:rPr>
                <w:i/>
                <w:sz w:val="20"/>
                <w:szCs w:val="20"/>
              </w:rPr>
              <w:t>[HTG]</w:t>
            </w:r>
          </w:p>
        </w:tc>
        <w:tc>
          <w:tcPr>
            <w:tcW w:w="1488" w:type="dxa"/>
          </w:tcPr>
          <w:p w:rsidR="00EC07CA" w:rsidRPr="00EC530F" w:rsidRDefault="00EC07CA" w:rsidP="00CE3425">
            <w:r w:rsidRPr="00EC530F">
              <w:t>-1 686 489</w:t>
            </w:r>
          </w:p>
        </w:tc>
        <w:tc>
          <w:tcPr>
            <w:tcW w:w="1747" w:type="dxa"/>
          </w:tcPr>
          <w:p w:rsidR="00EC07CA" w:rsidRPr="00EC530F" w:rsidRDefault="00EC07CA" w:rsidP="00CE3425">
            <w:r w:rsidRPr="00EC530F">
              <w:t>-22</w:t>
            </w:r>
          </w:p>
        </w:tc>
      </w:tr>
    </w:tbl>
    <w:p w:rsidR="00EC07CA" w:rsidRPr="00EC530F" w:rsidRDefault="00EC07CA" w:rsidP="00EC07CA">
      <w:pPr>
        <w:spacing w:after="0" w:line="240" w:lineRule="auto"/>
        <w:contextualSpacing/>
      </w:pPr>
    </w:p>
    <w:p w:rsidR="00EC07CA" w:rsidRPr="00405636" w:rsidRDefault="00EC07CA" w:rsidP="00EC07CA">
      <w:pPr>
        <w:spacing w:after="0" w:line="240" w:lineRule="auto"/>
        <w:contextualSpacing/>
      </w:pPr>
    </w:p>
    <w:p w:rsidR="00EC07CA" w:rsidRPr="00405636" w:rsidRDefault="00EC07CA" w:rsidP="00EC07CA">
      <w:pPr>
        <w:spacing w:after="0" w:line="240" w:lineRule="auto"/>
        <w:jc w:val="center"/>
      </w:pPr>
      <w:r w:rsidRPr="00405636">
        <w:rPr>
          <w:noProof/>
          <w:lang w:eastAsia="fr-FR"/>
        </w:rPr>
        <w:lastRenderedPageBreak/>
        <w:drawing>
          <wp:inline distT="0" distB="0" distL="0" distR="0" wp14:anchorId="344DB37E" wp14:editId="23EBC563">
            <wp:extent cx="4763694" cy="3105150"/>
            <wp:effectExtent l="19050" t="0" r="0" b="0"/>
            <wp:docPr id="3"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cstate="print"/>
                    <a:srcRect/>
                    <a:stretch>
                      <a:fillRect/>
                    </a:stretch>
                  </pic:blipFill>
                  <pic:spPr bwMode="auto">
                    <a:xfrm>
                      <a:off x="0" y="0"/>
                      <a:ext cx="4773965" cy="3111845"/>
                    </a:xfrm>
                    <a:prstGeom prst="rect">
                      <a:avLst/>
                    </a:prstGeom>
                    <a:noFill/>
                    <a:ln w="9525">
                      <a:noFill/>
                      <a:miter lim="800000"/>
                      <a:headEnd/>
                      <a:tailEnd/>
                    </a:ln>
                  </pic:spPr>
                </pic:pic>
              </a:graphicData>
            </a:graphic>
          </wp:inline>
        </w:drawing>
      </w:r>
    </w:p>
    <w:p w:rsidR="00EC07CA" w:rsidRPr="00201D9B" w:rsidRDefault="00EC07CA" w:rsidP="00EC07CA">
      <w:pPr>
        <w:spacing w:after="0" w:line="240" w:lineRule="auto"/>
        <w:rPr>
          <w:highlight w:val="yellow"/>
        </w:rPr>
      </w:pPr>
    </w:p>
    <w:p w:rsidR="00EC07CA" w:rsidRPr="00201D9B" w:rsidRDefault="00EC07CA" w:rsidP="00EC07CA">
      <w:pPr>
        <w:spacing w:after="0" w:line="240" w:lineRule="auto"/>
        <w:rPr>
          <w:highlight w:val="yellow"/>
        </w:rPr>
      </w:pPr>
    </w:p>
    <w:p w:rsidR="00EC07CA" w:rsidRPr="00201D9B" w:rsidRDefault="00EC07CA" w:rsidP="00EC07CA">
      <w:pPr>
        <w:spacing w:after="0" w:line="240" w:lineRule="auto"/>
        <w:jc w:val="center"/>
        <w:rPr>
          <w:highlight w:val="yellow"/>
        </w:rPr>
      </w:pPr>
    </w:p>
    <w:tbl>
      <w:tblPr>
        <w:tblStyle w:val="TableGrid"/>
        <w:tblW w:w="0" w:type="auto"/>
        <w:jc w:val="center"/>
        <w:tblLook w:val="04A0" w:firstRow="1" w:lastRow="0" w:firstColumn="1" w:lastColumn="0" w:noHBand="0" w:noVBand="1"/>
      </w:tblPr>
      <w:tblGrid>
        <w:gridCol w:w="5468"/>
        <w:gridCol w:w="888"/>
        <w:gridCol w:w="886"/>
        <w:gridCol w:w="886"/>
        <w:gridCol w:w="237"/>
      </w:tblGrid>
      <w:tr w:rsidR="00EC07CA" w:rsidRPr="00216CD0" w:rsidTr="004F44DF">
        <w:trPr>
          <w:trHeight w:val="175"/>
          <w:jc w:val="center"/>
        </w:trPr>
        <w:tc>
          <w:tcPr>
            <w:tcW w:w="5468" w:type="dxa"/>
            <w:shd w:val="clear" w:color="auto" w:fill="E7E6E6" w:themeFill="background2"/>
          </w:tcPr>
          <w:p w:rsidR="00EC07CA" w:rsidRPr="00216CD0" w:rsidRDefault="00EC07CA" w:rsidP="00CE3425">
            <w:pPr>
              <w:contextualSpacing/>
              <w:jc w:val="center"/>
              <w:rPr>
                <w:b/>
              </w:rPr>
            </w:pPr>
            <w:r w:rsidRPr="00201D9B">
              <w:rPr>
                <w:highlight w:val="yellow"/>
              </w:rPr>
              <w:br w:type="page"/>
            </w:r>
            <w:r w:rsidRPr="00216CD0">
              <w:rPr>
                <w:b/>
              </w:rPr>
              <w:t>Indicateurs de performance</w:t>
            </w:r>
          </w:p>
        </w:tc>
        <w:tc>
          <w:tcPr>
            <w:tcW w:w="888" w:type="dxa"/>
            <w:shd w:val="clear" w:color="auto" w:fill="E7E6E6" w:themeFill="background2"/>
          </w:tcPr>
          <w:p w:rsidR="00EC07CA" w:rsidRPr="00216CD0" w:rsidRDefault="00EC07CA" w:rsidP="00CE3425">
            <w:pPr>
              <w:contextualSpacing/>
              <w:jc w:val="center"/>
              <w:rPr>
                <w:b/>
              </w:rPr>
            </w:pPr>
            <w:r w:rsidRPr="00216CD0">
              <w:rPr>
                <w:b/>
              </w:rPr>
              <w:t>Valeur</w:t>
            </w:r>
          </w:p>
        </w:tc>
        <w:tc>
          <w:tcPr>
            <w:tcW w:w="886" w:type="dxa"/>
            <w:shd w:val="clear" w:color="auto" w:fill="E7E6E6" w:themeFill="background2"/>
          </w:tcPr>
          <w:p w:rsidR="00EC07CA" w:rsidRPr="00216CD0" w:rsidRDefault="00EC07CA" w:rsidP="00CE3425">
            <w:pPr>
              <w:contextualSpacing/>
              <w:jc w:val="center"/>
              <w:rPr>
                <w:b/>
              </w:rPr>
            </w:pPr>
            <w:r w:rsidRPr="00216CD0">
              <w:rPr>
                <w:b/>
              </w:rPr>
              <w:t>Min</w:t>
            </w:r>
          </w:p>
        </w:tc>
        <w:tc>
          <w:tcPr>
            <w:tcW w:w="886" w:type="dxa"/>
            <w:shd w:val="clear" w:color="auto" w:fill="E7E6E6" w:themeFill="background2"/>
          </w:tcPr>
          <w:p w:rsidR="00EC07CA" w:rsidRPr="00216CD0" w:rsidRDefault="00EC07CA" w:rsidP="00CE3425">
            <w:pPr>
              <w:contextualSpacing/>
              <w:jc w:val="center"/>
              <w:rPr>
                <w:b/>
              </w:rPr>
            </w:pPr>
            <w:r w:rsidRPr="00216CD0">
              <w:rPr>
                <w:b/>
              </w:rPr>
              <w:t>Max</w:t>
            </w:r>
          </w:p>
        </w:tc>
        <w:tc>
          <w:tcPr>
            <w:tcW w:w="237" w:type="dxa"/>
            <w:shd w:val="clear" w:color="auto" w:fill="E7E6E6" w:themeFill="background2"/>
          </w:tcPr>
          <w:p w:rsidR="00EC07CA" w:rsidRPr="00216CD0" w:rsidRDefault="00EC07CA" w:rsidP="00CE3425">
            <w:pPr>
              <w:contextualSpacing/>
              <w:jc w:val="center"/>
              <w:rPr>
                <w:b/>
              </w:rPr>
            </w:pPr>
          </w:p>
        </w:tc>
      </w:tr>
      <w:tr w:rsidR="00EC07CA" w:rsidRPr="00216CD0" w:rsidTr="004F44DF">
        <w:trPr>
          <w:jc w:val="center"/>
        </w:trPr>
        <w:tc>
          <w:tcPr>
            <w:tcW w:w="8365" w:type="dxa"/>
            <w:gridSpan w:val="5"/>
          </w:tcPr>
          <w:p w:rsidR="00EC07CA" w:rsidRPr="00216CD0" w:rsidRDefault="00EC07CA" w:rsidP="00CE3425">
            <w:pPr>
              <w:contextualSpacing/>
            </w:pPr>
            <w:r w:rsidRPr="00216CD0">
              <w:rPr>
                <w:b/>
                <w:color w:val="FF0000"/>
                <w:sz w:val="20"/>
                <w:szCs w:val="20"/>
              </w:rPr>
              <w:t>Qualité du service</w:t>
            </w:r>
          </w:p>
        </w:tc>
      </w:tr>
      <w:tr w:rsidR="00EC07CA" w:rsidRPr="00216CD0" w:rsidTr="004F44DF">
        <w:trPr>
          <w:jc w:val="center"/>
        </w:trPr>
        <w:tc>
          <w:tcPr>
            <w:tcW w:w="5468" w:type="dxa"/>
          </w:tcPr>
          <w:p w:rsidR="00EC07CA" w:rsidRPr="00216CD0" w:rsidRDefault="00EC07CA" w:rsidP="00CE3425">
            <w:pPr>
              <w:contextualSpacing/>
            </w:pPr>
            <w:r w:rsidRPr="00216CD0">
              <w:rPr>
                <w:sz w:val="20"/>
                <w:szCs w:val="20"/>
              </w:rPr>
              <w:t xml:space="preserve">Continuité moyenne du service </w:t>
            </w:r>
            <w:r w:rsidRPr="00216CD0">
              <w:rPr>
                <w:i/>
                <w:sz w:val="20"/>
                <w:szCs w:val="20"/>
              </w:rPr>
              <w:t>[%]</w:t>
            </w:r>
          </w:p>
        </w:tc>
        <w:tc>
          <w:tcPr>
            <w:tcW w:w="888" w:type="dxa"/>
          </w:tcPr>
          <w:p w:rsidR="00EC07CA" w:rsidRPr="00216CD0" w:rsidRDefault="00EC07CA" w:rsidP="00CE3425">
            <w:pPr>
              <w:contextualSpacing/>
            </w:pPr>
            <w:r w:rsidRPr="00216CD0">
              <w:t>2</w:t>
            </w:r>
          </w:p>
        </w:tc>
        <w:tc>
          <w:tcPr>
            <w:tcW w:w="886" w:type="dxa"/>
          </w:tcPr>
          <w:p w:rsidR="00EC07CA" w:rsidRPr="00216CD0" w:rsidRDefault="00EC07CA" w:rsidP="00CE3425">
            <w:pPr>
              <w:contextualSpacing/>
            </w:pPr>
            <w:r w:rsidRPr="00216CD0">
              <w:t>0</w:t>
            </w:r>
          </w:p>
        </w:tc>
        <w:tc>
          <w:tcPr>
            <w:tcW w:w="886" w:type="dxa"/>
          </w:tcPr>
          <w:p w:rsidR="00EC07CA" w:rsidRPr="00216CD0" w:rsidRDefault="00EC07CA" w:rsidP="00CE3425">
            <w:pPr>
              <w:contextualSpacing/>
            </w:pPr>
            <w:r w:rsidRPr="00216CD0">
              <w:t>100</w:t>
            </w:r>
          </w:p>
        </w:tc>
        <w:tc>
          <w:tcPr>
            <w:tcW w:w="237" w:type="dxa"/>
          </w:tcPr>
          <w:p w:rsidR="00EC07CA" w:rsidRPr="00216CD0" w:rsidRDefault="00EC07CA" w:rsidP="00CE3425">
            <w:pPr>
              <w:contextualSpacing/>
            </w:pPr>
          </w:p>
        </w:tc>
      </w:tr>
      <w:tr w:rsidR="00EC07CA" w:rsidRPr="00216CD0" w:rsidTr="004F44DF">
        <w:trPr>
          <w:jc w:val="center"/>
        </w:trPr>
        <w:tc>
          <w:tcPr>
            <w:tcW w:w="8365" w:type="dxa"/>
            <w:gridSpan w:val="5"/>
          </w:tcPr>
          <w:p w:rsidR="00EC07CA" w:rsidRPr="00216CD0" w:rsidRDefault="00EC07CA" w:rsidP="00CE3425">
            <w:pPr>
              <w:contextualSpacing/>
            </w:pPr>
            <w:r w:rsidRPr="00216CD0">
              <w:rPr>
                <w:b/>
                <w:color w:val="FF0000"/>
                <w:sz w:val="20"/>
                <w:szCs w:val="20"/>
              </w:rPr>
              <w:t>Efficacité du service</w:t>
            </w:r>
          </w:p>
        </w:tc>
      </w:tr>
      <w:tr w:rsidR="00EC07CA" w:rsidRPr="00216CD0" w:rsidTr="004F44DF">
        <w:trPr>
          <w:jc w:val="center"/>
        </w:trPr>
        <w:tc>
          <w:tcPr>
            <w:tcW w:w="5468" w:type="dxa"/>
          </w:tcPr>
          <w:p w:rsidR="00EC07CA" w:rsidRPr="00216CD0" w:rsidRDefault="00EC07CA" w:rsidP="00CE3425">
            <w:pPr>
              <w:contextualSpacing/>
            </w:pPr>
            <w:r w:rsidRPr="00216CD0">
              <w:rPr>
                <w:sz w:val="20"/>
                <w:szCs w:val="20"/>
              </w:rPr>
              <w:t xml:space="preserve">Productivité du personnel </w:t>
            </w:r>
            <w:r w:rsidRPr="00216CD0">
              <w:rPr>
                <w:i/>
                <w:sz w:val="20"/>
                <w:szCs w:val="20"/>
              </w:rPr>
              <w:t>[nb d’employés/1000 abonnés actifs]</w:t>
            </w:r>
          </w:p>
        </w:tc>
        <w:tc>
          <w:tcPr>
            <w:tcW w:w="888" w:type="dxa"/>
          </w:tcPr>
          <w:p w:rsidR="00EC07CA" w:rsidRPr="00216CD0" w:rsidRDefault="00EC07CA" w:rsidP="00CE3425">
            <w:pPr>
              <w:contextualSpacing/>
            </w:pPr>
            <w:r w:rsidRPr="00216CD0">
              <w:t>15,26</w:t>
            </w:r>
          </w:p>
        </w:tc>
        <w:tc>
          <w:tcPr>
            <w:tcW w:w="886" w:type="dxa"/>
          </w:tcPr>
          <w:p w:rsidR="00EC07CA" w:rsidRPr="00216CD0" w:rsidRDefault="00EC07CA" w:rsidP="00CE3425">
            <w:pPr>
              <w:contextualSpacing/>
            </w:pPr>
            <w:r w:rsidRPr="00216CD0">
              <w:t>4</w:t>
            </w:r>
          </w:p>
        </w:tc>
        <w:tc>
          <w:tcPr>
            <w:tcW w:w="886" w:type="dxa"/>
          </w:tcPr>
          <w:p w:rsidR="00EC07CA" w:rsidRPr="00216CD0" w:rsidRDefault="00EC07CA" w:rsidP="00CE3425">
            <w:pPr>
              <w:contextualSpacing/>
            </w:pPr>
            <w:r w:rsidRPr="00216CD0">
              <w:t>21</w:t>
            </w:r>
          </w:p>
        </w:tc>
        <w:tc>
          <w:tcPr>
            <w:tcW w:w="237" w:type="dxa"/>
          </w:tcPr>
          <w:p w:rsidR="00EC07CA" w:rsidRPr="00216CD0" w:rsidRDefault="00EC07CA" w:rsidP="00CE3425">
            <w:pPr>
              <w:contextualSpacing/>
            </w:pPr>
          </w:p>
        </w:tc>
      </w:tr>
      <w:tr w:rsidR="00EC07CA" w:rsidRPr="00216CD0" w:rsidTr="004F44DF">
        <w:trPr>
          <w:jc w:val="center"/>
        </w:trPr>
        <w:tc>
          <w:tcPr>
            <w:tcW w:w="8365" w:type="dxa"/>
            <w:gridSpan w:val="5"/>
          </w:tcPr>
          <w:p w:rsidR="00EC07CA" w:rsidRPr="00216CD0" w:rsidRDefault="00EC07CA" w:rsidP="00CE3425">
            <w:pPr>
              <w:contextualSpacing/>
            </w:pPr>
            <w:r w:rsidRPr="00216CD0">
              <w:rPr>
                <w:b/>
                <w:color w:val="FF0000"/>
                <w:sz w:val="20"/>
                <w:szCs w:val="20"/>
              </w:rPr>
              <w:t>Économie du service</w:t>
            </w:r>
          </w:p>
        </w:tc>
      </w:tr>
      <w:tr w:rsidR="00EC07CA" w:rsidRPr="00216CD0" w:rsidTr="004F44DF">
        <w:trPr>
          <w:jc w:val="center"/>
        </w:trPr>
        <w:tc>
          <w:tcPr>
            <w:tcW w:w="5468" w:type="dxa"/>
          </w:tcPr>
          <w:p w:rsidR="00EC07CA" w:rsidRPr="00216CD0" w:rsidRDefault="00EC07CA" w:rsidP="00CE3425">
            <w:pPr>
              <w:contextualSpacing/>
            </w:pPr>
            <w:r w:rsidRPr="00216CD0">
              <w:rPr>
                <w:sz w:val="20"/>
                <w:szCs w:val="20"/>
              </w:rPr>
              <w:t xml:space="preserve">Poids des charges de personnel </w:t>
            </w:r>
            <w:r w:rsidRPr="00216CD0">
              <w:rPr>
                <w:i/>
                <w:sz w:val="20"/>
                <w:szCs w:val="20"/>
              </w:rPr>
              <w:t>[%]</w:t>
            </w:r>
          </w:p>
        </w:tc>
        <w:tc>
          <w:tcPr>
            <w:tcW w:w="888" w:type="dxa"/>
          </w:tcPr>
          <w:p w:rsidR="00EC07CA" w:rsidRPr="00216CD0" w:rsidRDefault="00EC07CA" w:rsidP="00CE3425">
            <w:r w:rsidRPr="00216CD0">
              <w:t>67</w:t>
            </w:r>
          </w:p>
        </w:tc>
        <w:tc>
          <w:tcPr>
            <w:tcW w:w="886" w:type="dxa"/>
          </w:tcPr>
          <w:p w:rsidR="00EC07CA" w:rsidRPr="00216CD0" w:rsidRDefault="00EC07CA" w:rsidP="00CE3425">
            <w:pPr>
              <w:contextualSpacing/>
            </w:pPr>
            <w:r w:rsidRPr="00216CD0">
              <w:t>35</w:t>
            </w:r>
          </w:p>
        </w:tc>
        <w:tc>
          <w:tcPr>
            <w:tcW w:w="886" w:type="dxa"/>
          </w:tcPr>
          <w:p w:rsidR="00EC07CA" w:rsidRPr="00216CD0" w:rsidRDefault="00EC07CA" w:rsidP="00CE3425">
            <w:pPr>
              <w:contextualSpacing/>
            </w:pPr>
            <w:r w:rsidRPr="00216CD0">
              <w:t>89</w:t>
            </w:r>
          </w:p>
        </w:tc>
        <w:tc>
          <w:tcPr>
            <w:tcW w:w="237" w:type="dxa"/>
          </w:tcPr>
          <w:p w:rsidR="00EC07CA" w:rsidRPr="00216CD0" w:rsidRDefault="00EC07CA" w:rsidP="00CE3425">
            <w:pPr>
              <w:contextualSpacing/>
            </w:pPr>
          </w:p>
        </w:tc>
      </w:tr>
      <w:tr w:rsidR="00EC07CA" w:rsidRPr="00216CD0" w:rsidTr="004F44DF">
        <w:trPr>
          <w:jc w:val="center"/>
        </w:trPr>
        <w:tc>
          <w:tcPr>
            <w:tcW w:w="5468" w:type="dxa"/>
          </w:tcPr>
          <w:p w:rsidR="00EC07CA" w:rsidRPr="00216CD0" w:rsidRDefault="00EC07CA" w:rsidP="00CE3425">
            <w:pPr>
              <w:contextualSpacing/>
            </w:pPr>
            <w:r w:rsidRPr="00216CD0">
              <w:rPr>
                <w:sz w:val="20"/>
                <w:szCs w:val="20"/>
              </w:rPr>
              <w:t xml:space="preserve">Poids des charges d’énergie </w:t>
            </w:r>
            <w:r w:rsidRPr="00216CD0">
              <w:rPr>
                <w:i/>
                <w:sz w:val="20"/>
                <w:szCs w:val="20"/>
              </w:rPr>
              <w:t>[%]</w:t>
            </w:r>
          </w:p>
        </w:tc>
        <w:tc>
          <w:tcPr>
            <w:tcW w:w="888" w:type="dxa"/>
          </w:tcPr>
          <w:p w:rsidR="00EC07CA" w:rsidRPr="00216CD0" w:rsidRDefault="00EC07CA" w:rsidP="00CE3425">
            <w:r w:rsidRPr="00216CD0">
              <w:t>5</w:t>
            </w:r>
          </w:p>
        </w:tc>
        <w:tc>
          <w:tcPr>
            <w:tcW w:w="886" w:type="dxa"/>
          </w:tcPr>
          <w:p w:rsidR="00EC07CA" w:rsidRPr="00216CD0" w:rsidRDefault="00EC07CA" w:rsidP="00CE3425">
            <w:pPr>
              <w:contextualSpacing/>
            </w:pPr>
            <w:r w:rsidRPr="00216CD0">
              <w:t>0</w:t>
            </w:r>
          </w:p>
        </w:tc>
        <w:tc>
          <w:tcPr>
            <w:tcW w:w="886" w:type="dxa"/>
          </w:tcPr>
          <w:p w:rsidR="00EC07CA" w:rsidRPr="00216CD0" w:rsidRDefault="00EC07CA" w:rsidP="00CE3425">
            <w:pPr>
              <w:contextualSpacing/>
            </w:pPr>
            <w:r w:rsidRPr="00216CD0">
              <w:t>31</w:t>
            </w:r>
          </w:p>
        </w:tc>
        <w:tc>
          <w:tcPr>
            <w:tcW w:w="237" w:type="dxa"/>
          </w:tcPr>
          <w:p w:rsidR="00EC07CA" w:rsidRPr="00216CD0" w:rsidRDefault="00EC07CA" w:rsidP="00CE3425">
            <w:pPr>
              <w:contextualSpacing/>
            </w:pPr>
          </w:p>
        </w:tc>
      </w:tr>
      <w:tr w:rsidR="00EC07CA" w:rsidRPr="00216CD0" w:rsidTr="004F44DF">
        <w:trPr>
          <w:jc w:val="center"/>
        </w:trPr>
        <w:tc>
          <w:tcPr>
            <w:tcW w:w="5468" w:type="dxa"/>
          </w:tcPr>
          <w:p w:rsidR="00EC07CA" w:rsidRPr="00216CD0" w:rsidRDefault="00EC07CA" w:rsidP="00CE3425">
            <w:pPr>
              <w:contextualSpacing/>
            </w:pPr>
            <w:r w:rsidRPr="00216CD0">
              <w:rPr>
                <w:sz w:val="20"/>
                <w:szCs w:val="20"/>
              </w:rPr>
              <w:t>Couverture des coûts d’exploitation</w:t>
            </w:r>
          </w:p>
        </w:tc>
        <w:tc>
          <w:tcPr>
            <w:tcW w:w="888" w:type="dxa"/>
          </w:tcPr>
          <w:p w:rsidR="00EC07CA" w:rsidRPr="00216CD0" w:rsidRDefault="00EC07CA" w:rsidP="00CE3425">
            <w:r w:rsidRPr="00216CD0">
              <w:t>0,57</w:t>
            </w:r>
          </w:p>
        </w:tc>
        <w:tc>
          <w:tcPr>
            <w:tcW w:w="886" w:type="dxa"/>
          </w:tcPr>
          <w:p w:rsidR="00EC07CA" w:rsidRPr="00216CD0" w:rsidRDefault="00EC07CA" w:rsidP="00CE3425">
            <w:pPr>
              <w:contextualSpacing/>
            </w:pPr>
            <w:r w:rsidRPr="00216CD0">
              <w:t>0,19</w:t>
            </w:r>
          </w:p>
        </w:tc>
        <w:tc>
          <w:tcPr>
            <w:tcW w:w="886" w:type="dxa"/>
          </w:tcPr>
          <w:p w:rsidR="00EC07CA" w:rsidRPr="00216CD0" w:rsidRDefault="00EC07CA" w:rsidP="00CE3425">
            <w:pPr>
              <w:contextualSpacing/>
            </w:pPr>
            <w:r w:rsidRPr="00216CD0">
              <w:t>1,77</w:t>
            </w:r>
          </w:p>
        </w:tc>
        <w:tc>
          <w:tcPr>
            <w:tcW w:w="237" w:type="dxa"/>
          </w:tcPr>
          <w:p w:rsidR="00EC07CA" w:rsidRPr="00216CD0" w:rsidRDefault="00EC07CA" w:rsidP="00CE3425">
            <w:pPr>
              <w:contextualSpacing/>
            </w:pPr>
          </w:p>
        </w:tc>
      </w:tr>
      <w:tr w:rsidR="00EC07CA" w:rsidRPr="00216CD0" w:rsidTr="004F44DF">
        <w:trPr>
          <w:jc w:val="center"/>
        </w:trPr>
        <w:tc>
          <w:tcPr>
            <w:tcW w:w="5468" w:type="dxa"/>
          </w:tcPr>
          <w:p w:rsidR="00EC07CA" w:rsidRPr="00216CD0" w:rsidRDefault="00EC07CA" w:rsidP="00CE3425">
            <w:pPr>
              <w:contextualSpacing/>
              <w:rPr>
                <w:sz w:val="20"/>
                <w:szCs w:val="20"/>
              </w:rPr>
            </w:pPr>
            <w:r w:rsidRPr="00216CD0">
              <w:rPr>
                <w:sz w:val="20"/>
                <w:szCs w:val="20"/>
              </w:rPr>
              <w:t xml:space="preserve">Factures recouvrées/ recettes d’exploitation </w:t>
            </w:r>
            <w:r w:rsidRPr="00216CD0">
              <w:rPr>
                <w:i/>
                <w:sz w:val="20"/>
                <w:szCs w:val="20"/>
              </w:rPr>
              <w:t>[%]</w:t>
            </w:r>
          </w:p>
        </w:tc>
        <w:tc>
          <w:tcPr>
            <w:tcW w:w="888" w:type="dxa"/>
          </w:tcPr>
          <w:p w:rsidR="00EC07CA" w:rsidRPr="00216CD0" w:rsidRDefault="00EC07CA" w:rsidP="00CE3425">
            <w:r w:rsidRPr="00216CD0">
              <w:t>ND</w:t>
            </w:r>
          </w:p>
        </w:tc>
        <w:tc>
          <w:tcPr>
            <w:tcW w:w="886" w:type="dxa"/>
          </w:tcPr>
          <w:p w:rsidR="00EC07CA" w:rsidRPr="00216CD0" w:rsidRDefault="00EC07CA" w:rsidP="00CE3425">
            <w:pPr>
              <w:contextualSpacing/>
            </w:pPr>
            <w:r w:rsidRPr="00216CD0">
              <w:t>2</w:t>
            </w:r>
          </w:p>
        </w:tc>
        <w:tc>
          <w:tcPr>
            <w:tcW w:w="886" w:type="dxa"/>
          </w:tcPr>
          <w:p w:rsidR="00EC07CA" w:rsidRPr="00216CD0" w:rsidRDefault="00EC07CA" w:rsidP="00CE3425">
            <w:pPr>
              <w:contextualSpacing/>
            </w:pPr>
            <w:r w:rsidRPr="00216CD0">
              <w:t>37</w:t>
            </w:r>
          </w:p>
        </w:tc>
        <w:tc>
          <w:tcPr>
            <w:tcW w:w="237" w:type="dxa"/>
          </w:tcPr>
          <w:p w:rsidR="00EC07CA" w:rsidRPr="00216CD0" w:rsidRDefault="00EC07CA" w:rsidP="00CE3425">
            <w:pPr>
              <w:contextualSpacing/>
            </w:pPr>
          </w:p>
        </w:tc>
      </w:tr>
      <w:tr w:rsidR="00EC07CA" w:rsidRPr="00216CD0" w:rsidTr="004F44DF">
        <w:trPr>
          <w:jc w:val="center"/>
        </w:trPr>
        <w:tc>
          <w:tcPr>
            <w:tcW w:w="8365" w:type="dxa"/>
            <w:gridSpan w:val="5"/>
          </w:tcPr>
          <w:p w:rsidR="00EC07CA" w:rsidRPr="00216CD0" w:rsidRDefault="00EC07CA" w:rsidP="00CE3425">
            <w:pPr>
              <w:contextualSpacing/>
            </w:pPr>
            <w:r w:rsidRPr="00216CD0">
              <w:rPr>
                <w:b/>
                <w:color w:val="FF0000"/>
                <w:sz w:val="20"/>
                <w:szCs w:val="20"/>
              </w:rPr>
              <w:t>Performance commerciale</w:t>
            </w:r>
          </w:p>
        </w:tc>
      </w:tr>
      <w:tr w:rsidR="00EC07CA" w:rsidRPr="00216CD0" w:rsidTr="004F44DF">
        <w:trPr>
          <w:jc w:val="center"/>
        </w:trPr>
        <w:tc>
          <w:tcPr>
            <w:tcW w:w="5468" w:type="dxa"/>
          </w:tcPr>
          <w:p w:rsidR="00EC07CA" w:rsidRPr="00216CD0" w:rsidRDefault="00EC07CA" w:rsidP="00CE3425">
            <w:pPr>
              <w:contextualSpacing/>
              <w:rPr>
                <w:sz w:val="20"/>
                <w:szCs w:val="20"/>
              </w:rPr>
            </w:pPr>
            <w:r w:rsidRPr="00216CD0">
              <w:rPr>
                <w:sz w:val="20"/>
                <w:szCs w:val="20"/>
              </w:rPr>
              <w:t xml:space="preserve">Taux d’abonnés actifs </w:t>
            </w:r>
            <w:r w:rsidRPr="00216CD0">
              <w:rPr>
                <w:i/>
                <w:sz w:val="20"/>
                <w:szCs w:val="20"/>
              </w:rPr>
              <w:t>[%]</w:t>
            </w:r>
          </w:p>
        </w:tc>
        <w:tc>
          <w:tcPr>
            <w:tcW w:w="888" w:type="dxa"/>
          </w:tcPr>
          <w:p w:rsidR="00EC07CA" w:rsidRPr="00216CD0" w:rsidRDefault="00EC07CA" w:rsidP="00CE3425">
            <w:pPr>
              <w:contextualSpacing/>
            </w:pPr>
            <w:r w:rsidRPr="00216CD0">
              <w:t>31</w:t>
            </w:r>
          </w:p>
        </w:tc>
        <w:tc>
          <w:tcPr>
            <w:tcW w:w="886" w:type="dxa"/>
          </w:tcPr>
          <w:p w:rsidR="00EC07CA" w:rsidRPr="00216CD0" w:rsidRDefault="00EC07CA" w:rsidP="00CE3425">
            <w:pPr>
              <w:contextualSpacing/>
            </w:pPr>
            <w:r w:rsidRPr="00216CD0">
              <w:t>31</w:t>
            </w:r>
          </w:p>
        </w:tc>
        <w:tc>
          <w:tcPr>
            <w:tcW w:w="886" w:type="dxa"/>
          </w:tcPr>
          <w:p w:rsidR="00EC07CA" w:rsidRPr="00216CD0" w:rsidRDefault="00EC07CA" w:rsidP="00CE3425">
            <w:pPr>
              <w:contextualSpacing/>
            </w:pPr>
            <w:r w:rsidRPr="00216CD0">
              <w:t>100</w:t>
            </w:r>
          </w:p>
        </w:tc>
        <w:tc>
          <w:tcPr>
            <w:tcW w:w="237" w:type="dxa"/>
          </w:tcPr>
          <w:p w:rsidR="00EC07CA" w:rsidRPr="00216CD0" w:rsidRDefault="00EC07CA" w:rsidP="00CE3425">
            <w:pPr>
              <w:contextualSpacing/>
            </w:pPr>
          </w:p>
        </w:tc>
      </w:tr>
      <w:tr w:rsidR="00EC07CA" w:rsidRPr="00216CD0" w:rsidTr="004F44DF">
        <w:trPr>
          <w:jc w:val="center"/>
        </w:trPr>
        <w:tc>
          <w:tcPr>
            <w:tcW w:w="5468" w:type="dxa"/>
          </w:tcPr>
          <w:p w:rsidR="00EC07CA" w:rsidRPr="00216CD0" w:rsidRDefault="00EC07CA" w:rsidP="00CE3425">
            <w:pPr>
              <w:contextualSpacing/>
              <w:rPr>
                <w:sz w:val="20"/>
                <w:szCs w:val="20"/>
              </w:rPr>
            </w:pPr>
            <w:r w:rsidRPr="00216CD0">
              <w:rPr>
                <w:sz w:val="20"/>
                <w:szCs w:val="20"/>
              </w:rPr>
              <w:t xml:space="preserve">Recettes d’exploitation par abonné actif </w:t>
            </w:r>
            <w:r w:rsidRPr="00216CD0">
              <w:rPr>
                <w:i/>
                <w:sz w:val="20"/>
                <w:szCs w:val="20"/>
              </w:rPr>
              <w:t>[HTG]</w:t>
            </w:r>
          </w:p>
        </w:tc>
        <w:tc>
          <w:tcPr>
            <w:tcW w:w="888" w:type="dxa"/>
          </w:tcPr>
          <w:p w:rsidR="00EC07CA" w:rsidRPr="00216CD0" w:rsidRDefault="00EC07CA" w:rsidP="00CE3425">
            <w:r w:rsidRPr="00216CD0">
              <w:t>2 714</w:t>
            </w:r>
          </w:p>
        </w:tc>
        <w:tc>
          <w:tcPr>
            <w:tcW w:w="886" w:type="dxa"/>
          </w:tcPr>
          <w:p w:rsidR="00EC07CA" w:rsidRPr="00216CD0" w:rsidRDefault="00EC07CA" w:rsidP="00CE3425">
            <w:r w:rsidRPr="00216CD0">
              <w:t>613</w:t>
            </w:r>
          </w:p>
        </w:tc>
        <w:tc>
          <w:tcPr>
            <w:tcW w:w="886" w:type="dxa"/>
          </w:tcPr>
          <w:p w:rsidR="00EC07CA" w:rsidRPr="00216CD0" w:rsidRDefault="00EC07CA" w:rsidP="00CE3425">
            <w:r w:rsidRPr="00216CD0">
              <w:t>5 221</w:t>
            </w:r>
          </w:p>
        </w:tc>
        <w:tc>
          <w:tcPr>
            <w:tcW w:w="237" w:type="dxa"/>
          </w:tcPr>
          <w:p w:rsidR="00EC07CA" w:rsidRPr="00216CD0" w:rsidRDefault="00EC07CA" w:rsidP="00CE3425">
            <w:pPr>
              <w:contextualSpacing/>
            </w:pPr>
          </w:p>
        </w:tc>
      </w:tr>
      <w:tr w:rsidR="00EC07CA" w:rsidRPr="00216CD0" w:rsidTr="004F44DF">
        <w:trPr>
          <w:jc w:val="center"/>
        </w:trPr>
        <w:tc>
          <w:tcPr>
            <w:tcW w:w="5468" w:type="dxa"/>
          </w:tcPr>
          <w:p w:rsidR="00EC07CA" w:rsidRPr="00216CD0" w:rsidRDefault="00EC07CA" w:rsidP="00CE3425">
            <w:pPr>
              <w:contextualSpacing/>
              <w:rPr>
                <w:sz w:val="20"/>
                <w:szCs w:val="20"/>
              </w:rPr>
            </w:pPr>
            <w:r w:rsidRPr="00216CD0">
              <w:rPr>
                <w:sz w:val="20"/>
                <w:szCs w:val="20"/>
              </w:rPr>
              <w:t xml:space="preserve">Charges d’exploitation par abonné actif </w:t>
            </w:r>
            <w:r w:rsidRPr="00216CD0">
              <w:rPr>
                <w:i/>
                <w:sz w:val="20"/>
                <w:szCs w:val="20"/>
              </w:rPr>
              <w:t>[HTG]</w:t>
            </w:r>
          </w:p>
        </w:tc>
        <w:tc>
          <w:tcPr>
            <w:tcW w:w="888" w:type="dxa"/>
          </w:tcPr>
          <w:p w:rsidR="00EC07CA" w:rsidRPr="00216CD0" w:rsidRDefault="00EC07CA" w:rsidP="00CE3425">
            <w:r w:rsidRPr="00216CD0">
              <w:t>4 069</w:t>
            </w:r>
          </w:p>
        </w:tc>
        <w:tc>
          <w:tcPr>
            <w:tcW w:w="886" w:type="dxa"/>
          </w:tcPr>
          <w:p w:rsidR="00EC07CA" w:rsidRPr="00216CD0" w:rsidRDefault="00EC07CA" w:rsidP="00CE3425">
            <w:r w:rsidRPr="00216CD0">
              <w:t>659</w:t>
            </w:r>
          </w:p>
        </w:tc>
        <w:tc>
          <w:tcPr>
            <w:tcW w:w="886" w:type="dxa"/>
          </w:tcPr>
          <w:p w:rsidR="00EC07CA" w:rsidRPr="00216CD0" w:rsidRDefault="00EC07CA" w:rsidP="00CE3425">
            <w:r w:rsidRPr="00216CD0">
              <w:t>8 382</w:t>
            </w:r>
          </w:p>
        </w:tc>
        <w:tc>
          <w:tcPr>
            <w:tcW w:w="237" w:type="dxa"/>
          </w:tcPr>
          <w:p w:rsidR="00EC07CA" w:rsidRPr="00216CD0" w:rsidRDefault="00EC07CA" w:rsidP="00CE3425">
            <w:pPr>
              <w:contextualSpacing/>
            </w:pPr>
          </w:p>
        </w:tc>
      </w:tr>
    </w:tbl>
    <w:p w:rsidR="00EC07CA" w:rsidRPr="00216CD0" w:rsidRDefault="00EC07CA" w:rsidP="00EC07CA">
      <w:pPr>
        <w:spacing w:after="0" w:line="240" w:lineRule="auto"/>
      </w:pPr>
    </w:p>
    <w:p w:rsidR="00EC07CA" w:rsidRDefault="00EC07CA" w:rsidP="00EC07CA">
      <w:pPr>
        <w:spacing w:after="0" w:line="240" w:lineRule="auto"/>
        <w:jc w:val="center"/>
      </w:pPr>
      <w:r w:rsidRPr="00216CD0">
        <w:rPr>
          <w:noProof/>
          <w:lang w:eastAsia="fr-FR"/>
        </w:rPr>
        <w:lastRenderedPageBreak/>
        <w:drawing>
          <wp:inline distT="0" distB="0" distL="0" distR="0" wp14:anchorId="27002DEC" wp14:editId="4CEE9119">
            <wp:extent cx="4752975" cy="3031525"/>
            <wp:effectExtent l="19050" t="0" r="0" b="0"/>
            <wp:docPr id="4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4757319" cy="3034296"/>
                    </a:xfrm>
                    <a:prstGeom prst="rect">
                      <a:avLst/>
                    </a:prstGeom>
                    <a:noFill/>
                    <a:ln w="9525">
                      <a:noFill/>
                      <a:miter lim="800000"/>
                      <a:headEnd/>
                      <a:tailEnd/>
                    </a:ln>
                  </pic:spPr>
                </pic:pic>
              </a:graphicData>
            </a:graphic>
          </wp:inline>
        </w:drawing>
      </w:r>
    </w:p>
    <w:p w:rsidR="009A6B47" w:rsidRDefault="009A6B47" w:rsidP="00EC07CA">
      <w:pPr>
        <w:spacing w:after="0" w:line="240" w:lineRule="auto"/>
        <w:jc w:val="center"/>
      </w:pPr>
    </w:p>
    <w:p w:rsidR="009A6B47" w:rsidRDefault="009A6B47" w:rsidP="00EC07CA">
      <w:pPr>
        <w:spacing w:after="0" w:line="240" w:lineRule="auto"/>
        <w:jc w:val="center"/>
      </w:pPr>
    </w:p>
    <w:p w:rsidR="00E64C0B" w:rsidRPr="00B1499B" w:rsidRDefault="00E64C0B" w:rsidP="00C758CC">
      <w:pPr>
        <w:ind w:left="360"/>
        <w:rPr>
          <w:rFonts w:ascii="Arial" w:hAnsi="Arial" w:cs="Arial"/>
          <w:sz w:val="24"/>
          <w:szCs w:val="24"/>
        </w:rPr>
      </w:pPr>
      <w:r w:rsidRPr="00B1499B">
        <w:rPr>
          <w:rFonts w:ascii="Arial" w:hAnsi="Arial" w:cs="Arial"/>
          <w:sz w:val="24"/>
          <w:szCs w:val="24"/>
        </w:rPr>
        <w:t xml:space="preserve">Le système d’alimentation en eau potable de Cap Haïtien est confronté à une situation de plus en plus précaire. Le périmètre du service s’est réduit à peau de chagrin et ne touche qu’un très faible pourcentage de la population, de l’ordre de 1 à 2%. Il ne reste que 800 branchements particuliers « actifs » sur un peu plus des 4000 enregistrés dans le fichier des abonnés. Cette situation résulte de causes multiples qui se combinent et souvent interfèrent. </w:t>
      </w:r>
    </w:p>
    <w:p w:rsidR="00E64C0B" w:rsidRPr="00B1499B" w:rsidRDefault="00E64C0B" w:rsidP="00C758CC">
      <w:pPr>
        <w:ind w:left="360"/>
        <w:rPr>
          <w:rFonts w:ascii="Arial" w:hAnsi="Arial" w:cs="Arial"/>
          <w:sz w:val="24"/>
          <w:szCs w:val="24"/>
        </w:rPr>
      </w:pPr>
      <w:r w:rsidRPr="00B1499B">
        <w:rPr>
          <w:rFonts w:ascii="Arial" w:hAnsi="Arial" w:cs="Arial"/>
          <w:sz w:val="24"/>
          <w:szCs w:val="24"/>
        </w:rPr>
        <w:t>L’infrastructure est en mauvais état et sujette de ce fait à des dysfonctionnements fréquents et prolongés, aboutissant aujourd’hui à la mise hors service de la majeure partie des capacités de production et de stockage.</w:t>
      </w:r>
    </w:p>
    <w:p w:rsidR="00E64C0B" w:rsidRPr="00B1499B" w:rsidRDefault="00E64C0B" w:rsidP="00C758CC">
      <w:pPr>
        <w:ind w:left="360"/>
        <w:rPr>
          <w:rFonts w:ascii="Arial" w:hAnsi="Arial" w:cs="Arial"/>
          <w:sz w:val="24"/>
          <w:szCs w:val="24"/>
        </w:rPr>
      </w:pPr>
      <w:r w:rsidRPr="00B1499B">
        <w:rPr>
          <w:rFonts w:ascii="Arial" w:hAnsi="Arial" w:cs="Arial"/>
          <w:sz w:val="24"/>
          <w:szCs w:val="24"/>
        </w:rPr>
        <w:t>Ainsi, sur 4 forages existants, un seul est en fonctionnement, le forage F10 qui alimente le château d’eau de Balan (800m3) situé sur la même parcelle. La population desservie se limite à celle localisée au voisinage du château d’eau. Le service est fortement contraint par la capacité des installations de sorte que l’eau est distribuée une à deux heures par jour et seulement 2 à 3 jours par semaine. Un petit complément de distribution est effectué par des camions citernes venant s’approvisionner au petit forage F4 situé à côté du forage F10. Les prélèvements se font par pompage depuis la surface directement dans la colonne du forage et ne peuvent avoir lieu que lorsque le forage F10 est à l’arrêt (sinon le niveau de la nappe baisse trop, compte tenu de la hauteur d’aspiration au pompage). Les autres forages, soit abandonnés, soit à l’arrêt. Le forage F8 vient d’être abandonné pour donner suite à une inspection qui a révélé des problèmes d’infiltration d’eau de surface et des risques graves de pollution. Le forage F9 est à l’arrêt (pompe en panne et groupe électrogène en panne). Selon un récent rapport diagnostic hydrogéologique, il pourrait être remis en service moyennant certains travaux de réhabilitation. Enfin, le forage F11 a été abandonné pour des raisons d’infiltration d’eau de surface liées à des malfaçons de construction.</w:t>
      </w:r>
    </w:p>
    <w:p w:rsidR="00E64C0B" w:rsidRPr="00B1499B" w:rsidRDefault="00E64C0B" w:rsidP="00C758CC">
      <w:pPr>
        <w:ind w:left="270"/>
        <w:rPr>
          <w:rFonts w:ascii="Arial" w:hAnsi="Arial" w:cs="Arial"/>
          <w:sz w:val="24"/>
          <w:szCs w:val="24"/>
        </w:rPr>
      </w:pPr>
      <w:r w:rsidRPr="00B1499B">
        <w:rPr>
          <w:rFonts w:ascii="Arial" w:hAnsi="Arial" w:cs="Arial"/>
          <w:sz w:val="24"/>
          <w:szCs w:val="24"/>
        </w:rPr>
        <w:lastRenderedPageBreak/>
        <w:t>Conséquence de cette situation, la ligne d’adduction qui rejoint le réservoir de Bel Air n’est plus alimentée. La population du centre-ville dépendant du réseau de distribution de ce réservoir ne reçoit plus d’eau.</w:t>
      </w:r>
    </w:p>
    <w:p w:rsidR="00E64C0B" w:rsidRPr="00B1499B" w:rsidRDefault="00E64C0B" w:rsidP="00C758CC">
      <w:pPr>
        <w:ind w:left="270"/>
        <w:rPr>
          <w:rFonts w:ascii="Arial" w:hAnsi="Arial" w:cs="Arial"/>
          <w:sz w:val="24"/>
          <w:szCs w:val="24"/>
        </w:rPr>
      </w:pPr>
      <w:r w:rsidRPr="00B1499B">
        <w:rPr>
          <w:rFonts w:ascii="Arial" w:hAnsi="Arial" w:cs="Arial"/>
          <w:sz w:val="24"/>
          <w:szCs w:val="24"/>
        </w:rPr>
        <w:t>Le CTE de CAP HAITIEN en charge de l’exploitation du système d’AEP ne semble pas en mesure d’enrayer cette dégradation inexorable du service, faute de capacité de gestion suffisante dans les différents domaines de l’exploitation. De plus, compte tenu de l’état de l’infrastructure, un redressement de la situation passe par un programme d’investissement massif accompagné de mesures de renforcement institutionnel, programme en cours de préparation à la BID.</w:t>
      </w:r>
      <w:r>
        <w:rPr>
          <w:rFonts w:ascii="Arial" w:hAnsi="Arial" w:cs="Arial"/>
          <w:sz w:val="24"/>
          <w:szCs w:val="24"/>
        </w:rPr>
        <w:t xml:space="preserve"> </w:t>
      </w:r>
      <w:r w:rsidRPr="00B1499B">
        <w:rPr>
          <w:rFonts w:ascii="Arial" w:hAnsi="Arial" w:cs="Arial"/>
          <w:sz w:val="24"/>
          <w:szCs w:val="24"/>
        </w:rPr>
        <w:t>Le CTE de CAP Haïtien compte sur le papier un effectif de 20 personnes, mais 2 postes sont vacants (un poste d’administrateur et un poste de responsable de caisse (en recrutement)) ; l’effectif réel est donc de 18 personnes.</w:t>
      </w:r>
      <w:r>
        <w:rPr>
          <w:rFonts w:ascii="Arial" w:hAnsi="Arial" w:cs="Arial"/>
          <w:sz w:val="24"/>
          <w:szCs w:val="24"/>
        </w:rPr>
        <w:t xml:space="preserve"> L’</w:t>
      </w:r>
      <w:r w:rsidRPr="00B1499B">
        <w:rPr>
          <w:rFonts w:ascii="Arial" w:hAnsi="Arial" w:cs="Arial"/>
          <w:sz w:val="24"/>
          <w:szCs w:val="24"/>
        </w:rPr>
        <w:t>effectif</w:t>
      </w:r>
      <w:r>
        <w:rPr>
          <w:rFonts w:ascii="Arial" w:hAnsi="Arial" w:cs="Arial"/>
          <w:sz w:val="24"/>
          <w:szCs w:val="24"/>
        </w:rPr>
        <w:t xml:space="preserve"> est</w:t>
      </w:r>
      <w:r w:rsidRPr="00B1499B">
        <w:rPr>
          <w:rFonts w:ascii="Arial" w:hAnsi="Arial" w:cs="Arial"/>
          <w:sz w:val="24"/>
          <w:szCs w:val="24"/>
        </w:rPr>
        <w:t xml:space="preserve"> âgé, la moitié des agents a</w:t>
      </w:r>
      <w:r>
        <w:rPr>
          <w:rFonts w:ascii="Arial" w:hAnsi="Arial" w:cs="Arial"/>
          <w:sz w:val="24"/>
          <w:szCs w:val="24"/>
        </w:rPr>
        <w:t>yant</w:t>
      </w:r>
      <w:r w:rsidRPr="00B1499B">
        <w:rPr>
          <w:rFonts w:ascii="Arial" w:hAnsi="Arial" w:cs="Arial"/>
          <w:sz w:val="24"/>
          <w:szCs w:val="24"/>
        </w:rPr>
        <w:t xml:space="preserve"> plus de 60 ans, dont 3 ou plus dépasseraient les 70 ans.</w:t>
      </w:r>
      <w:r>
        <w:rPr>
          <w:rFonts w:ascii="Arial" w:hAnsi="Arial" w:cs="Arial"/>
          <w:sz w:val="24"/>
          <w:szCs w:val="24"/>
        </w:rPr>
        <w:t xml:space="preserve"> De l’effectif est</w:t>
      </w:r>
      <w:r w:rsidRPr="00B1499B">
        <w:rPr>
          <w:rFonts w:ascii="Arial" w:hAnsi="Arial" w:cs="Arial"/>
          <w:sz w:val="24"/>
          <w:szCs w:val="24"/>
        </w:rPr>
        <w:t xml:space="preserve"> peu qualifié</w:t>
      </w:r>
      <w:r>
        <w:rPr>
          <w:rFonts w:ascii="Arial" w:hAnsi="Arial" w:cs="Arial"/>
          <w:sz w:val="24"/>
          <w:szCs w:val="24"/>
        </w:rPr>
        <w:t xml:space="preserve">. En effet, </w:t>
      </w:r>
      <w:r w:rsidRPr="00B1499B">
        <w:rPr>
          <w:rFonts w:ascii="Arial" w:hAnsi="Arial" w:cs="Arial"/>
          <w:sz w:val="24"/>
          <w:szCs w:val="24"/>
        </w:rPr>
        <w:t>les trois quarts des postes sont des postes de plombiers, manœuvres, vanniers, gardiens et chauffeurs.</w:t>
      </w:r>
      <w:r>
        <w:rPr>
          <w:rFonts w:ascii="Arial" w:hAnsi="Arial" w:cs="Arial"/>
          <w:sz w:val="24"/>
          <w:szCs w:val="24"/>
        </w:rPr>
        <w:t xml:space="preserve"> </w:t>
      </w:r>
      <w:r w:rsidRPr="00B1499B">
        <w:rPr>
          <w:rFonts w:ascii="Arial" w:hAnsi="Arial" w:cs="Arial"/>
          <w:sz w:val="24"/>
          <w:szCs w:val="24"/>
        </w:rPr>
        <w:t xml:space="preserve">Seules 2 personnes en haut de la hiérarchie ont des diplômes d’études supérieures : </w:t>
      </w:r>
      <w:r>
        <w:rPr>
          <w:rFonts w:ascii="Arial" w:hAnsi="Arial" w:cs="Arial"/>
          <w:sz w:val="24"/>
          <w:szCs w:val="24"/>
        </w:rPr>
        <w:t xml:space="preserve">(i) </w:t>
      </w:r>
      <w:r w:rsidRPr="00B9246D">
        <w:rPr>
          <w:rFonts w:ascii="Arial" w:hAnsi="Arial" w:cs="Arial"/>
          <w:sz w:val="24"/>
          <w:szCs w:val="24"/>
        </w:rPr>
        <w:t>Diplôme d’Ingénieur civil pour le Directeur du CTE (qui suivrait également des cours en ligne pour une maitrise auprès de l’Institut International de l’Eau et de l’Environnement)</w:t>
      </w:r>
      <w:r>
        <w:rPr>
          <w:rFonts w:ascii="Arial" w:hAnsi="Arial" w:cs="Arial"/>
          <w:sz w:val="24"/>
          <w:szCs w:val="24"/>
        </w:rPr>
        <w:t xml:space="preserve"> ; (ii) </w:t>
      </w:r>
      <w:r w:rsidRPr="00B9246D">
        <w:rPr>
          <w:rFonts w:ascii="Arial" w:hAnsi="Arial" w:cs="Arial"/>
          <w:sz w:val="24"/>
          <w:szCs w:val="24"/>
        </w:rPr>
        <w:t xml:space="preserve">Diplôme en administration (Bac + 4) pour la responsable commerciale. </w:t>
      </w:r>
      <w:r w:rsidRPr="00B1499B">
        <w:rPr>
          <w:rFonts w:ascii="Arial" w:hAnsi="Arial" w:cs="Arial"/>
          <w:sz w:val="24"/>
          <w:szCs w:val="24"/>
        </w:rPr>
        <w:t>L’effectif manque visiblement d’agents avec des niveaux de qualification intermédiaires (technicien supérieur, agent de maitrise).</w:t>
      </w:r>
    </w:p>
    <w:p w:rsidR="00E64C0B" w:rsidRDefault="00E64C0B" w:rsidP="00822C89">
      <w:pPr>
        <w:ind w:left="270"/>
        <w:rPr>
          <w:rFonts w:ascii="Arial" w:hAnsi="Arial" w:cs="Arial"/>
          <w:sz w:val="24"/>
          <w:szCs w:val="24"/>
        </w:rPr>
      </w:pPr>
      <w:r w:rsidRPr="00B1499B">
        <w:rPr>
          <w:rFonts w:ascii="Arial" w:hAnsi="Arial" w:cs="Arial"/>
          <w:sz w:val="24"/>
          <w:szCs w:val="24"/>
        </w:rPr>
        <w:t xml:space="preserve">A l’instar de la plupart des CTE, le résultat d’exploitation est chroniquement déficitaire. Les recettes d’exploitation ne couvrent pas les dépenses, ce qui contraint le CTE à réduire le service ou à l’arrêter dans certains secteurs. Par manque </w:t>
      </w:r>
      <w:r>
        <w:rPr>
          <w:rFonts w:ascii="Arial" w:hAnsi="Arial" w:cs="Arial"/>
          <w:sz w:val="24"/>
          <w:szCs w:val="24"/>
        </w:rPr>
        <w:t>de ressources</w:t>
      </w:r>
      <w:r w:rsidRPr="00B1499B">
        <w:rPr>
          <w:rFonts w:ascii="Arial" w:hAnsi="Arial" w:cs="Arial"/>
          <w:sz w:val="24"/>
          <w:szCs w:val="24"/>
        </w:rPr>
        <w:t xml:space="preserve">, </w:t>
      </w:r>
      <w:r>
        <w:rPr>
          <w:rFonts w:ascii="Arial" w:hAnsi="Arial" w:cs="Arial"/>
          <w:sz w:val="24"/>
          <w:szCs w:val="24"/>
        </w:rPr>
        <w:t>le CTE</w:t>
      </w:r>
      <w:r w:rsidRPr="00B1499B">
        <w:rPr>
          <w:rFonts w:ascii="Arial" w:hAnsi="Arial" w:cs="Arial"/>
          <w:sz w:val="24"/>
          <w:szCs w:val="24"/>
        </w:rPr>
        <w:t xml:space="preserve"> limite le temps de fonctionnement des groupes électrogènes et des pompes</w:t>
      </w:r>
      <w:r>
        <w:rPr>
          <w:rFonts w:ascii="Arial" w:hAnsi="Arial" w:cs="Arial"/>
          <w:sz w:val="24"/>
          <w:szCs w:val="24"/>
        </w:rPr>
        <w:t xml:space="preserve"> et n’a </w:t>
      </w:r>
      <w:r w:rsidRPr="00B1499B">
        <w:rPr>
          <w:rFonts w:ascii="Arial" w:hAnsi="Arial" w:cs="Arial"/>
          <w:sz w:val="24"/>
          <w:szCs w:val="24"/>
        </w:rPr>
        <w:t>plus les moyens de les réparer et on entre ainsi dans une spirale de régression de plus en plus marquée du service qui sans action particulière des autorités aboutirait à sa disparition.</w:t>
      </w:r>
      <w:r>
        <w:rPr>
          <w:rFonts w:ascii="Arial" w:hAnsi="Arial" w:cs="Arial"/>
          <w:sz w:val="24"/>
          <w:szCs w:val="24"/>
        </w:rPr>
        <w:t xml:space="preserve"> </w:t>
      </w:r>
      <w:r w:rsidRPr="00B1499B">
        <w:rPr>
          <w:rFonts w:ascii="Arial" w:hAnsi="Arial" w:cs="Arial"/>
          <w:sz w:val="24"/>
          <w:szCs w:val="24"/>
        </w:rPr>
        <w:t>Ce recul du périmètre et de la qualité du service s’est accéléré au cours des dernières années</w:t>
      </w:r>
      <w:r>
        <w:rPr>
          <w:rFonts w:ascii="Arial" w:hAnsi="Arial" w:cs="Arial"/>
          <w:sz w:val="24"/>
          <w:szCs w:val="24"/>
        </w:rPr>
        <w:t>. La</w:t>
      </w:r>
      <w:r w:rsidRPr="00B1499B">
        <w:rPr>
          <w:rFonts w:ascii="Arial" w:hAnsi="Arial" w:cs="Arial"/>
          <w:sz w:val="24"/>
          <w:szCs w:val="24"/>
        </w:rPr>
        <w:t xml:space="preserve"> réduction du nombre d’abonnés actifs (environ 800) entraine une baisse des rentrées financières. Les maigres recettes servent surtout à couvrir la masse salariale. Les ratios habituellement utilisés pour juger l’adéquation de l’effectif, comme le nombre d’agents pour 1000 branchements actifs atteignent des valeurs extravagantes, et n’ont plus vraiment de sens.</w:t>
      </w:r>
    </w:p>
    <w:p w:rsidR="000D4947" w:rsidRDefault="000D4947" w:rsidP="000D4947">
      <w:pPr>
        <w:pStyle w:val="HTMLPreformatted"/>
        <w:shd w:val="clear" w:color="auto" w:fill="FFFFFF"/>
        <w:ind w:left="270"/>
        <w:jc w:val="both"/>
        <w:rPr>
          <w:rFonts w:ascii="Arial" w:hAnsi="Arial" w:cs="Arial"/>
          <w:sz w:val="24"/>
          <w:szCs w:val="24"/>
        </w:rPr>
      </w:pPr>
      <w:r w:rsidRPr="00070232">
        <w:rPr>
          <w:rFonts w:ascii="Arial" w:eastAsiaTheme="minorHAnsi" w:hAnsi="Arial" w:cs="Arial"/>
          <w:sz w:val="24"/>
          <w:szCs w:val="24"/>
          <w:lang w:eastAsia="en-US"/>
        </w:rPr>
        <w:t xml:space="preserve">A titre de comparaison avec d’autres pays dans des situations économiques et/ou sectorielles comparables à Haïti, la productivité moyenne du personnel est de 3,16 au Burkina Faso (2014), 3,32 au Bénin (2013), 3,48 au Honduras (2014), 9 au Malawi (2014) et 13,51 au </w:t>
      </w:r>
      <w:r w:rsidR="00423748" w:rsidRPr="00070232">
        <w:rPr>
          <w:rFonts w:ascii="Arial" w:eastAsiaTheme="minorHAnsi" w:hAnsi="Arial" w:cs="Arial"/>
          <w:sz w:val="24"/>
          <w:szCs w:val="24"/>
          <w:lang w:eastAsia="en-US"/>
        </w:rPr>
        <w:t>Togo (</w:t>
      </w:r>
      <w:r w:rsidRPr="00070232">
        <w:rPr>
          <w:rFonts w:ascii="Arial" w:eastAsiaTheme="minorHAnsi" w:hAnsi="Arial" w:cs="Arial"/>
          <w:sz w:val="24"/>
          <w:szCs w:val="24"/>
          <w:lang w:eastAsia="en-US"/>
        </w:rPr>
        <w:t xml:space="preserve">2013) (source IBNet). </w:t>
      </w:r>
      <w:r w:rsidRPr="00070232">
        <w:rPr>
          <w:rFonts w:ascii="Arial" w:eastAsiaTheme="minorHAnsi" w:hAnsi="Arial" w:cs="Arial"/>
          <w:i/>
          <w:sz w:val="24"/>
          <w:szCs w:val="24"/>
          <w:lang w:eastAsia="en-US"/>
        </w:rPr>
        <w:t xml:space="preserve">« Une analyse des données provenant de 246 services d'eau (y compris 123 services publics de 44 pays en développement) a proposé un objectif de 5 employés ou moins pour 1000 abonnés pour les services d'eau des pays en développement. Cet objectif est basé sur les niveaux de productivité effectivement obtenus par le quartile supérieur des services publics des pays en développement au sein de la base de données. Cependant, de </w:t>
      </w:r>
      <w:r w:rsidRPr="00070232">
        <w:rPr>
          <w:rFonts w:ascii="Arial" w:eastAsiaTheme="minorHAnsi" w:hAnsi="Arial" w:cs="Arial"/>
          <w:i/>
          <w:sz w:val="24"/>
          <w:szCs w:val="24"/>
          <w:lang w:eastAsia="en-US"/>
        </w:rPr>
        <w:lastRenderedPageBreak/>
        <w:t xml:space="preserve">nombreux services d’eau dans les pays en développement affichent plus de 20 employés pour 1000 abonnés </w:t>
      </w:r>
      <w:r w:rsidRPr="00070232">
        <w:rPr>
          <w:rFonts w:ascii="Arial" w:hAnsi="Arial" w:cs="Arial"/>
          <w:i/>
          <w:sz w:val="24"/>
          <w:szCs w:val="24"/>
        </w:rPr>
        <w:t>(Tynan and Kingdom 2002</w:t>
      </w:r>
      <w:r w:rsidRPr="00070232">
        <w:rPr>
          <w:rFonts w:ascii="Arial" w:hAnsi="Arial" w:cs="Arial"/>
          <w:sz w:val="24"/>
          <w:szCs w:val="24"/>
        </w:rPr>
        <w:t>) ».</w:t>
      </w:r>
      <w:r w:rsidRPr="00070232">
        <w:rPr>
          <w:rStyle w:val="FootnoteReference"/>
          <w:rFonts w:ascii="Arial" w:eastAsiaTheme="minorHAnsi" w:hAnsi="Arial" w:cs="Arial"/>
          <w:sz w:val="24"/>
          <w:szCs w:val="24"/>
          <w:lang w:eastAsia="en-US"/>
        </w:rPr>
        <w:footnoteReference w:id="7"/>
      </w:r>
    </w:p>
    <w:p w:rsidR="0034348B" w:rsidRDefault="0034348B" w:rsidP="000D4947">
      <w:pPr>
        <w:pStyle w:val="HTMLPreformatted"/>
        <w:shd w:val="clear" w:color="auto" w:fill="FFFFFF"/>
        <w:ind w:left="270"/>
        <w:jc w:val="both"/>
        <w:rPr>
          <w:rFonts w:ascii="Arial" w:hAnsi="Arial" w:cs="Arial"/>
          <w:sz w:val="24"/>
          <w:szCs w:val="24"/>
        </w:rPr>
      </w:pPr>
    </w:p>
    <w:p w:rsidR="00E64C0B" w:rsidRPr="00B1499B" w:rsidRDefault="00893FF1" w:rsidP="00822C89">
      <w:pPr>
        <w:ind w:left="270"/>
        <w:rPr>
          <w:rFonts w:ascii="Arial" w:hAnsi="Arial" w:cs="Arial"/>
          <w:sz w:val="24"/>
          <w:szCs w:val="24"/>
        </w:rPr>
      </w:pPr>
      <w:r>
        <w:rPr>
          <w:rFonts w:ascii="Arial" w:hAnsi="Arial" w:cs="Arial"/>
          <w:sz w:val="24"/>
          <w:szCs w:val="24"/>
        </w:rPr>
        <w:t>I</w:t>
      </w:r>
      <w:r w:rsidR="007A3C40">
        <w:rPr>
          <w:rFonts w:ascii="Arial" w:hAnsi="Arial" w:cs="Arial"/>
          <w:sz w:val="24"/>
          <w:szCs w:val="24"/>
        </w:rPr>
        <w:t>l</w:t>
      </w:r>
      <w:r w:rsidR="00E64C0B" w:rsidRPr="00B1499B">
        <w:rPr>
          <w:rFonts w:ascii="Arial" w:hAnsi="Arial" w:cs="Arial"/>
          <w:sz w:val="24"/>
          <w:szCs w:val="24"/>
        </w:rPr>
        <w:t xml:space="preserve"> est apparu indispensable de réorganiser de fond en comble le CTE pour répondre aux enjeux de développement du service sur la période 2019-2025.</w:t>
      </w:r>
      <w:r w:rsidR="00E64C0B">
        <w:rPr>
          <w:rFonts w:ascii="Arial" w:hAnsi="Arial" w:cs="Arial"/>
          <w:sz w:val="24"/>
          <w:szCs w:val="24"/>
        </w:rPr>
        <w:t xml:space="preserve"> </w:t>
      </w:r>
      <w:r w:rsidR="00E64C0B" w:rsidRPr="00B1499B">
        <w:rPr>
          <w:rFonts w:ascii="Arial" w:hAnsi="Arial" w:cs="Arial"/>
          <w:sz w:val="24"/>
          <w:szCs w:val="24"/>
        </w:rPr>
        <w:t>Ces enjeux ont fait l’objet d’un projet de plan d’affaires (voir document spécifique) qui explore les perspectives de développement et propose des objectifs à atteindre.</w:t>
      </w:r>
      <w:r w:rsidR="00E64C0B">
        <w:rPr>
          <w:rFonts w:ascii="Arial" w:hAnsi="Arial" w:cs="Arial"/>
          <w:sz w:val="24"/>
          <w:szCs w:val="24"/>
        </w:rPr>
        <w:t xml:space="preserve"> </w:t>
      </w:r>
      <w:r w:rsidR="00E64C0B" w:rsidRPr="00B1499B">
        <w:rPr>
          <w:rFonts w:ascii="Arial" w:hAnsi="Arial" w:cs="Arial"/>
          <w:sz w:val="24"/>
          <w:szCs w:val="24"/>
        </w:rPr>
        <w:t>Ainsi la population desservie par le système devrait passer progressivement de quelques pour cent aujourd’hui à environ 50% en 2025 ; un tiers de la population serait alors alimenté par branchements particuliers et le reste par branchements condominiaux et kiosques.</w:t>
      </w:r>
      <w:r w:rsidR="00E64C0B">
        <w:rPr>
          <w:rFonts w:ascii="Arial" w:hAnsi="Arial" w:cs="Arial"/>
          <w:sz w:val="24"/>
          <w:szCs w:val="24"/>
        </w:rPr>
        <w:t xml:space="preserve"> </w:t>
      </w:r>
      <w:r w:rsidR="00E64C0B" w:rsidRPr="00B1499B">
        <w:rPr>
          <w:rFonts w:ascii="Arial" w:hAnsi="Arial" w:cs="Arial"/>
          <w:sz w:val="24"/>
          <w:szCs w:val="24"/>
        </w:rPr>
        <w:t>Les besoins en production atteindraient 19 000 m3/jour en 2025, à comparer à une production actuelle de moins de 1000 m3/jour.</w:t>
      </w:r>
      <w:r w:rsidR="00E64C0B">
        <w:rPr>
          <w:rFonts w:ascii="Arial" w:hAnsi="Arial" w:cs="Arial"/>
          <w:sz w:val="24"/>
          <w:szCs w:val="24"/>
        </w:rPr>
        <w:t xml:space="preserve"> C</w:t>
      </w:r>
      <w:r w:rsidR="00E64C0B" w:rsidRPr="00B1499B">
        <w:rPr>
          <w:rFonts w:ascii="Arial" w:hAnsi="Arial" w:cs="Arial"/>
          <w:sz w:val="24"/>
          <w:szCs w:val="24"/>
        </w:rPr>
        <w:t>e programme, pour être pleinement opérationnel, doit être accompagné d’une réorganisation en profondeur du CTE.</w:t>
      </w:r>
    </w:p>
    <w:p w:rsidR="00E64C0B" w:rsidRPr="00B1499B" w:rsidRDefault="00E64C0B" w:rsidP="00822C89">
      <w:pPr>
        <w:ind w:left="270"/>
        <w:rPr>
          <w:rFonts w:ascii="Arial" w:hAnsi="Arial" w:cs="Arial"/>
          <w:sz w:val="24"/>
          <w:szCs w:val="24"/>
        </w:rPr>
      </w:pPr>
      <w:r w:rsidRPr="00B1499B">
        <w:rPr>
          <w:rFonts w:ascii="Arial" w:hAnsi="Arial" w:cs="Arial"/>
          <w:sz w:val="24"/>
          <w:szCs w:val="24"/>
        </w:rPr>
        <w:t xml:space="preserve">Les mesures d’accompagnement passent par </w:t>
      </w:r>
      <w:r w:rsidRPr="00B1499B">
        <w:rPr>
          <w:rFonts w:ascii="Arial" w:hAnsi="Arial" w:cs="Arial"/>
          <w:b/>
          <w:sz w:val="24"/>
          <w:szCs w:val="24"/>
        </w:rPr>
        <w:t>le recrutement d’un prestataire</w:t>
      </w:r>
      <w:r w:rsidRPr="00B1499B">
        <w:rPr>
          <w:rFonts w:ascii="Arial" w:hAnsi="Arial" w:cs="Arial"/>
          <w:sz w:val="24"/>
          <w:szCs w:val="24"/>
        </w:rPr>
        <w:t>, avec une expérience d’opérateur international, chargé de prendre en main le CTE à toutes les fonctions de management ; à réorganiser les services, à les doter de moyens matériels et humains en rapport avec le développement projeté du service tel que formulé dans le plan d’affaires.</w:t>
      </w:r>
      <w:r>
        <w:rPr>
          <w:rFonts w:ascii="Arial" w:hAnsi="Arial" w:cs="Arial"/>
          <w:sz w:val="24"/>
          <w:szCs w:val="24"/>
        </w:rPr>
        <w:t xml:space="preserve"> </w:t>
      </w:r>
      <w:r w:rsidRPr="00B1499B">
        <w:rPr>
          <w:rFonts w:ascii="Arial" w:hAnsi="Arial" w:cs="Arial"/>
          <w:sz w:val="24"/>
          <w:szCs w:val="24"/>
        </w:rPr>
        <w:t xml:space="preserve">Le prestataire interviendrait dans le cadre d’un </w:t>
      </w:r>
      <w:r w:rsidRPr="00B1499B">
        <w:rPr>
          <w:rFonts w:ascii="Arial" w:hAnsi="Arial" w:cs="Arial"/>
          <w:b/>
          <w:sz w:val="24"/>
          <w:szCs w:val="24"/>
        </w:rPr>
        <w:t>contrat de service</w:t>
      </w:r>
      <w:r w:rsidRPr="00B1499B">
        <w:rPr>
          <w:rFonts w:ascii="Arial" w:hAnsi="Arial" w:cs="Arial"/>
          <w:sz w:val="24"/>
          <w:szCs w:val="24"/>
        </w:rPr>
        <w:t xml:space="preserve"> (avec une part de rémunération liée à la performance).</w:t>
      </w:r>
      <w:r>
        <w:rPr>
          <w:rFonts w:ascii="Arial" w:hAnsi="Arial" w:cs="Arial"/>
          <w:sz w:val="24"/>
          <w:szCs w:val="24"/>
        </w:rPr>
        <w:t xml:space="preserve"> Les lignes </w:t>
      </w:r>
      <w:r w:rsidRPr="00B1499B">
        <w:rPr>
          <w:rFonts w:ascii="Arial" w:hAnsi="Arial" w:cs="Arial"/>
          <w:sz w:val="24"/>
          <w:szCs w:val="24"/>
        </w:rPr>
        <w:t>directrices</w:t>
      </w:r>
      <w:r>
        <w:rPr>
          <w:rFonts w:ascii="Arial" w:hAnsi="Arial" w:cs="Arial"/>
          <w:sz w:val="24"/>
          <w:szCs w:val="24"/>
        </w:rPr>
        <w:t xml:space="preserve"> du contrat</w:t>
      </w:r>
      <w:r w:rsidRPr="00B1499B">
        <w:rPr>
          <w:rFonts w:ascii="Arial" w:hAnsi="Arial" w:cs="Arial"/>
          <w:sz w:val="24"/>
          <w:szCs w:val="24"/>
        </w:rPr>
        <w:t xml:space="preserve"> sont résumées sur le schéma ci-après :</w:t>
      </w:r>
    </w:p>
    <w:p w:rsidR="00E64C0B" w:rsidRPr="00B1499B" w:rsidRDefault="00E64C0B" w:rsidP="00E64C0B">
      <w:pPr>
        <w:rPr>
          <w:rFonts w:ascii="Arial" w:hAnsi="Arial" w:cs="Arial"/>
          <w:sz w:val="24"/>
          <w:szCs w:val="24"/>
        </w:rPr>
      </w:pPr>
      <w:r w:rsidRPr="00B1499B">
        <w:rPr>
          <w:rFonts w:ascii="Arial" w:hAnsi="Arial" w:cs="Arial"/>
          <w:noProof/>
          <w:sz w:val="24"/>
          <w:szCs w:val="24"/>
        </w:rPr>
        <w:lastRenderedPageBreak/>
        <w:drawing>
          <wp:inline distT="0" distB="0" distL="0" distR="0" wp14:anchorId="1E5BDCDE" wp14:editId="4534FDAD">
            <wp:extent cx="4047819" cy="5476875"/>
            <wp:effectExtent l="19050" t="19050" r="1016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49793" cy="5479546"/>
                    </a:xfrm>
                    <a:prstGeom prst="rect">
                      <a:avLst/>
                    </a:prstGeom>
                    <a:noFill/>
                    <a:ln>
                      <a:solidFill>
                        <a:schemeClr val="tx1"/>
                      </a:solidFill>
                    </a:ln>
                  </pic:spPr>
                </pic:pic>
              </a:graphicData>
            </a:graphic>
          </wp:inline>
        </w:drawing>
      </w:r>
    </w:p>
    <w:p w:rsidR="00E64C0B" w:rsidRPr="00D162D0" w:rsidRDefault="00E64C0B" w:rsidP="00E64C0B">
      <w:pPr>
        <w:rPr>
          <w:rFonts w:ascii="Arial" w:hAnsi="Arial" w:cs="Arial"/>
          <w:b/>
          <w:sz w:val="24"/>
          <w:szCs w:val="24"/>
          <w:u w:val="single"/>
        </w:rPr>
      </w:pPr>
      <w:r w:rsidRPr="00D162D0">
        <w:rPr>
          <w:rFonts w:ascii="Arial" w:hAnsi="Arial" w:cs="Arial"/>
          <w:b/>
          <w:sz w:val="24"/>
          <w:szCs w:val="24"/>
          <w:u w:val="single"/>
        </w:rPr>
        <w:t>Cadres permanents</w:t>
      </w:r>
    </w:p>
    <w:p w:rsidR="00E64C0B" w:rsidRPr="00B1499B" w:rsidRDefault="00E64C0B" w:rsidP="00E64C0B">
      <w:pPr>
        <w:rPr>
          <w:rFonts w:ascii="Arial" w:hAnsi="Arial" w:cs="Arial"/>
          <w:sz w:val="24"/>
          <w:szCs w:val="24"/>
        </w:rPr>
      </w:pPr>
      <w:r w:rsidRPr="00B1499B">
        <w:rPr>
          <w:rFonts w:ascii="Arial" w:hAnsi="Arial" w:cs="Arial"/>
          <w:sz w:val="24"/>
          <w:szCs w:val="24"/>
        </w:rPr>
        <w:t>Le cœur du dispositif contractuel repose sur la mise à disposition par le prestataire de 4 cadres supérieurs pour occuper les fonctions de management clé du CTE, à savoir : la Direction Générale, la Direction Administrative et Financière, la Direction de Clientèle et la Direction Technique.</w:t>
      </w:r>
    </w:p>
    <w:p w:rsidR="00E64C0B" w:rsidRPr="000A3C40" w:rsidRDefault="00E64C0B" w:rsidP="00E64C0B">
      <w:pPr>
        <w:rPr>
          <w:rFonts w:ascii="Arial" w:hAnsi="Arial" w:cs="Arial"/>
          <w:sz w:val="24"/>
          <w:szCs w:val="24"/>
        </w:rPr>
      </w:pPr>
      <w:r w:rsidRPr="00B1499B">
        <w:rPr>
          <w:rFonts w:ascii="Arial" w:hAnsi="Arial" w:cs="Arial"/>
          <w:sz w:val="24"/>
          <w:szCs w:val="24"/>
        </w:rPr>
        <w:t xml:space="preserve">Les objectifs pour ces 4 cadres </w:t>
      </w:r>
      <w:r>
        <w:rPr>
          <w:rFonts w:ascii="Arial" w:hAnsi="Arial" w:cs="Arial"/>
          <w:sz w:val="24"/>
          <w:szCs w:val="24"/>
        </w:rPr>
        <w:t xml:space="preserve">incluent : (i) </w:t>
      </w:r>
      <w:r w:rsidRPr="000A3C40">
        <w:rPr>
          <w:rFonts w:ascii="Arial" w:hAnsi="Arial" w:cs="Arial"/>
          <w:sz w:val="24"/>
          <w:szCs w:val="24"/>
        </w:rPr>
        <w:t>Assurer les fonctions classiques de gestion d’une entreprise de distribution d’eau, réorganiser le CTE et développer le service en lien avec les objectifs du plan d’affaires</w:t>
      </w:r>
      <w:r>
        <w:rPr>
          <w:rFonts w:ascii="Arial" w:hAnsi="Arial" w:cs="Arial"/>
          <w:sz w:val="24"/>
          <w:szCs w:val="24"/>
        </w:rPr>
        <w:t xml:space="preserve"> ; (ii) </w:t>
      </w:r>
      <w:r w:rsidRPr="000A3C40">
        <w:rPr>
          <w:rFonts w:ascii="Arial" w:hAnsi="Arial" w:cs="Arial"/>
          <w:sz w:val="24"/>
          <w:szCs w:val="24"/>
        </w:rPr>
        <w:t>Superviser la mise en œuvre d’une série de produits  indispensables au fonctionnement des services : ces produits se réfèrent au déploiement d’outils modernes de gestion (infrastructure informatique, applications…), à l’élaboration et mise en place de procédures, à la formation du personnel, à la préparation de plans d’action (par exemple pour la promotion et construction de branchements particuliers)</w:t>
      </w:r>
      <w:r>
        <w:rPr>
          <w:rFonts w:ascii="Arial" w:hAnsi="Arial" w:cs="Arial"/>
          <w:sz w:val="24"/>
          <w:szCs w:val="24"/>
        </w:rPr>
        <w:t xml:space="preserve"> ; et (iii) </w:t>
      </w:r>
      <w:r w:rsidRPr="000A3C40">
        <w:rPr>
          <w:rFonts w:ascii="Arial" w:hAnsi="Arial" w:cs="Arial"/>
          <w:sz w:val="24"/>
          <w:szCs w:val="24"/>
        </w:rPr>
        <w:t>Former des homologues : objectif majeur de l’équipe de management qui consistera à former des homologues afin que ces derniers puissent prendre le relai à la fin du contrat.</w:t>
      </w:r>
    </w:p>
    <w:p w:rsidR="00352F66" w:rsidRDefault="00352F66" w:rsidP="00E64C0B">
      <w:pPr>
        <w:rPr>
          <w:rFonts w:ascii="Arial" w:hAnsi="Arial" w:cs="Arial"/>
          <w:b/>
          <w:sz w:val="24"/>
          <w:szCs w:val="24"/>
          <w:u w:val="single"/>
        </w:rPr>
      </w:pPr>
    </w:p>
    <w:p w:rsidR="00E64C0B" w:rsidRPr="00465361" w:rsidRDefault="00E64C0B" w:rsidP="00E64C0B">
      <w:pPr>
        <w:rPr>
          <w:rFonts w:ascii="Arial" w:hAnsi="Arial" w:cs="Arial"/>
          <w:b/>
          <w:sz w:val="24"/>
          <w:szCs w:val="24"/>
          <w:u w:val="single"/>
        </w:rPr>
      </w:pPr>
      <w:r w:rsidRPr="00465361">
        <w:rPr>
          <w:rFonts w:ascii="Arial" w:hAnsi="Arial" w:cs="Arial"/>
          <w:b/>
          <w:sz w:val="24"/>
          <w:szCs w:val="24"/>
          <w:u w:val="single"/>
        </w:rPr>
        <w:lastRenderedPageBreak/>
        <w:t>Personnel pour missions d’appui</w:t>
      </w:r>
    </w:p>
    <w:p w:rsidR="00E64C0B" w:rsidRPr="00B1499B" w:rsidRDefault="00E64C0B" w:rsidP="00E64C0B">
      <w:pPr>
        <w:rPr>
          <w:rFonts w:ascii="Arial" w:hAnsi="Arial" w:cs="Arial"/>
          <w:sz w:val="24"/>
          <w:szCs w:val="24"/>
        </w:rPr>
      </w:pPr>
      <w:r w:rsidRPr="00B1499B">
        <w:rPr>
          <w:rFonts w:ascii="Arial" w:hAnsi="Arial" w:cs="Arial"/>
          <w:sz w:val="24"/>
          <w:szCs w:val="24"/>
        </w:rPr>
        <w:t>A côté des 4 cadres permanents, il est prévu l’intervention de spécialistes sous formes de missions d’appui. Ces missions sont destinées principalement à la réalisation des produits. Dans une moindre mesure elles peuvent répondre à des besoins ponctuels d’assistance au management sur des points très spécifiques.</w:t>
      </w:r>
    </w:p>
    <w:p w:rsidR="00E64C0B" w:rsidRPr="00B1499B" w:rsidRDefault="00E64C0B" w:rsidP="00E64C0B">
      <w:pPr>
        <w:rPr>
          <w:rFonts w:ascii="Arial" w:hAnsi="Arial" w:cs="Arial"/>
          <w:sz w:val="24"/>
          <w:szCs w:val="24"/>
        </w:rPr>
      </w:pPr>
      <w:r w:rsidRPr="00D551AF">
        <w:rPr>
          <w:rFonts w:ascii="Arial" w:hAnsi="Arial" w:cs="Arial"/>
          <w:sz w:val="24"/>
          <w:szCs w:val="24"/>
        </w:rPr>
        <w:t>Concernant les modalités de paiement</w:t>
      </w:r>
      <w:r w:rsidRPr="0028496E">
        <w:rPr>
          <w:rFonts w:ascii="Arial" w:hAnsi="Arial" w:cs="Arial"/>
          <w:sz w:val="24"/>
          <w:szCs w:val="24"/>
        </w:rPr>
        <w:t>, il</w:t>
      </w:r>
      <w:r w:rsidRPr="00D551AF">
        <w:rPr>
          <w:rFonts w:ascii="Arial" w:hAnsi="Arial" w:cs="Arial"/>
          <w:sz w:val="24"/>
          <w:szCs w:val="24"/>
        </w:rPr>
        <w:t xml:space="preserve"> est prévu que le</w:t>
      </w:r>
      <w:r w:rsidRPr="00B1499B">
        <w:rPr>
          <w:rFonts w:ascii="Arial" w:hAnsi="Arial" w:cs="Arial"/>
          <w:sz w:val="24"/>
          <w:szCs w:val="24"/>
        </w:rPr>
        <w:t xml:space="preserve"> paiement des prestations des cadres permanents</w:t>
      </w:r>
      <w:r>
        <w:rPr>
          <w:rFonts w:ascii="Arial" w:hAnsi="Arial" w:cs="Arial"/>
          <w:sz w:val="24"/>
          <w:szCs w:val="24"/>
        </w:rPr>
        <w:t xml:space="preserve"> soit lié</w:t>
      </w:r>
      <w:r w:rsidRPr="00B1499B">
        <w:rPr>
          <w:rFonts w:ascii="Arial" w:hAnsi="Arial" w:cs="Arial"/>
          <w:sz w:val="24"/>
          <w:szCs w:val="24"/>
        </w:rPr>
        <w:t xml:space="preserve"> à la fois</w:t>
      </w:r>
      <w:r>
        <w:rPr>
          <w:rFonts w:ascii="Arial" w:hAnsi="Arial" w:cs="Arial"/>
          <w:sz w:val="24"/>
          <w:szCs w:val="24"/>
        </w:rPr>
        <w:t xml:space="preserve"> à</w:t>
      </w:r>
      <w:r w:rsidRPr="008C5563">
        <w:rPr>
          <w:rFonts w:ascii="Arial" w:hAnsi="Arial" w:cs="Arial"/>
          <w:sz w:val="24"/>
          <w:szCs w:val="24"/>
        </w:rPr>
        <w:t xml:space="preserve"> la réalisation des produits pour lesquels des critères en termes de temps minimum à consacrer et de délais sont imposés</w:t>
      </w:r>
      <w:r>
        <w:rPr>
          <w:rFonts w:ascii="Arial" w:hAnsi="Arial" w:cs="Arial"/>
          <w:sz w:val="24"/>
          <w:szCs w:val="24"/>
        </w:rPr>
        <w:t xml:space="preserve"> et a</w:t>
      </w:r>
      <w:r w:rsidRPr="008C5563">
        <w:rPr>
          <w:rFonts w:ascii="Arial" w:hAnsi="Arial" w:cs="Arial"/>
          <w:sz w:val="24"/>
          <w:szCs w:val="24"/>
        </w:rPr>
        <w:t>ux prestations de management proprement dites (en fonction de temps de présence).</w:t>
      </w:r>
      <w:r>
        <w:rPr>
          <w:rFonts w:ascii="Arial" w:hAnsi="Arial" w:cs="Arial"/>
          <w:sz w:val="24"/>
          <w:szCs w:val="24"/>
        </w:rPr>
        <w:t xml:space="preserve"> Le fait de lier</w:t>
      </w:r>
      <w:r w:rsidRPr="00B1499B">
        <w:rPr>
          <w:rFonts w:ascii="Arial" w:hAnsi="Arial" w:cs="Arial"/>
          <w:sz w:val="24"/>
          <w:szCs w:val="24"/>
        </w:rPr>
        <w:t xml:space="preserve"> le paiement d’une partie des prestations des cadres permanents à la réalisation de produits</w:t>
      </w:r>
      <w:r>
        <w:rPr>
          <w:rFonts w:ascii="Arial" w:hAnsi="Arial" w:cs="Arial"/>
          <w:sz w:val="24"/>
          <w:szCs w:val="24"/>
        </w:rPr>
        <w:t xml:space="preserve"> permettra d’</w:t>
      </w:r>
      <w:r w:rsidRPr="00B1499B">
        <w:rPr>
          <w:rFonts w:ascii="Arial" w:hAnsi="Arial" w:cs="Arial"/>
          <w:sz w:val="24"/>
          <w:szCs w:val="24"/>
        </w:rPr>
        <w:t>introduit une forte incitation pour maitriser les délais et accélérer l’exécution des tâches.</w:t>
      </w:r>
    </w:p>
    <w:p w:rsidR="00E64C0B" w:rsidRDefault="00E64C0B" w:rsidP="00E64C0B">
      <w:pPr>
        <w:rPr>
          <w:rFonts w:ascii="Arial" w:hAnsi="Arial" w:cs="Arial"/>
          <w:sz w:val="24"/>
          <w:szCs w:val="24"/>
        </w:rPr>
      </w:pPr>
      <w:r w:rsidRPr="00B1499B">
        <w:rPr>
          <w:rFonts w:ascii="Arial" w:hAnsi="Arial" w:cs="Arial"/>
          <w:sz w:val="24"/>
          <w:szCs w:val="24"/>
        </w:rPr>
        <w:t>Pour le personnel en mission d’appui</w:t>
      </w:r>
      <w:r>
        <w:rPr>
          <w:rFonts w:ascii="Arial" w:hAnsi="Arial" w:cs="Arial"/>
          <w:sz w:val="24"/>
          <w:szCs w:val="24"/>
        </w:rPr>
        <w:t>,</w:t>
      </w:r>
      <w:r w:rsidRPr="00B1499B">
        <w:rPr>
          <w:rFonts w:ascii="Arial" w:hAnsi="Arial" w:cs="Arial"/>
          <w:sz w:val="24"/>
          <w:szCs w:val="24"/>
        </w:rPr>
        <w:t xml:space="preserve"> le paiement des prestations est lié à la réalisation des produits ou du moins à des pourcentages d’avancement en fonction d’étapes pré définies.</w:t>
      </w:r>
      <w:r>
        <w:rPr>
          <w:rFonts w:ascii="Arial" w:hAnsi="Arial" w:cs="Arial"/>
          <w:sz w:val="24"/>
          <w:szCs w:val="24"/>
        </w:rPr>
        <w:t xml:space="preserve"> La r♪0mun♪0ration du contrat de service basée sur la </w:t>
      </w:r>
      <w:r w:rsidRPr="00613DFB">
        <w:rPr>
          <w:rFonts w:ascii="Arial" w:hAnsi="Arial" w:cs="Arial"/>
          <w:sz w:val="24"/>
          <w:szCs w:val="24"/>
        </w:rPr>
        <w:t>performance po</w:t>
      </w:r>
      <w:r w:rsidRPr="00B1499B">
        <w:rPr>
          <w:rFonts w:ascii="Arial" w:hAnsi="Arial" w:cs="Arial"/>
          <w:sz w:val="24"/>
          <w:szCs w:val="24"/>
        </w:rPr>
        <w:t>urrait s’appuyer sur des indicateurs clés du plan d’affaires (volumes produits/vendus, facturation recouvrée, nombre de clients actifs…)</w:t>
      </w:r>
    </w:p>
    <w:p w:rsidR="00FC7D46" w:rsidRDefault="00FC7D46" w:rsidP="00FC7D46">
      <w:pPr>
        <w:rPr>
          <w:rFonts w:ascii="Arial" w:hAnsi="Arial" w:cs="Arial"/>
          <w:sz w:val="24"/>
          <w:szCs w:val="24"/>
        </w:rPr>
      </w:pPr>
      <w:r w:rsidRPr="00FC7D46">
        <w:rPr>
          <w:rFonts w:ascii="Arial" w:hAnsi="Arial" w:cs="Arial"/>
          <w:sz w:val="24"/>
          <w:szCs w:val="24"/>
        </w:rPr>
        <w:t xml:space="preserve">Afin d’analyser les enjeux du projet tant </w:t>
      </w:r>
      <w:r w:rsidR="00DB7A46" w:rsidRPr="00FC7D46">
        <w:rPr>
          <w:rFonts w:ascii="Arial" w:hAnsi="Arial" w:cs="Arial"/>
          <w:sz w:val="24"/>
          <w:szCs w:val="24"/>
        </w:rPr>
        <w:t>sur le</w:t>
      </w:r>
      <w:r w:rsidRPr="00FC7D46">
        <w:rPr>
          <w:rFonts w:ascii="Arial" w:hAnsi="Arial" w:cs="Arial"/>
          <w:sz w:val="24"/>
          <w:szCs w:val="24"/>
        </w:rPr>
        <w:t xml:space="preserve"> plan technique que financier et les impacts en termes de service, un plan d’affaires a été élaboré. Ce document est présenté dans les pages qui suivent.</w:t>
      </w:r>
    </w:p>
    <w:p w:rsidR="00BD402D" w:rsidRPr="00FC7D46" w:rsidRDefault="00BD402D" w:rsidP="00FC7D46">
      <w:pPr>
        <w:rPr>
          <w:rFonts w:ascii="Arial" w:hAnsi="Arial" w:cs="Arial"/>
          <w:sz w:val="24"/>
          <w:szCs w:val="24"/>
        </w:rPr>
      </w:pPr>
    </w:p>
    <w:p w:rsidR="00877A19" w:rsidRPr="000177A3" w:rsidRDefault="00877A19" w:rsidP="00BD7EF5">
      <w:pPr>
        <w:pStyle w:val="Heading1"/>
        <w:numPr>
          <w:ilvl w:val="0"/>
          <w:numId w:val="13"/>
        </w:numPr>
        <w:sectPr w:rsidR="00877A19" w:rsidRPr="000177A3">
          <w:pgSz w:w="11906" w:h="16838"/>
          <w:pgMar w:top="1417" w:right="1417" w:bottom="1417" w:left="1417" w:header="708" w:footer="708" w:gutter="0"/>
          <w:cols w:space="708"/>
          <w:docGrid w:linePitch="360"/>
        </w:sectPr>
      </w:pPr>
      <w:r w:rsidRPr="000177A3">
        <w:t>Plan d’affaires du CTE de Cap haitien</w:t>
      </w:r>
      <w:r w:rsidR="00C479AD">
        <w:t> : projections financieres</w:t>
      </w:r>
      <w:r w:rsidR="00CE3425">
        <w:rPr>
          <w:rStyle w:val="FootnoteReference"/>
        </w:rPr>
        <w:footnoteReference w:id="8"/>
      </w:r>
    </w:p>
    <w:p w:rsidR="004B610B" w:rsidRPr="00877A19" w:rsidRDefault="004B610B" w:rsidP="000A0A4D"/>
    <w:tbl>
      <w:tblPr>
        <w:tblW w:w="14320" w:type="dxa"/>
        <w:tblCellMar>
          <w:left w:w="70" w:type="dxa"/>
          <w:right w:w="70" w:type="dxa"/>
        </w:tblCellMar>
        <w:tblLook w:val="04A0" w:firstRow="1" w:lastRow="0" w:firstColumn="1" w:lastColumn="0" w:noHBand="0" w:noVBand="1"/>
      </w:tblPr>
      <w:tblGrid>
        <w:gridCol w:w="4160"/>
        <w:gridCol w:w="820"/>
        <w:gridCol w:w="1040"/>
        <w:gridCol w:w="880"/>
        <w:gridCol w:w="1000"/>
        <w:gridCol w:w="1000"/>
        <w:gridCol w:w="1000"/>
        <w:gridCol w:w="1000"/>
        <w:gridCol w:w="1140"/>
        <w:gridCol w:w="1140"/>
        <w:gridCol w:w="1140"/>
      </w:tblGrid>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877A19" w:rsidRDefault="00523C03" w:rsidP="00523C03">
            <w:pPr>
              <w:spacing w:after="0" w:line="240" w:lineRule="auto"/>
              <w:jc w:val="left"/>
              <w:rPr>
                <w:rFonts w:ascii="Times New Roman" w:eastAsia="Times New Roman" w:hAnsi="Times New Roman" w:cs="Times New Roman"/>
                <w:sz w:val="24"/>
                <w:szCs w:val="24"/>
                <w:lang w:eastAsia="fr-FR"/>
              </w:rPr>
            </w:pPr>
          </w:p>
        </w:tc>
        <w:tc>
          <w:tcPr>
            <w:tcW w:w="820" w:type="dxa"/>
            <w:tcBorders>
              <w:top w:val="nil"/>
              <w:left w:val="nil"/>
              <w:bottom w:val="nil"/>
              <w:right w:val="nil"/>
            </w:tcBorders>
            <w:shd w:val="clear" w:color="auto" w:fill="auto"/>
            <w:noWrap/>
            <w:vAlign w:val="bottom"/>
            <w:hideMark/>
          </w:tcPr>
          <w:p w:rsidR="00523C03" w:rsidRPr="00877A19" w:rsidRDefault="00523C03" w:rsidP="00523C03">
            <w:pPr>
              <w:spacing w:after="0" w:line="240" w:lineRule="auto"/>
              <w:jc w:val="left"/>
              <w:rPr>
                <w:rFonts w:ascii="Times New Roman" w:eastAsia="Times New Roman" w:hAnsi="Times New Roman" w:cs="Times New Roman"/>
                <w:sz w:val="20"/>
                <w:szCs w:val="20"/>
                <w:lang w:eastAsia="fr-FR"/>
              </w:rPr>
            </w:pPr>
          </w:p>
        </w:tc>
        <w:tc>
          <w:tcPr>
            <w:tcW w:w="1040" w:type="dxa"/>
            <w:tcBorders>
              <w:top w:val="nil"/>
              <w:left w:val="nil"/>
              <w:bottom w:val="nil"/>
              <w:right w:val="nil"/>
            </w:tcBorders>
            <w:shd w:val="clear" w:color="auto" w:fill="auto"/>
            <w:noWrap/>
            <w:vAlign w:val="bottom"/>
            <w:hideMark/>
          </w:tcPr>
          <w:p w:rsidR="00523C03" w:rsidRPr="00877A19"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877A19"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2019</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2020</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2021</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2022</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2023</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2024</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2025</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b/>
                <w:bCs/>
                <w:color w:val="000000"/>
                <w:lang w:eastAsia="fr-FR"/>
              </w:rPr>
            </w:pP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 xml:space="preserve">Population </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b/>
                <w:bCs/>
                <w:color w:val="000000"/>
                <w:lang w:eastAsia="fr-FR"/>
              </w:rPr>
            </w:pPr>
          </w:p>
        </w:tc>
        <w:tc>
          <w:tcPr>
            <w:tcW w:w="1040" w:type="dxa"/>
            <w:tcBorders>
              <w:top w:val="nil"/>
              <w:left w:val="nil"/>
              <w:bottom w:val="nil"/>
              <w:right w:val="nil"/>
            </w:tcBorders>
            <w:shd w:val="clear" w:color="000000" w:fill="FFFF00"/>
            <w:noWrap/>
            <w:vAlign w:val="bottom"/>
            <w:hideMark/>
          </w:tcPr>
          <w:p w:rsidR="00523C03" w:rsidRPr="00523C03" w:rsidRDefault="00523C03" w:rsidP="00523C03">
            <w:pPr>
              <w:spacing w:after="0" w:line="240" w:lineRule="auto"/>
              <w:jc w:val="lef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4,70%</w:t>
            </w: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color w:val="000000"/>
                <w:lang w:eastAsia="fr-FR"/>
              </w:rPr>
            </w:pPr>
            <w:r w:rsidRPr="00523C03">
              <w:rPr>
                <w:rFonts w:ascii="Calibri" w:eastAsia="Times New Roman" w:hAnsi="Calibri" w:cs="Calibri"/>
                <w:color w:val="000000"/>
                <w:lang w:eastAsia="fr-FR"/>
              </w:rPr>
              <w:t>Hab.</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FF0000"/>
                <w:lang w:eastAsia="fr-FR"/>
              </w:rPr>
            </w:pPr>
            <w:r w:rsidRPr="00523C03">
              <w:rPr>
                <w:rFonts w:ascii="Calibri" w:eastAsia="Times New Roman" w:hAnsi="Calibri" w:cs="Calibri"/>
                <w:b/>
                <w:bCs/>
                <w:color w:val="FF0000"/>
                <w:lang w:eastAsia="fr-FR"/>
              </w:rPr>
              <w:t>443 708</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464 562</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486 397</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509 258</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533 193</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558 253</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b/>
                <w:bCs/>
                <w:color w:val="FF0000"/>
                <w:lang w:eastAsia="fr-FR"/>
              </w:rPr>
            </w:pPr>
            <w:r w:rsidRPr="00523C03">
              <w:rPr>
                <w:rFonts w:ascii="Calibri" w:eastAsia="Times New Roman" w:hAnsi="Calibri" w:cs="Calibri"/>
                <w:b/>
                <w:bCs/>
                <w:color w:val="FF0000"/>
                <w:lang w:eastAsia="fr-FR"/>
              </w:rPr>
              <w:t>584 491</w:t>
            </w:r>
          </w:p>
        </w:tc>
      </w:tr>
      <w:tr w:rsidR="00523C03" w:rsidRPr="00523C03" w:rsidTr="00523C03">
        <w:trPr>
          <w:trHeight w:val="36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Population desservie</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b/>
                <w:bCs/>
                <w:color w:val="00000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color w:val="000000"/>
                <w:lang w:eastAsia="fr-FR"/>
              </w:rPr>
            </w:pPr>
            <w:r w:rsidRPr="00523C03">
              <w:rPr>
                <w:rFonts w:ascii="Calibri" w:eastAsia="Times New Roman" w:hAnsi="Calibri" w:cs="Calibri"/>
                <w:color w:val="000000"/>
                <w:lang w:eastAsia="fr-FR"/>
              </w:rPr>
              <w:t>Hab.</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37 188</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63 090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83 620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134 160</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181 770</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231 660</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287 779</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r w:rsidRPr="00523C03">
              <w:rPr>
                <w:rFonts w:ascii="Calibri" w:eastAsia="Times New Roman" w:hAnsi="Calibri" w:cs="Calibri"/>
                <w:color w:val="000000"/>
                <w:lang w:eastAsia="fr-FR"/>
              </w:rPr>
              <w:t>- par branchement particulier</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color w:val="000000"/>
                <w:lang w:eastAsia="fr-FR"/>
              </w:rPr>
            </w:pPr>
            <w:r w:rsidRPr="00523C03">
              <w:rPr>
                <w:rFonts w:ascii="Calibri" w:eastAsia="Times New Roman" w:hAnsi="Calibri" w:cs="Calibri"/>
                <w:color w:val="000000"/>
                <w:lang w:eastAsia="fr-FR"/>
              </w:rPr>
              <w:t>Hab.</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19 488</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36 540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48 720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85 260</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109 620</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146 160</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197 779</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r w:rsidRPr="00523C03">
              <w:rPr>
                <w:rFonts w:ascii="Calibri" w:eastAsia="Times New Roman" w:hAnsi="Calibri" w:cs="Calibri"/>
                <w:color w:val="000000"/>
                <w:lang w:eastAsia="fr-FR"/>
              </w:rPr>
              <w:t>- par système condominial</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color w:val="000000"/>
                <w:lang w:eastAsia="fr-FR"/>
              </w:rPr>
            </w:pPr>
            <w:r w:rsidRPr="00523C03">
              <w:rPr>
                <w:rFonts w:ascii="Calibri" w:eastAsia="Times New Roman" w:hAnsi="Calibri" w:cs="Calibri"/>
                <w:color w:val="000000"/>
                <w:lang w:eastAsia="fr-FR"/>
              </w:rPr>
              <w:t>Hab.</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5 400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13 500</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27 900</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32 400</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36 900</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r w:rsidRPr="00523C03">
              <w:rPr>
                <w:rFonts w:ascii="Calibri" w:eastAsia="Times New Roman" w:hAnsi="Calibri" w:cs="Calibri"/>
                <w:color w:val="000000"/>
                <w:lang w:eastAsia="fr-FR"/>
              </w:rPr>
              <w:t>- par kiosque</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color w:val="000000"/>
                <w:lang w:eastAsia="fr-FR"/>
              </w:rPr>
            </w:pPr>
            <w:r w:rsidRPr="00523C03">
              <w:rPr>
                <w:rFonts w:ascii="Calibri" w:eastAsia="Times New Roman" w:hAnsi="Calibri" w:cs="Calibri"/>
                <w:color w:val="000000"/>
                <w:lang w:eastAsia="fr-FR"/>
              </w:rPr>
              <w:t>Hab.</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17 700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26 550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29 500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35 400</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44 250</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53 100</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53 100</w:t>
            </w:r>
          </w:p>
        </w:tc>
      </w:tr>
      <w:tr w:rsidR="00523C03" w:rsidRPr="00523C03" w:rsidTr="00523C03">
        <w:trPr>
          <w:trHeight w:val="42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Taux de desserte</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b/>
                <w:bCs/>
                <w:color w:val="00000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FF0000"/>
                <w:lang w:eastAsia="fr-FR"/>
              </w:rPr>
            </w:pPr>
            <w:r w:rsidRPr="00523C03">
              <w:rPr>
                <w:rFonts w:ascii="Calibri" w:eastAsia="Times New Roman" w:hAnsi="Calibri" w:cs="Calibri"/>
                <w:b/>
                <w:bCs/>
                <w:color w:val="FF0000"/>
                <w:lang w:eastAsia="fr-FR"/>
              </w:rPr>
              <w:t>6%</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11%</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14%</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23%</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31%</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40%</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b/>
                <w:bCs/>
                <w:color w:val="FF0000"/>
                <w:lang w:eastAsia="fr-FR"/>
              </w:rPr>
            </w:pPr>
            <w:r w:rsidRPr="00523C03">
              <w:rPr>
                <w:rFonts w:ascii="Calibri" w:eastAsia="Times New Roman" w:hAnsi="Calibri" w:cs="Calibri"/>
                <w:b/>
                <w:bCs/>
                <w:color w:val="FF0000"/>
                <w:lang w:eastAsia="fr-FR"/>
              </w:rPr>
              <w:t>49%</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r w:rsidRPr="00523C03">
              <w:rPr>
                <w:rFonts w:ascii="Calibri" w:eastAsia="Times New Roman" w:hAnsi="Calibri" w:cs="Calibri"/>
                <w:color w:val="000000"/>
                <w:lang w:eastAsia="fr-FR"/>
              </w:rPr>
              <w:t>- par branchement particulier</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3,3%</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6,3%</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8,3%</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14,6%</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18,8%</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25,0%</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33,8%</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r w:rsidRPr="00523C03">
              <w:rPr>
                <w:rFonts w:ascii="Calibri" w:eastAsia="Times New Roman" w:hAnsi="Calibri" w:cs="Calibri"/>
                <w:color w:val="000000"/>
                <w:lang w:eastAsia="fr-FR"/>
              </w:rPr>
              <w:t>- par système condominial</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0,0%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0,0%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0,9%</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2,3%</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4,8%</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5,5%</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6,3%</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r w:rsidRPr="00523C03">
              <w:rPr>
                <w:rFonts w:ascii="Calibri" w:eastAsia="Times New Roman" w:hAnsi="Calibri" w:cs="Calibri"/>
                <w:color w:val="000000"/>
                <w:lang w:eastAsia="fr-FR"/>
              </w:rPr>
              <w:t>- par kiosque</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3,0%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4,5%</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5,0%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6,1%</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7,6%</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9,1%</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9,1%</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r w:rsidRPr="00523C03">
              <w:rPr>
                <w:rFonts w:ascii="Calibri" w:eastAsia="Times New Roman" w:hAnsi="Calibri" w:cs="Calibri"/>
                <w:color w:val="000000"/>
                <w:lang w:eastAsia="fr-FR"/>
              </w:rPr>
              <w:t> </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Modes de desserte</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b/>
                <w:bCs/>
                <w:color w:val="00000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r w:rsidRPr="00523C03">
              <w:rPr>
                <w:rFonts w:ascii="Calibri" w:eastAsia="Times New Roman" w:hAnsi="Calibri" w:cs="Calibri"/>
                <w:color w:val="000000"/>
                <w:lang w:eastAsia="fr-FR"/>
              </w:rPr>
              <w:t xml:space="preserve">- nombre </w:t>
            </w:r>
            <w:r w:rsidR="00DB7A46" w:rsidRPr="00523C03">
              <w:rPr>
                <w:rFonts w:ascii="Calibri" w:eastAsia="Times New Roman" w:hAnsi="Calibri" w:cs="Calibri"/>
                <w:color w:val="000000"/>
                <w:lang w:eastAsia="fr-FR"/>
              </w:rPr>
              <w:t>de branchements</w:t>
            </w:r>
            <w:r w:rsidRPr="00523C03">
              <w:rPr>
                <w:rFonts w:ascii="Calibri" w:eastAsia="Times New Roman" w:hAnsi="Calibri" w:cs="Calibri"/>
                <w:color w:val="000000"/>
                <w:lang w:eastAsia="fr-FR"/>
              </w:rPr>
              <w:t xml:space="preserve"> particuliers</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5,8</w:t>
            </w: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2,1</w:t>
            </w: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color w:val="000000"/>
                <w:lang w:eastAsia="fr-FR"/>
              </w:rPr>
            </w:pPr>
            <w:r w:rsidRPr="00523C03">
              <w:rPr>
                <w:rFonts w:ascii="Calibri" w:eastAsia="Times New Roman" w:hAnsi="Calibri" w:cs="Calibri"/>
                <w:color w:val="000000"/>
                <w:lang w:eastAsia="fr-FR"/>
              </w:rPr>
              <w:t>U</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1 600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3 000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4 000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7 000</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9 000</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12 000</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color w:val="FF0000"/>
                <w:lang w:eastAsia="fr-FR"/>
              </w:rPr>
            </w:pPr>
            <w:r w:rsidRPr="00523C03">
              <w:rPr>
                <w:rFonts w:ascii="Calibri" w:eastAsia="Times New Roman" w:hAnsi="Calibri" w:cs="Calibri"/>
                <w:color w:val="FF0000"/>
                <w:lang w:eastAsia="fr-FR"/>
              </w:rPr>
              <w:t>16 238</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r w:rsidRPr="00523C03">
              <w:rPr>
                <w:rFonts w:ascii="Calibri" w:eastAsia="Times New Roman" w:hAnsi="Calibri" w:cs="Calibri"/>
                <w:color w:val="000000"/>
                <w:lang w:eastAsia="fr-FR"/>
              </w:rPr>
              <w:t>- nombre de systèmes condominiaux</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6</w:t>
            </w: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30</w:t>
            </w: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color w:val="000000"/>
                <w:lang w:eastAsia="fr-FR"/>
              </w:rPr>
            </w:pPr>
            <w:r w:rsidRPr="00523C03">
              <w:rPr>
                <w:rFonts w:ascii="Calibri" w:eastAsia="Times New Roman" w:hAnsi="Calibri" w:cs="Calibri"/>
                <w:color w:val="000000"/>
                <w:lang w:eastAsia="fr-FR"/>
              </w:rPr>
              <w:t>U</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color w:val="00000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30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75</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155</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180</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color w:val="FF0000"/>
                <w:lang w:eastAsia="fr-FR"/>
              </w:rPr>
            </w:pPr>
            <w:r w:rsidRPr="00523C03">
              <w:rPr>
                <w:rFonts w:ascii="Calibri" w:eastAsia="Times New Roman" w:hAnsi="Calibri" w:cs="Calibri"/>
                <w:color w:val="FF0000"/>
                <w:lang w:eastAsia="fr-FR"/>
              </w:rPr>
              <w:t>205</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r w:rsidRPr="00523C03">
              <w:rPr>
                <w:rFonts w:ascii="Calibri" w:eastAsia="Times New Roman" w:hAnsi="Calibri" w:cs="Calibri"/>
                <w:color w:val="000000"/>
                <w:lang w:eastAsia="fr-FR"/>
              </w:rPr>
              <w:t>- nombre de kiosques</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5,9</w:t>
            </w: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100</w:t>
            </w: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color w:val="000000"/>
                <w:lang w:eastAsia="fr-FR"/>
              </w:rPr>
            </w:pPr>
            <w:r w:rsidRPr="00523C03">
              <w:rPr>
                <w:rFonts w:ascii="Calibri" w:eastAsia="Times New Roman" w:hAnsi="Calibri" w:cs="Calibri"/>
                <w:color w:val="000000"/>
                <w:lang w:eastAsia="fr-FR"/>
              </w:rPr>
              <w:t>U</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30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45</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50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60</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75</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90</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color w:val="FF0000"/>
                <w:lang w:eastAsia="fr-FR"/>
              </w:rPr>
            </w:pPr>
            <w:r w:rsidRPr="00523C03">
              <w:rPr>
                <w:rFonts w:ascii="Calibri" w:eastAsia="Times New Roman" w:hAnsi="Calibri" w:cs="Calibri"/>
                <w:color w:val="FF0000"/>
                <w:lang w:eastAsia="fr-FR"/>
              </w:rPr>
              <w:t>90</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FF0000"/>
                <w:lang w:eastAsia="fr-FR"/>
              </w:rPr>
            </w:pP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Production</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b/>
                <w:bCs/>
                <w:color w:val="00000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r w:rsidRPr="00523C03">
              <w:rPr>
                <w:rFonts w:ascii="Calibri" w:eastAsia="Times New Roman" w:hAnsi="Calibri" w:cs="Calibri"/>
                <w:color w:val="000000"/>
                <w:lang w:eastAsia="fr-FR"/>
              </w:rPr>
              <w:t> </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r w:rsidRPr="00523C03">
              <w:rPr>
                <w:rFonts w:ascii="Calibri" w:eastAsia="Times New Roman" w:hAnsi="Calibri" w:cs="Calibri"/>
                <w:color w:val="000000"/>
                <w:lang w:eastAsia="fr-FR"/>
              </w:rPr>
              <w:t>Volume produit</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color w:val="000000"/>
                <w:lang w:eastAsia="fr-FR"/>
              </w:rPr>
            </w:pPr>
            <w:r w:rsidRPr="00523C03">
              <w:rPr>
                <w:rFonts w:ascii="Calibri" w:eastAsia="Times New Roman" w:hAnsi="Calibri" w:cs="Calibri"/>
                <w:color w:val="000000"/>
                <w:lang w:eastAsia="fr-FR"/>
              </w:rPr>
              <w:t>m3/jour</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1 946</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3 480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4 834</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8 304</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11 318</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14 633</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18 878</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r w:rsidRPr="00523C03">
              <w:rPr>
                <w:rFonts w:ascii="Calibri" w:eastAsia="Times New Roman" w:hAnsi="Calibri" w:cs="Calibri"/>
                <w:color w:val="000000"/>
                <w:lang w:eastAsia="fr-FR"/>
              </w:rPr>
              <w:t>Rendement technique</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90%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90%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90%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90%</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90%</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90%</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90%</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Volume distribué</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b/>
                <w:bCs/>
                <w:color w:val="00000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color w:val="000000"/>
                <w:lang w:eastAsia="fr-FR"/>
              </w:rPr>
            </w:pPr>
            <w:r w:rsidRPr="00523C03">
              <w:rPr>
                <w:rFonts w:ascii="Calibri" w:eastAsia="Times New Roman" w:hAnsi="Calibri" w:cs="Calibri"/>
                <w:color w:val="000000"/>
                <w:lang w:eastAsia="fr-FR"/>
              </w:rPr>
              <w:t>m3/jour</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1 752</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3 132</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4 351</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7 473</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10 186</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13 169</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b/>
                <w:bCs/>
                <w:color w:val="000000"/>
                <w:lang w:eastAsia="fr-FR"/>
              </w:rPr>
            </w:pPr>
            <w:r w:rsidRPr="00523C03">
              <w:rPr>
                <w:rFonts w:ascii="Calibri" w:eastAsia="Times New Roman" w:hAnsi="Calibri" w:cs="Calibri"/>
                <w:b/>
                <w:bCs/>
                <w:color w:val="000000"/>
                <w:lang w:eastAsia="fr-FR"/>
              </w:rPr>
              <w:t>16 990</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r w:rsidRPr="00523C03">
              <w:rPr>
                <w:rFonts w:ascii="Calibri" w:eastAsia="Times New Roman" w:hAnsi="Calibri" w:cs="Calibri"/>
                <w:color w:val="000000"/>
                <w:lang w:eastAsia="fr-FR"/>
              </w:rPr>
              <w:t>Usages domestiques (A)</w:t>
            </w:r>
          </w:p>
        </w:tc>
        <w:tc>
          <w:tcPr>
            <w:tcW w:w="82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p>
        </w:tc>
        <w:tc>
          <w:tcPr>
            <w:tcW w:w="10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color w:val="000000"/>
                <w:lang w:eastAsia="fr-FR"/>
              </w:rPr>
            </w:pPr>
            <w:r w:rsidRPr="00523C03">
              <w:rPr>
                <w:rFonts w:ascii="Calibri" w:eastAsia="Times New Roman" w:hAnsi="Calibri" w:cs="Calibri"/>
                <w:color w:val="000000"/>
                <w:lang w:eastAsia="fr-FR"/>
              </w:rPr>
              <w:t>m3/jour</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1 523</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2 723</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3 783</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6 499</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8 857</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11 452</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14 774</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 par branchement particulier</w:t>
            </w:r>
          </w:p>
        </w:tc>
        <w:tc>
          <w:tcPr>
            <w:tcW w:w="820" w:type="dxa"/>
            <w:tcBorders>
              <w:top w:val="single" w:sz="4" w:space="0" w:color="auto"/>
              <w:left w:val="single" w:sz="4" w:space="0" w:color="auto"/>
              <w:bottom w:val="nil"/>
              <w:right w:val="nil"/>
            </w:tcBorders>
            <w:shd w:val="clear" w:color="000000" w:fill="FFFF00"/>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60</w:t>
            </w:r>
          </w:p>
        </w:tc>
        <w:tc>
          <w:tcPr>
            <w:tcW w:w="1040" w:type="dxa"/>
            <w:tcBorders>
              <w:top w:val="single" w:sz="4" w:space="0" w:color="auto"/>
              <w:left w:val="nil"/>
              <w:bottom w:val="nil"/>
              <w:right w:val="single" w:sz="4" w:space="0" w:color="auto"/>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l/j/h</w:t>
            </w: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color w:val="000000"/>
                <w:lang w:eastAsia="fr-FR"/>
              </w:rPr>
            </w:pPr>
            <w:r w:rsidRPr="00523C03">
              <w:rPr>
                <w:rFonts w:ascii="Calibri" w:eastAsia="Times New Roman" w:hAnsi="Calibri" w:cs="Calibri"/>
                <w:color w:val="000000"/>
                <w:lang w:eastAsia="fr-FR"/>
              </w:rPr>
              <w:t>m3/jour</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1 169</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2 192</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2 923</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5 116</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6 577</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8 770</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11 867</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 par système condominial</w:t>
            </w:r>
          </w:p>
        </w:tc>
        <w:tc>
          <w:tcPr>
            <w:tcW w:w="820" w:type="dxa"/>
            <w:tcBorders>
              <w:top w:val="nil"/>
              <w:left w:val="single" w:sz="4" w:space="0" w:color="auto"/>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50</w:t>
            </w:r>
          </w:p>
        </w:tc>
        <w:tc>
          <w:tcPr>
            <w:tcW w:w="1040" w:type="dxa"/>
            <w:tcBorders>
              <w:top w:val="nil"/>
              <w:left w:val="nil"/>
              <w:bottom w:val="nil"/>
              <w:right w:val="single" w:sz="4" w:space="0" w:color="auto"/>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l/j/h</w:t>
            </w: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color w:val="000000"/>
                <w:lang w:eastAsia="fr-FR"/>
              </w:rPr>
            </w:pPr>
            <w:r w:rsidRPr="00523C03">
              <w:rPr>
                <w:rFonts w:ascii="Calibri" w:eastAsia="Times New Roman" w:hAnsi="Calibri" w:cs="Calibri"/>
                <w:color w:val="000000"/>
                <w:lang w:eastAsia="fr-FR"/>
              </w:rPr>
              <w:t>m3/jour</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270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675</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1 395</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1 620</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1 845</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 par kiosque</w:t>
            </w:r>
          </w:p>
        </w:tc>
        <w:tc>
          <w:tcPr>
            <w:tcW w:w="820" w:type="dxa"/>
            <w:tcBorders>
              <w:top w:val="nil"/>
              <w:left w:val="single" w:sz="4" w:space="0" w:color="auto"/>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20</w:t>
            </w:r>
          </w:p>
        </w:tc>
        <w:tc>
          <w:tcPr>
            <w:tcW w:w="1040" w:type="dxa"/>
            <w:tcBorders>
              <w:top w:val="nil"/>
              <w:left w:val="nil"/>
              <w:bottom w:val="nil"/>
              <w:right w:val="single" w:sz="4" w:space="0" w:color="auto"/>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l/j/h</w:t>
            </w: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color w:val="000000"/>
                <w:lang w:eastAsia="fr-FR"/>
              </w:rPr>
            </w:pPr>
            <w:r w:rsidRPr="00523C03">
              <w:rPr>
                <w:rFonts w:ascii="Calibri" w:eastAsia="Times New Roman" w:hAnsi="Calibri" w:cs="Calibri"/>
                <w:color w:val="000000"/>
                <w:lang w:eastAsia="fr-FR"/>
              </w:rPr>
              <w:t>m3/jour</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354</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531</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590</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708</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885</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1 062</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i/>
                <w:iCs/>
                <w:color w:val="000000"/>
                <w:lang w:eastAsia="fr-FR"/>
              </w:rPr>
            </w:pPr>
            <w:r w:rsidRPr="00523C03">
              <w:rPr>
                <w:rFonts w:ascii="Calibri" w:eastAsia="Times New Roman" w:hAnsi="Calibri" w:cs="Calibri"/>
                <w:i/>
                <w:iCs/>
                <w:color w:val="000000"/>
                <w:lang w:eastAsia="fr-FR"/>
              </w:rPr>
              <w:t>1 062</w:t>
            </w:r>
          </w:p>
        </w:tc>
      </w:tr>
      <w:tr w:rsidR="00523C03" w:rsidRPr="00523C03" w:rsidTr="00523C03">
        <w:trPr>
          <w:trHeight w:val="300"/>
        </w:trPr>
        <w:tc>
          <w:tcPr>
            <w:tcW w:w="416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r w:rsidRPr="00523C03">
              <w:rPr>
                <w:rFonts w:ascii="Calibri" w:eastAsia="Times New Roman" w:hAnsi="Calibri" w:cs="Calibri"/>
                <w:color w:val="000000"/>
                <w:lang w:eastAsia="fr-FR"/>
              </w:rPr>
              <w:t>Autres usages (adm., industrie, etc.)</w:t>
            </w:r>
          </w:p>
        </w:tc>
        <w:tc>
          <w:tcPr>
            <w:tcW w:w="820" w:type="dxa"/>
            <w:tcBorders>
              <w:top w:val="nil"/>
              <w:left w:val="single" w:sz="4" w:space="0" w:color="auto"/>
              <w:bottom w:val="single" w:sz="4" w:space="0" w:color="auto"/>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15%</w:t>
            </w:r>
          </w:p>
        </w:tc>
        <w:tc>
          <w:tcPr>
            <w:tcW w:w="1040" w:type="dxa"/>
            <w:tcBorders>
              <w:top w:val="nil"/>
              <w:left w:val="nil"/>
              <w:bottom w:val="single" w:sz="4" w:space="0" w:color="auto"/>
              <w:right w:val="single" w:sz="4" w:space="0" w:color="auto"/>
            </w:tcBorders>
            <w:shd w:val="clear" w:color="auto" w:fill="auto"/>
            <w:noWrap/>
            <w:vAlign w:val="bottom"/>
            <w:hideMark/>
          </w:tcPr>
          <w:p w:rsidR="00523C03" w:rsidRPr="00523C03" w:rsidRDefault="00523C03" w:rsidP="00523C03">
            <w:pPr>
              <w:spacing w:after="0" w:line="240" w:lineRule="auto"/>
              <w:jc w:val="left"/>
              <w:rPr>
                <w:rFonts w:ascii="Calibri" w:eastAsia="Times New Roman" w:hAnsi="Calibri" w:cs="Calibri"/>
                <w:color w:val="000000"/>
                <w:lang w:eastAsia="fr-FR"/>
              </w:rPr>
            </w:pPr>
            <w:r w:rsidRPr="00523C03">
              <w:rPr>
                <w:rFonts w:ascii="Calibri" w:eastAsia="Times New Roman" w:hAnsi="Calibri" w:cs="Calibri"/>
                <w:color w:val="000000"/>
                <w:lang w:eastAsia="fr-FR"/>
              </w:rPr>
              <w:t>A</w:t>
            </w:r>
          </w:p>
        </w:tc>
        <w:tc>
          <w:tcPr>
            <w:tcW w:w="88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center"/>
              <w:rPr>
                <w:rFonts w:ascii="Calibri" w:eastAsia="Times New Roman" w:hAnsi="Calibri" w:cs="Calibri"/>
                <w:color w:val="000000"/>
                <w:lang w:eastAsia="fr-FR"/>
              </w:rPr>
            </w:pPr>
            <w:r w:rsidRPr="00523C03">
              <w:rPr>
                <w:rFonts w:ascii="Calibri" w:eastAsia="Times New Roman" w:hAnsi="Calibri" w:cs="Calibri"/>
                <w:color w:val="000000"/>
                <w:lang w:eastAsia="fr-FR"/>
              </w:rPr>
              <w:t>m3/jour</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228</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409</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567</w:t>
            </w:r>
          </w:p>
        </w:tc>
        <w:tc>
          <w:tcPr>
            <w:tcW w:w="100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975</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1 329</w:t>
            </w:r>
          </w:p>
        </w:tc>
        <w:tc>
          <w:tcPr>
            <w:tcW w:w="1140" w:type="dxa"/>
            <w:tcBorders>
              <w:top w:val="nil"/>
              <w:left w:val="nil"/>
              <w:bottom w:val="nil"/>
              <w:right w:val="nil"/>
            </w:tcBorders>
            <w:shd w:val="clear" w:color="auto" w:fill="auto"/>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1 718</w:t>
            </w:r>
          </w:p>
        </w:tc>
        <w:tc>
          <w:tcPr>
            <w:tcW w:w="1140" w:type="dxa"/>
            <w:tcBorders>
              <w:top w:val="nil"/>
              <w:left w:val="nil"/>
              <w:bottom w:val="nil"/>
              <w:right w:val="nil"/>
            </w:tcBorders>
            <w:shd w:val="clear" w:color="000000" w:fill="DDEBF7"/>
            <w:noWrap/>
            <w:vAlign w:val="bottom"/>
            <w:hideMark/>
          </w:tcPr>
          <w:p w:rsidR="00523C03" w:rsidRPr="00523C03" w:rsidRDefault="00523C03" w:rsidP="00523C03">
            <w:pPr>
              <w:spacing w:after="0" w:line="240" w:lineRule="auto"/>
              <w:jc w:val="right"/>
              <w:rPr>
                <w:rFonts w:ascii="Calibri" w:eastAsia="Times New Roman" w:hAnsi="Calibri" w:cs="Calibri"/>
                <w:color w:val="000000"/>
                <w:lang w:eastAsia="fr-FR"/>
              </w:rPr>
            </w:pPr>
            <w:r w:rsidRPr="00523C03">
              <w:rPr>
                <w:rFonts w:ascii="Calibri" w:eastAsia="Times New Roman" w:hAnsi="Calibri" w:cs="Calibri"/>
                <w:color w:val="000000"/>
                <w:lang w:eastAsia="fr-FR"/>
              </w:rPr>
              <w:t>2 216</w:t>
            </w:r>
          </w:p>
        </w:tc>
      </w:tr>
    </w:tbl>
    <w:p w:rsidR="005D7422" w:rsidRDefault="005D7422" w:rsidP="000A0A4D"/>
    <w:p w:rsidR="004B610B" w:rsidRDefault="004B610B" w:rsidP="000A0A4D"/>
    <w:tbl>
      <w:tblPr>
        <w:tblW w:w="14320" w:type="dxa"/>
        <w:tblCellMar>
          <w:left w:w="70" w:type="dxa"/>
          <w:right w:w="70" w:type="dxa"/>
        </w:tblCellMar>
        <w:tblLook w:val="04A0" w:firstRow="1" w:lastRow="0" w:firstColumn="1" w:lastColumn="0" w:noHBand="0" w:noVBand="1"/>
      </w:tblPr>
      <w:tblGrid>
        <w:gridCol w:w="4160"/>
        <w:gridCol w:w="820"/>
        <w:gridCol w:w="1040"/>
        <w:gridCol w:w="912"/>
        <w:gridCol w:w="1000"/>
        <w:gridCol w:w="1000"/>
        <w:gridCol w:w="881"/>
        <w:gridCol w:w="119"/>
        <w:gridCol w:w="1000"/>
        <w:gridCol w:w="1140"/>
        <w:gridCol w:w="1140"/>
        <w:gridCol w:w="1140"/>
      </w:tblGrid>
      <w:tr w:rsidR="00BA4A9A" w:rsidRPr="00BD259B" w:rsidTr="00BA4A9A">
        <w:trPr>
          <w:trHeight w:val="375"/>
        </w:trPr>
        <w:tc>
          <w:tcPr>
            <w:tcW w:w="4160" w:type="dxa"/>
            <w:tcBorders>
              <w:top w:val="nil"/>
              <w:left w:val="nil"/>
              <w:bottom w:val="nil"/>
              <w:right w:val="nil"/>
            </w:tcBorders>
            <w:shd w:val="clear" w:color="auto" w:fill="auto"/>
            <w:noWrap/>
            <w:vAlign w:val="bottom"/>
          </w:tcPr>
          <w:p w:rsidR="00BA4A9A" w:rsidRPr="00BD259B" w:rsidRDefault="00BA4A9A" w:rsidP="00BD259B">
            <w:pPr>
              <w:spacing w:after="0" w:line="240" w:lineRule="auto"/>
              <w:jc w:val="left"/>
              <w:rPr>
                <w:rFonts w:ascii="Calibri" w:eastAsia="Times New Roman" w:hAnsi="Calibri" w:cs="Calibri"/>
                <w:b/>
                <w:bCs/>
                <w:color w:val="000000"/>
                <w:sz w:val="28"/>
                <w:szCs w:val="28"/>
                <w:lang w:eastAsia="fr-FR"/>
              </w:rPr>
            </w:pPr>
          </w:p>
        </w:tc>
        <w:tc>
          <w:tcPr>
            <w:tcW w:w="820" w:type="dxa"/>
            <w:tcBorders>
              <w:top w:val="nil"/>
              <w:left w:val="nil"/>
              <w:bottom w:val="nil"/>
              <w:right w:val="nil"/>
            </w:tcBorders>
            <w:shd w:val="clear" w:color="auto" w:fill="auto"/>
            <w:noWrap/>
            <w:vAlign w:val="bottom"/>
          </w:tcPr>
          <w:p w:rsidR="00BA4A9A" w:rsidRPr="00BD259B" w:rsidRDefault="00BA4A9A" w:rsidP="00BD259B">
            <w:pPr>
              <w:spacing w:after="0" w:line="240" w:lineRule="auto"/>
              <w:jc w:val="left"/>
              <w:rPr>
                <w:rFonts w:ascii="Calibri" w:eastAsia="Times New Roman" w:hAnsi="Calibri" w:cs="Calibri"/>
                <w:b/>
                <w:bCs/>
                <w:color w:val="000000"/>
                <w:sz w:val="28"/>
                <w:szCs w:val="28"/>
                <w:lang w:eastAsia="fr-FR"/>
              </w:rPr>
            </w:pPr>
          </w:p>
        </w:tc>
        <w:tc>
          <w:tcPr>
            <w:tcW w:w="1040" w:type="dxa"/>
            <w:tcBorders>
              <w:top w:val="nil"/>
              <w:left w:val="nil"/>
              <w:bottom w:val="nil"/>
              <w:right w:val="nil"/>
            </w:tcBorders>
            <w:shd w:val="clear" w:color="auto" w:fill="auto"/>
            <w:noWrap/>
            <w:vAlign w:val="bottom"/>
          </w:tcPr>
          <w:p w:rsidR="00BA4A9A" w:rsidRPr="00BD259B" w:rsidRDefault="00BA4A9A" w:rsidP="00BD259B">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single" w:sz="4" w:space="0" w:color="auto"/>
            </w:tcBorders>
            <w:shd w:val="clear" w:color="auto" w:fill="auto"/>
            <w:noWrap/>
            <w:vAlign w:val="bottom"/>
          </w:tcPr>
          <w:p w:rsidR="00BA4A9A" w:rsidRPr="00BD259B" w:rsidRDefault="00BA4A9A" w:rsidP="00BD259B">
            <w:pPr>
              <w:spacing w:after="0" w:line="240" w:lineRule="auto"/>
              <w:jc w:val="center"/>
              <w:rPr>
                <w:rFonts w:ascii="Calibri" w:eastAsia="Times New Roman" w:hAnsi="Calibri" w:cs="Calibri"/>
                <w:color w:val="000000"/>
                <w:lang w:eastAsia="fr-FR"/>
              </w:rPr>
            </w:pP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4A9A" w:rsidRPr="00BD259B" w:rsidRDefault="00BA4A9A" w:rsidP="00BD259B">
            <w:pPr>
              <w:spacing w:after="0" w:line="240" w:lineRule="auto"/>
              <w:jc w:val="right"/>
              <w:rPr>
                <w:rFonts w:ascii="Calibri" w:eastAsia="Times New Roman" w:hAnsi="Calibri" w:cs="Calibri"/>
                <w:b/>
                <w:bCs/>
                <w:color w:val="000000"/>
                <w:lang w:eastAsia="fr-FR"/>
              </w:rPr>
            </w:pPr>
            <w:r>
              <w:rPr>
                <w:rFonts w:ascii="Calibri" w:eastAsia="Times New Roman" w:hAnsi="Calibri" w:cs="Calibri"/>
                <w:b/>
                <w:bCs/>
                <w:color w:val="000000"/>
                <w:lang w:eastAsia="fr-FR"/>
              </w:rPr>
              <w:t>2019</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4A9A" w:rsidRPr="00BD259B" w:rsidRDefault="00BA4A9A" w:rsidP="00BD259B">
            <w:pPr>
              <w:spacing w:after="0" w:line="240" w:lineRule="auto"/>
              <w:jc w:val="right"/>
              <w:rPr>
                <w:rFonts w:ascii="Calibri" w:eastAsia="Times New Roman" w:hAnsi="Calibri" w:cs="Calibri"/>
                <w:b/>
                <w:bCs/>
                <w:color w:val="000000"/>
                <w:lang w:eastAsia="fr-FR"/>
              </w:rPr>
            </w:pPr>
            <w:r>
              <w:rPr>
                <w:rFonts w:ascii="Calibri" w:eastAsia="Times New Roman" w:hAnsi="Calibri" w:cs="Calibri"/>
                <w:b/>
                <w:bCs/>
                <w:color w:val="000000"/>
                <w:lang w:eastAsia="fr-FR"/>
              </w:rPr>
              <w:t>2020</w:t>
            </w:r>
          </w:p>
        </w:tc>
        <w:tc>
          <w:tcPr>
            <w:tcW w:w="88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4A9A" w:rsidRPr="00BD259B" w:rsidRDefault="00BA4A9A" w:rsidP="00BD259B">
            <w:pPr>
              <w:spacing w:after="0" w:line="240" w:lineRule="auto"/>
              <w:jc w:val="right"/>
              <w:rPr>
                <w:rFonts w:ascii="Calibri" w:eastAsia="Times New Roman" w:hAnsi="Calibri" w:cs="Calibri"/>
                <w:b/>
                <w:bCs/>
                <w:color w:val="000000"/>
                <w:lang w:eastAsia="fr-FR"/>
              </w:rPr>
            </w:pPr>
            <w:r>
              <w:rPr>
                <w:rFonts w:ascii="Calibri" w:eastAsia="Times New Roman" w:hAnsi="Calibri" w:cs="Calibri"/>
                <w:b/>
                <w:bCs/>
                <w:color w:val="000000"/>
                <w:lang w:eastAsia="fr-FR"/>
              </w:rPr>
              <w:t>2021</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A9A" w:rsidRPr="00BD259B" w:rsidRDefault="00BA4A9A" w:rsidP="00BD259B">
            <w:pPr>
              <w:spacing w:after="0" w:line="240" w:lineRule="auto"/>
              <w:jc w:val="right"/>
              <w:rPr>
                <w:rFonts w:ascii="Calibri" w:eastAsia="Times New Roman" w:hAnsi="Calibri" w:cs="Calibri"/>
                <w:b/>
                <w:bCs/>
                <w:color w:val="000000"/>
                <w:lang w:eastAsia="fr-FR"/>
              </w:rPr>
            </w:pPr>
            <w:r>
              <w:rPr>
                <w:rFonts w:ascii="Calibri" w:eastAsia="Times New Roman" w:hAnsi="Calibri" w:cs="Calibri"/>
                <w:b/>
                <w:bCs/>
                <w:color w:val="000000"/>
                <w:lang w:eastAsia="fr-FR"/>
              </w:rPr>
              <w:t>2022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4A9A" w:rsidRPr="00BD259B" w:rsidRDefault="00BA4A9A" w:rsidP="00BD259B">
            <w:pPr>
              <w:spacing w:after="0" w:line="240" w:lineRule="auto"/>
              <w:jc w:val="right"/>
              <w:rPr>
                <w:rFonts w:ascii="Calibri" w:eastAsia="Times New Roman" w:hAnsi="Calibri" w:cs="Calibri"/>
                <w:b/>
                <w:bCs/>
                <w:color w:val="000000"/>
                <w:lang w:eastAsia="fr-FR"/>
              </w:rPr>
            </w:pPr>
            <w:r>
              <w:rPr>
                <w:rFonts w:ascii="Calibri" w:eastAsia="Times New Roman" w:hAnsi="Calibri" w:cs="Calibri"/>
                <w:b/>
                <w:bCs/>
                <w:color w:val="000000"/>
                <w:lang w:eastAsia="fr-FR"/>
              </w:rPr>
              <w:t>2023</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4A9A" w:rsidRPr="00BD259B" w:rsidRDefault="00BA4A9A" w:rsidP="00BD259B">
            <w:pPr>
              <w:spacing w:after="0" w:line="240" w:lineRule="auto"/>
              <w:jc w:val="right"/>
              <w:rPr>
                <w:rFonts w:ascii="Calibri" w:eastAsia="Times New Roman" w:hAnsi="Calibri" w:cs="Calibri"/>
                <w:b/>
                <w:bCs/>
                <w:color w:val="000000"/>
                <w:lang w:eastAsia="fr-FR"/>
              </w:rPr>
            </w:pPr>
            <w:r>
              <w:rPr>
                <w:rFonts w:ascii="Calibri" w:eastAsia="Times New Roman" w:hAnsi="Calibri" w:cs="Calibri"/>
                <w:b/>
                <w:bCs/>
                <w:color w:val="000000"/>
                <w:lang w:eastAsia="fr-FR"/>
              </w:rPr>
              <w:t>2024</w:t>
            </w:r>
          </w:p>
        </w:tc>
        <w:tc>
          <w:tcPr>
            <w:tcW w:w="1140" w:type="dxa"/>
            <w:tcBorders>
              <w:top w:val="single" w:sz="4" w:space="0" w:color="auto"/>
              <w:left w:val="single" w:sz="4" w:space="0" w:color="auto"/>
              <w:bottom w:val="single" w:sz="4" w:space="0" w:color="auto"/>
              <w:right w:val="single" w:sz="4" w:space="0" w:color="auto"/>
            </w:tcBorders>
            <w:shd w:val="clear" w:color="000000" w:fill="DDEBF7"/>
            <w:noWrap/>
            <w:vAlign w:val="bottom"/>
          </w:tcPr>
          <w:p w:rsidR="00BA4A9A" w:rsidRPr="00BD259B" w:rsidRDefault="00BA4A9A" w:rsidP="00BD259B">
            <w:pPr>
              <w:spacing w:after="0" w:line="240" w:lineRule="auto"/>
              <w:jc w:val="right"/>
              <w:rPr>
                <w:rFonts w:ascii="Calibri" w:eastAsia="Times New Roman" w:hAnsi="Calibri" w:cs="Calibri"/>
                <w:b/>
                <w:bCs/>
                <w:color w:val="000000"/>
                <w:lang w:eastAsia="fr-FR"/>
              </w:rPr>
            </w:pPr>
            <w:r>
              <w:rPr>
                <w:rFonts w:ascii="Calibri" w:eastAsia="Times New Roman" w:hAnsi="Calibri" w:cs="Calibri"/>
                <w:b/>
                <w:bCs/>
                <w:color w:val="000000"/>
                <w:lang w:eastAsia="fr-FR"/>
              </w:rPr>
              <w:t>2025</w:t>
            </w:r>
          </w:p>
        </w:tc>
      </w:tr>
      <w:tr w:rsidR="00BD259B" w:rsidRPr="00BD259B" w:rsidTr="00BA4A9A">
        <w:trPr>
          <w:trHeight w:val="375"/>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b/>
                <w:bCs/>
                <w:color w:val="000000"/>
                <w:sz w:val="28"/>
                <w:szCs w:val="28"/>
                <w:lang w:eastAsia="fr-FR"/>
              </w:rPr>
            </w:pPr>
            <w:r w:rsidRPr="00BD259B">
              <w:rPr>
                <w:rFonts w:ascii="Calibri" w:eastAsia="Times New Roman" w:hAnsi="Calibri" w:cs="Calibri"/>
                <w:b/>
                <w:bCs/>
                <w:color w:val="000000"/>
                <w:sz w:val="28"/>
                <w:szCs w:val="28"/>
                <w:lang w:eastAsia="fr-FR"/>
              </w:rPr>
              <w:t>CHARGES D'EXPLOITATION</w:t>
            </w:r>
          </w:p>
        </w:tc>
        <w:tc>
          <w:tcPr>
            <w:tcW w:w="82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b/>
                <w:bCs/>
                <w:color w:val="000000"/>
                <w:sz w:val="28"/>
                <w:szCs w:val="28"/>
                <w:lang w:eastAsia="fr-FR"/>
              </w:rPr>
            </w:pPr>
          </w:p>
        </w:tc>
        <w:tc>
          <w:tcPr>
            <w:tcW w:w="10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Calibri" w:eastAsia="Times New Roman" w:hAnsi="Calibri" w:cs="Calibri"/>
                <w:color w:val="000000"/>
                <w:lang w:eastAsia="fr-FR"/>
              </w:rPr>
            </w:pPr>
            <w:r w:rsidRPr="00BD259B">
              <w:rPr>
                <w:rFonts w:ascii="Calibri" w:eastAsia="Times New Roman" w:hAnsi="Calibri" w:cs="Calibri"/>
                <w:color w:val="000000"/>
                <w:lang w:eastAsia="fr-FR"/>
              </w:rPr>
              <w:t>USD</w:t>
            </w:r>
          </w:p>
        </w:tc>
        <w:tc>
          <w:tcPr>
            <w:tcW w:w="1000" w:type="dxa"/>
            <w:tcBorders>
              <w:top w:val="single" w:sz="4" w:space="0" w:color="auto"/>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349 164</w:t>
            </w:r>
          </w:p>
        </w:tc>
        <w:tc>
          <w:tcPr>
            <w:tcW w:w="1000" w:type="dxa"/>
            <w:tcBorders>
              <w:top w:val="single" w:sz="4" w:space="0" w:color="auto"/>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576 509</w:t>
            </w:r>
          </w:p>
        </w:tc>
        <w:tc>
          <w:tcPr>
            <w:tcW w:w="881" w:type="dxa"/>
            <w:tcBorders>
              <w:top w:val="single" w:sz="4" w:space="0" w:color="auto"/>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766 000</w:t>
            </w:r>
          </w:p>
        </w:tc>
        <w:tc>
          <w:tcPr>
            <w:tcW w:w="1119" w:type="dxa"/>
            <w:gridSpan w:val="2"/>
            <w:tcBorders>
              <w:top w:val="single" w:sz="4" w:space="0" w:color="auto"/>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1 175 958</w:t>
            </w:r>
          </w:p>
        </w:tc>
        <w:tc>
          <w:tcPr>
            <w:tcW w:w="1140" w:type="dxa"/>
            <w:tcBorders>
              <w:top w:val="single" w:sz="4" w:space="0" w:color="auto"/>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1 455 320</w:t>
            </w:r>
          </w:p>
        </w:tc>
        <w:tc>
          <w:tcPr>
            <w:tcW w:w="1140" w:type="dxa"/>
            <w:tcBorders>
              <w:top w:val="single" w:sz="4" w:space="0" w:color="auto"/>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1 775 695</w:t>
            </w:r>
          </w:p>
        </w:tc>
        <w:tc>
          <w:tcPr>
            <w:tcW w:w="1140" w:type="dxa"/>
            <w:tcBorders>
              <w:top w:val="single" w:sz="4" w:space="0" w:color="auto"/>
              <w:left w:val="nil"/>
              <w:bottom w:val="nil"/>
              <w:right w:val="nil"/>
            </w:tcBorders>
            <w:shd w:val="clear" w:color="000000" w:fill="DDEBF7"/>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2 118 522</w:t>
            </w:r>
          </w:p>
        </w:tc>
      </w:tr>
      <w:tr w:rsidR="00BD259B" w:rsidRPr="00BD259B" w:rsidTr="00BD259B">
        <w:trPr>
          <w:trHeight w:val="465"/>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PERSONNEL</w:t>
            </w:r>
          </w:p>
        </w:tc>
        <w:tc>
          <w:tcPr>
            <w:tcW w:w="82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b/>
                <w:bCs/>
                <w:color w:val="000000"/>
                <w:lang w:eastAsia="fr-FR"/>
              </w:rPr>
            </w:pPr>
          </w:p>
        </w:tc>
        <w:tc>
          <w:tcPr>
            <w:tcW w:w="10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Calibri" w:eastAsia="Times New Roman" w:hAnsi="Calibri" w:cs="Calibri"/>
                <w:color w:val="000000"/>
                <w:lang w:eastAsia="fr-FR"/>
              </w:rPr>
            </w:pPr>
            <w:r w:rsidRPr="00BD259B">
              <w:rPr>
                <w:rFonts w:ascii="Calibri" w:eastAsia="Times New Roman" w:hAnsi="Calibri" w:cs="Calibri"/>
                <w:color w:val="000000"/>
                <w:lang w:eastAsia="fr-FR"/>
              </w:rPr>
              <w:t>USD</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193 600</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222 676</w:t>
            </w:r>
          </w:p>
        </w:tc>
        <w:tc>
          <w:tcPr>
            <w:tcW w:w="881"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300 690</w:t>
            </w: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406 730</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538 592</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684 558</w:t>
            </w: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833 211</w:t>
            </w:r>
          </w:p>
        </w:tc>
      </w:tr>
      <w:tr w:rsidR="00BD259B" w:rsidRPr="00BD259B" w:rsidTr="00BD259B">
        <w:trPr>
          <w:trHeight w:val="300"/>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b/>
                <w:bCs/>
                <w:i/>
                <w:iCs/>
                <w:color w:val="000000"/>
                <w:lang w:eastAsia="fr-FR"/>
              </w:rPr>
            </w:pPr>
            <w:r w:rsidRPr="00BD259B">
              <w:rPr>
                <w:rFonts w:ascii="Calibri" w:eastAsia="Times New Roman" w:hAnsi="Calibri" w:cs="Calibri"/>
                <w:b/>
                <w:bCs/>
                <w:i/>
                <w:iCs/>
                <w:color w:val="000000"/>
                <w:lang w:eastAsia="fr-FR"/>
              </w:rPr>
              <w:t>Nombre d'agents CTE</w:t>
            </w:r>
          </w:p>
        </w:tc>
        <w:tc>
          <w:tcPr>
            <w:tcW w:w="82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b/>
                <w:bCs/>
                <w:i/>
                <w:iCs/>
                <w:color w:val="000000"/>
                <w:lang w:eastAsia="fr-FR"/>
              </w:rPr>
            </w:pPr>
          </w:p>
        </w:tc>
        <w:tc>
          <w:tcPr>
            <w:tcW w:w="10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Calibri" w:eastAsia="Times New Roman" w:hAnsi="Calibri" w:cs="Calibri"/>
                <w:color w:val="000000"/>
                <w:lang w:eastAsia="fr-FR"/>
              </w:rPr>
            </w:pPr>
            <w:r w:rsidRPr="00BD259B">
              <w:rPr>
                <w:rFonts w:ascii="Calibri" w:eastAsia="Times New Roman" w:hAnsi="Calibri" w:cs="Calibri"/>
                <w:color w:val="000000"/>
                <w:lang w:eastAsia="fr-FR"/>
              </w:rPr>
              <w:t>U</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i/>
                <w:iCs/>
                <w:color w:val="44546A"/>
                <w:lang w:eastAsia="fr-FR"/>
              </w:rPr>
            </w:pPr>
            <w:r w:rsidRPr="00BD259B">
              <w:rPr>
                <w:rFonts w:ascii="Calibri" w:eastAsia="Times New Roman" w:hAnsi="Calibri" w:cs="Calibri"/>
                <w:b/>
                <w:bCs/>
                <w:i/>
                <w:iCs/>
                <w:color w:val="44546A"/>
                <w:lang w:eastAsia="fr-FR"/>
              </w:rPr>
              <w:t>18</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i/>
                <w:iCs/>
                <w:color w:val="000000"/>
                <w:lang w:eastAsia="fr-FR"/>
              </w:rPr>
            </w:pPr>
            <w:r w:rsidRPr="00BD259B">
              <w:rPr>
                <w:rFonts w:ascii="Calibri" w:eastAsia="Times New Roman" w:hAnsi="Calibri" w:cs="Calibri"/>
                <w:b/>
                <w:bCs/>
                <w:i/>
                <w:iCs/>
                <w:color w:val="000000"/>
                <w:lang w:eastAsia="fr-FR"/>
              </w:rPr>
              <w:t>19</w:t>
            </w:r>
          </w:p>
        </w:tc>
        <w:tc>
          <w:tcPr>
            <w:tcW w:w="881"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i/>
                <w:iCs/>
                <w:color w:val="000000"/>
                <w:lang w:eastAsia="fr-FR"/>
              </w:rPr>
            </w:pPr>
            <w:r w:rsidRPr="00BD259B">
              <w:rPr>
                <w:rFonts w:ascii="Calibri" w:eastAsia="Times New Roman" w:hAnsi="Calibri" w:cs="Calibri"/>
                <w:b/>
                <w:bCs/>
                <w:i/>
                <w:iCs/>
                <w:color w:val="000000"/>
                <w:lang w:eastAsia="fr-FR"/>
              </w:rPr>
              <w:t>25</w:t>
            </w: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i/>
                <w:iCs/>
                <w:color w:val="000000"/>
                <w:lang w:eastAsia="fr-FR"/>
              </w:rPr>
            </w:pPr>
            <w:r w:rsidRPr="00BD259B">
              <w:rPr>
                <w:rFonts w:ascii="Calibri" w:eastAsia="Times New Roman" w:hAnsi="Calibri" w:cs="Calibri"/>
                <w:b/>
                <w:bCs/>
                <w:i/>
                <w:iCs/>
                <w:color w:val="000000"/>
                <w:lang w:eastAsia="fr-FR"/>
              </w:rPr>
              <w:t>32</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i/>
                <w:iCs/>
                <w:color w:val="000000"/>
                <w:lang w:eastAsia="fr-FR"/>
              </w:rPr>
            </w:pPr>
            <w:r w:rsidRPr="00BD259B">
              <w:rPr>
                <w:rFonts w:ascii="Calibri" w:eastAsia="Times New Roman" w:hAnsi="Calibri" w:cs="Calibri"/>
                <w:b/>
                <w:bCs/>
                <w:i/>
                <w:iCs/>
                <w:color w:val="000000"/>
                <w:lang w:eastAsia="fr-FR"/>
              </w:rPr>
              <w:t>42</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i/>
                <w:iCs/>
                <w:color w:val="000000"/>
                <w:lang w:eastAsia="fr-FR"/>
              </w:rPr>
            </w:pPr>
            <w:r w:rsidRPr="00BD259B">
              <w:rPr>
                <w:rFonts w:ascii="Calibri" w:eastAsia="Times New Roman" w:hAnsi="Calibri" w:cs="Calibri"/>
                <w:b/>
                <w:bCs/>
                <w:i/>
                <w:iCs/>
                <w:color w:val="000000"/>
                <w:lang w:eastAsia="fr-FR"/>
              </w:rPr>
              <w:t>52</w:t>
            </w: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right"/>
              <w:rPr>
                <w:rFonts w:ascii="Calibri" w:eastAsia="Times New Roman" w:hAnsi="Calibri" w:cs="Calibri"/>
                <w:b/>
                <w:bCs/>
                <w:i/>
                <w:iCs/>
                <w:color w:val="FF0000"/>
                <w:lang w:eastAsia="fr-FR"/>
              </w:rPr>
            </w:pPr>
            <w:r w:rsidRPr="00BD259B">
              <w:rPr>
                <w:rFonts w:ascii="Calibri" w:eastAsia="Times New Roman" w:hAnsi="Calibri" w:cs="Calibri"/>
                <w:b/>
                <w:bCs/>
                <w:i/>
                <w:iCs/>
                <w:color w:val="FF0000"/>
                <w:lang w:eastAsia="fr-FR"/>
              </w:rPr>
              <w:t>64</w:t>
            </w:r>
          </w:p>
        </w:tc>
      </w:tr>
      <w:tr w:rsidR="00BD259B" w:rsidRPr="00BD259B" w:rsidTr="00BD259B">
        <w:trPr>
          <w:trHeight w:val="300"/>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i/>
                <w:iCs/>
                <w:color w:val="000000"/>
                <w:lang w:eastAsia="fr-FR"/>
              </w:rPr>
            </w:pPr>
            <w:r w:rsidRPr="00BD259B">
              <w:rPr>
                <w:rFonts w:ascii="Calibri" w:eastAsia="Times New Roman" w:hAnsi="Calibri" w:cs="Calibri"/>
                <w:i/>
                <w:iCs/>
                <w:color w:val="000000"/>
                <w:lang w:eastAsia="fr-FR"/>
              </w:rPr>
              <w:t>Nombre d'agents pour 1000 branchts</w:t>
            </w:r>
          </w:p>
        </w:tc>
        <w:tc>
          <w:tcPr>
            <w:tcW w:w="82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i/>
                <w:iCs/>
                <w:color w:val="000000"/>
                <w:lang w:eastAsia="fr-FR"/>
              </w:rPr>
            </w:pPr>
          </w:p>
        </w:tc>
        <w:tc>
          <w:tcPr>
            <w:tcW w:w="10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11,3</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6,3</w:t>
            </w:r>
          </w:p>
        </w:tc>
        <w:tc>
          <w:tcPr>
            <w:tcW w:w="881"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6,3</w:t>
            </w: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4,6</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4,7</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4,3</w:t>
            </w: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3,9</w:t>
            </w:r>
          </w:p>
        </w:tc>
      </w:tr>
      <w:tr w:rsidR="00BD259B" w:rsidRPr="00BD259B" w:rsidTr="00BA4A9A">
        <w:trPr>
          <w:trHeight w:val="397"/>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i/>
                <w:iCs/>
                <w:color w:val="000000"/>
                <w:lang w:eastAsia="fr-FR"/>
              </w:rPr>
            </w:pPr>
            <w:r w:rsidRPr="00BD259B">
              <w:rPr>
                <w:rFonts w:ascii="Calibri" w:eastAsia="Times New Roman" w:hAnsi="Calibri" w:cs="Calibri"/>
                <w:i/>
                <w:iCs/>
                <w:color w:val="000000"/>
                <w:lang w:eastAsia="fr-FR"/>
              </w:rPr>
              <w:t>Nouveaux recrutements CTE</w:t>
            </w:r>
          </w:p>
        </w:tc>
        <w:tc>
          <w:tcPr>
            <w:tcW w:w="82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i/>
                <w:iCs/>
                <w:color w:val="000000"/>
                <w:lang w:eastAsia="fr-FR"/>
              </w:rPr>
            </w:pPr>
          </w:p>
        </w:tc>
        <w:tc>
          <w:tcPr>
            <w:tcW w:w="10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Calibri" w:eastAsia="Times New Roman" w:hAnsi="Calibri" w:cs="Calibri"/>
                <w:color w:val="000000"/>
                <w:lang w:eastAsia="fr-FR"/>
              </w:rPr>
            </w:pPr>
            <w:r w:rsidRPr="00BD259B">
              <w:rPr>
                <w:rFonts w:ascii="Calibri" w:eastAsia="Times New Roman" w:hAnsi="Calibri" w:cs="Calibri"/>
                <w:color w:val="000000"/>
                <w:lang w:eastAsia="fr-FR"/>
              </w:rPr>
              <w:t>U</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4</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6</w:t>
            </w:r>
          </w:p>
        </w:tc>
        <w:tc>
          <w:tcPr>
            <w:tcW w:w="881"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8</w:t>
            </w: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9</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10</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10</w:t>
            </w: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12</w:t>
            </w:r>
          </w:p>
        </w:tc>
      </w:tr>
      <w:tr w:rsidR="00BD259B" w:rsidRPr="00BD259B" w:rsidTr="00BD259B">
        <w:trPr>
          <w:trHeight w:val="300"/>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i/>
                <w:iCs/>
                <w:color w:val="000000"/>
                <w:lang w:eastAsia="fr-FR"/>
              </w:rPr>
            </w:pPr>
            <w:r w:rsidRPr="00BD259B">
              <w:rPr>
                <w:rFonts w:ascii="Calibri" w:eastAsia="Times New Roman" w:hAnsi="Calibri" w:cs="Calibri"/>
                <w:i/>
                <w:iCs/>
                <w:color w:val="000000"/>
                <w:lang w:eastAsia="fr-FR"/>
              </w:rPr>
              <w:t>- dont cadres supérieurs</w:t>
            </w:r>
          </w:p>
        </w:tc>
        <w:tc>
          <w:tcPr>
            <w:tcW w:w="82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i/>
                <w:iCs/>
                <w:color w:val="000000"/>
                <w:lang w:eastAsia="fr-FR"/>
              </w:rPr>
            </w:pPr>
          </w:p>
        </w:tc>
        <w:tc>
          <w:tcPr>
            <w:tcW w:w="10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Calibri" w:eastAsia="Times New Roman" w:hAnsi="Calibri" w:cs="Calibri"/>
                <w:color w:val="000000"/>
                <w:lang w:eastAsia="fr-FR"/>
              </w:rPr>
            </w:pPr>
            <w:r w:rsidRPr="00BD259B">
              <w:rPr>
                <w:rFonts w:ascii="Calibri" w:eastAsia="Times New Roman" w:hAnsi="Calibri" w:cs="Calibri"/>
                <w:color w:val="000000"/>
                <w:lang w:eastAsia="fr-FR"/>
              </w:rPr>
              <w:t>U</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Calibri" w:eastAsia="Times New Roman" w:hAnsi="Calibri" w:cs="Calibri"/>
                <w:color w:val="000000"/>
                <w:lang w:eastAsia="fr-FR"/>
              </w:rPr>
            </w:pP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881"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1</w:t>
            </w: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1</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1</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1</w:t>
            </w: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lef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 </w:t>
            </w:r>
          </w:p>
        </w:tc>
      </w:tr>
      <w:tr w:rsidR="00BD259B" w:rsidRPr="00BD259B" w:rsidTr="00BD259B">
        <w:trPr>
          <w:trHeight w:val="300"/>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color w:val="000000"/>
                <w:lang w:eastAsia="fr-FR"/>
              </w:rPr>
            </w:pPr>
            <w:r w:rsidRPr="00BD259B">
              <w:rPr>
                <w:rFonts w:ascii="Calibri" w:eastAsia="Times New Roman" w:hAnsi="Calibri" w:cs="Calibri"/>
                <w:color w:val="000000"/>
                <w:lang w:eastAsia="fr-FR"/>
              </w:rPr>
              <w:t>Départs d'agents</w:t>
            </w:r>
          </w:p>
        </w:tc>
        <w:tc>
          <w:tcPr>
            <w:tcW w:w="82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color w:val="000000"/>
                <w:lang w:eastAsia="fr-FR"/>
              </w:rPr>
            </w:pPr>
          </w:p>
        </w:tc>
        <w:tc>
          <w:tcPr>
            <w:tcW w:w="10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Calibri" w:eastAsia="Times New Roman" w:hAnsi="Calibri" w:cs="Calibri"/>
                <w:color w:val="000000"/>
                <w:lang w:eastAsia="fr-FR"/>
              </w:rPr>
            </w:pPr>
            <w:r w:rsidRPr="00BD259B">
              <w:rPr>
                <w:rFonts w:ascii="Calibri" w:eastAsia="Times New Roman" w:hAnsi="Calibri" w:cs="Calibri"/>
                <w:color w:val="000000"/>
                <w:lang w:eastAsia="fr-FR"/>
              </w:rPr>
              <w:t>U</w:t>
            </w:r>
          </w:p>
        </w:tc>
        <w:tc>
          <w:tcPr>
            <w:tcW w:w="1000" w:type="dxa"/>
            <w:tcBorders>
              <w:top w:val="nil"/>
              <w:left w:val="nil"/>
              <w:bottom w:val="nil"/>
              <w:right w:val="nil"/>
            </w:tcBorders>
            <w:shd w:val="clear" w:color="000000" w:fill="FFFF00"/>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2</w:t>
            </w:r>
          </w:p>
        </w:tc>
        <w:tc>
          <w:tcPr>
            <w:tcW w:w="1000" w:type="dxa"/>
            <w:tcBorders>
              <w:top w:val="nil"/>
              <w:left w:val="nil"/>
              <w:bottom w:val="nil"/>
              <w:right w:val="nil"/>
            </w:tcBorders>
            <w:shd w:val="clear" w:color="000000" w:fill="FFFF00"/>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5</w:t>
            </w:r>
          </w:p>
        </w:tc>
        <w:tc>
          <w:tcPr>
            <w:tcW w:w="881" w:type="dxa"/>
            <w:tcBorders>
              <w:top w:val="nil"/>
              <w:left w:val="nil"/>
              <w:bottom w:val="nil"/>
              <w:right w:val="nil"/>
            </w:tcBorders>
            <w:shd w:val="clear" w:color="000000" w:fill="FFFF00"/>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2</w:t>
            </w:r>
          </w:p>
        </w:tc>
        <w:tc>
          <w:tcPr>
            <w:tcW w:w="1119" w:type="dxa"/>
            <w:gridSpan w:val="2"/>
            <w:tcBorders>
              <w:top w:val="nil"/>
              <w:left w:val="nil"/>
              <w:bottom w:val="nil"/>
              <w:right w:val="nil"/>
            </w:tcBorders>
            <w:shd w:val="clear" w:color="000000" w:fill="FFFF00"/>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2</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44546A"/>
                <w:lang w:eastAsia="fr-FR"/>
              </w:rPr>
            </w:pP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left"/>
              <w:rPr>
                <w:rFonts w:ascii="Calibri" w:eastAsia="Times New Roman" w:hAnsi="Calibri" w:cs="Calibri"/>
                <w:i/>
                <w:iCs/>
                <w:color w:val="44546A"/>
                <w:lang w:eastAsia="fr-FR"/>
              </w:rPr>
            </w:pPr>
            <w:r w:rsidRPr="00BD259B">
              <w:rPr>
                <w:rFonts w:ascii="Calibri" w:eastAsia="Times New Roman" w:hAnsi="Calibri" w:cs="Calibri"/>
                <w:i/>
                <w:iCs/>
                <w:color w:val="44546A"/>
                <w:lang w:eastAsia="fr-FR"/>
              </w:rPr>
              <w:t> </w:t>
            </w:r>
          </w:p>
        </w:tc>
      </w:tr>
      <w:tr w:rsidR="00BD259B" w:rsidRPr="00BD259B" w:rsidTr="00BD259B">
        <w:trPr>
          <w:trHeight w:val="300"/>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color w:val="000000"/>
                <w:lang w:eastAsia="fr-FR"/>
              </w:rPr>
            </w:pPr>
            <w:r w:rsidRPr="00BD259B">
              <w:rPr>
                <w:rFonts w:ascii="Calibri" w:eastAsia="Times New Roman" w:hAnsi="Calibri" w:cs="Calibri"/>
                <w:color w:val="000000"/>
                <w:lang w:eastAsia="fr-FR"/>
              </w:rPr>
              <w:t>Budget pour plan social</w:t>
            </w:r>
          </w:p>
        </w:tc>
        <w:tc>
          <w:tcPr>
            <w:tcW w:w="82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color w:val="000000"/>
                <w:lang w:eastAsia="fr-FR"/>
              </w:rPr>
            </w:pPr>
          </w:p>
        </w:tc>
        <w:tc>
          <w:tcPr>
            <w:tcW w:w="1040" w:type="dxa"/>
            <w:tcBorders>
              <w:top w:val="nil"/>
              <w:left w:val="nil"/>
              <w:bottom w:val="nil"/>
              <w:right w:val="nil"/>
            </w:tcBorders>
            <w:shd w:val="clear" w:color="000000" w:fill="FFFF00"/>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5000</w:t>
            </w: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Calibri" w:eastAsia="Times New Roman" w:hAnsi="Calibri" w:cs="Calibri"/>
                <w:color w:val="000000"/>
                <w:lang w:eastAsia="fr-FR"/>
              </w:rPr>
            </w:pPr>
            <w:r w:rsidRPr="00BD259B">
              <w:rPr>
                <w:rFonts w:ascii="Calibri" w:eastAsia="Times New Roman" w:hAnsi="Calibri" w:cs="Calibri"/>
                <w:color w:val="000000"/>
                <w:lang w:eastAsia="fr-FR"/>
              </w:rPr>
              <w:t>USD</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10 000</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25 000</w:t>
            </w:r>
          </w:p>
        </w:tc>
        <w:tc>
          <w:tcPr>
            <w:tcW w:w="881"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10 000</w:t>
            </w: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10 000</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0</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0</w:t>
            </w: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0</w:t>
            </w:r>
          </w:p>
        </w:tc>
      </w:tr>
      <w:tr w:rsidR="00BD259B" w:rsidRPr="00BD259B" w:rsidTr="00BD259B">
        <w:trPr>
          <w:trHeight w:val="300"/>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Charges salariales</w:t>
            </w:r>
          </w:p>
        </w:tc>
        <w:tc>
          <w:tcPr>
            <w:tcW w:w="82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b/>
                <w:bCs/>
                <w:color w:val="000000"/>
                <w:lang w:eastAsia="fr-FR"/>
              </w:rPr>
            </w:pPr>
          </w:p>
        </w:tc>
        <w:tc>
          <w:tcPr>
            <w:tcW w:w="10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183 600</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197 676</w:t>
            </w:r>
          </w:p>
        </w:tc>
        <w:tc>
          <w:tcPr>
            <w:tcW w:w="881"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290 690</w:t>
            </w: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396 730</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538 592</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684 558</w:t>
            </w: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833 211</w:t>
            </w:r>
          </w:p>
        </w:tc>
      </w:tr>
      <w:tr w:rsidR="00BD259B" w:rsidRPr="00BD259B" w:rsidTr="00BD259B">
        <w:trPr>
          <w:trHeight w:val="300"/>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color w:val="000000"/>
                <w:lang w:eastAsia="fr-FR"/>
              </w:rPr>
            </w:pPr>
            <w:r w:rsidRPr="00BD259B">
              <w:rPr>
                <w:rFonts w:ascii="Calibri" w:eastAsia="Times New Roman" w:hAnsi="Calibri" w:cs="Calibri"/>
                <w:color w:val="000000"/>
                <w:lang w:eastAsia="fr-FR"/>
              </w:rPr>
              <w:t xml:space="preserve">- Cadres supérieurs </w:t>
            </w:r>
          </w:p>
        </w:tc>
        <w:tc>
          <w:tcPr>
            <w:tcW w:w="82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000000"/>
                <w:lang w:eastAsia="fr-FR"/>
              </w:rPr>
            </w:pPr>
            <w:r w:rsidRPr="00BD259B">
              <w:rPr>
                <w:rFonts w:ascii="Calibri" w:eastAsia="Times New Roman" w:hAnsi="Calibri" w:cs="Calibri"/>
                <w:i/>
                <w:iCs/>
                <w:color w:val="000000"/>
                <w:lang w:eastAsia="fr-FR"/>
              </w:rPr>
              <w:t>1</w:t>
            </w:r>
          </w:p>
        </w:tc>
        <w:tc>
          <w:tcPr>
            <w:tcW w:w="10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000000"/>
                <w:lang w:eastAsia="fr-FR"/>
              </w:rPr>
            </w:pPr>
            <w:r w:rsidRPr="00BD259B">
              <w:rPr>
                <w:rFonts w:ascii="Calibri" w:eastAsia="Times New Roman" w:hAnsi="Calibri" w:cs="Calibri"/>
                <w:i/>
                <w:iCs/>
                <w:color w:val="000000"/>
                <w:lang w:eastAsia="fr-FR"/>
              </w:rPr>
              <w:t>3000</w:t>
            </w: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Calibri" w:eastAsia="Times New Roman" w:hAnsi="Calibri" w:cs="Calibri"/>
                <w:color w:val="000000"/>
                <w:lang w:eastAsia="fr-FR"/>
              </w:rPr>
            </w:pPr>
            <w:r w:rsidRPr="00BD259B">
              <w:rPr>
                <w:rFonts w:ascii="Calibri" w:eastAsia="Times New Roman" w:hAnsi="Calibri" w:cs="Calibri"/>
                <w:color w:val="000000"/>
                <w:lang w:eastAsia="fr-FR"/>
              </w:rPr>
              <w:t>USD</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0</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0</w:t>
            </w:r>
          </w:p>
        </w:tc>
        <w:tc>
          <w:tcPr>
            <w:tcW w:w="881"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36 000</w:t>
            </w: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72 000</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108 000</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144 000</w:t>
            </w: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144 000</w:t>
            </w:r>
          </w:p>
        </w:tc>
      </w:tr>
      <w:tr w:rsidR="00BD259B" w:rsidRPr="00BD259B" w:rsidTr="00BA4A9A">
        <w:trPr>
          <w:trHeight w:val="397"/>
        </w:trPr>
        <w:tc>
          <w:tcPr>
            <w:tcW w:w="4160" w:type="dxa"/>
            <w:tcBorders>
              <w:top w:val="nil"/>
              <w:left w:val="nil"/>
              <w:bottom w:val="nil"/>
              <w:right w:val="nil"/>
            </w:tcBorders>
            <w:shd w:val="clear" w:color="auto" w:fill="auto"/>
            <w:noWrap/>
            <w:hideMark/>
          </w:tcPr>
          <w:p w:rsidR="00BD259B" w:rsidRPr="00BD259B" w:rsidRDefault="00BD259B" w:rsidP="00BD259B">
            <w:pPr>
              <w:spacing w:after="0" w:line="240" w:lineRule="auto"/>
              <w:jc w:val="left"/>
              <w:rPr>
                <w:rFonts w:ascii="Calibri" w:eastAsia="Times New Roman" w:hAnsi="Calibri" w:cs="Calibri"/>
                <w:color w:val="000000"/>
                <w:lang w:eastAsia="fr-FR"/>
              </w:rPr>
            </w:pPr>
            <w:r w:rsidRPr="00BD259B">
              <w:rPr>
                <w:rFonts w:ascii="Calibri" w:eastAsia="Times New Roman" w:hAnsi="Calibri" w:cs="Calibri"/>
                <w:color w:val="000000"/>
                <w:lang w:eastAsia="fr-FR"/>
              </w:rPr>
              <w:t>- Autres agents</w:t>
            </w:r>
          </w:p>
        </w:tc>
        <w:tc>
          <w:tcPr>
            <w:tcW w:w="820" w:type="dxa"/>
            <w:tcBorders>
              <w:top w:val="nil"/>
              <w:left w:val="nil"/>
              <w:bottom w:val="nil"/>
              <w:right w:val="nil"/>
            </w:tcBorders>
            <w:shd w:val="clear" w:color="auto" w:fill="auto"/>
            <w:noWrap/>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1,02</w:t>
            </w:r>
          </w:p>
        </w:tc>
        <w:tc>
          <w:tcPr>
            <w:tcW w:w="1040" w:type="dxa"/>
            <w:tcBorders>
              <w:top w:val="nil"/>
              <w:left w:val="nil"/>
              <w:bottom w:val="nil"/>
              <w:right w:val="nil"/>
            </w:tcBorders>
            <w:shd w:val="clear" w:color="auto" w:fill="auto"/>
            <w:noWrap/>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850</w:t>
            </w:r>
          </w:p>
        </w:tc>
        <w:tc>
          <w:tcPr>
            <w:tcW w:w="880" w:type="dxa"/>
            <w:tcBorders>
              <w:top w:val="nil"/>
              <w:left w:val="nil"/>
              <w:bottom w:val="nil"/>
              <w:right w:val="nil"/>
            </w:tcBorders>
            <w:shd w:val="clear" w:color="auto" w:fill="auto"/>
            <w:noWrap/>
            <w:hideMark/>
          </w:tcPr>
          <w:p w:rsidR="00BD259B" w:rsidRPr="00BD259B" w:rsidRDefault="00BD259B" w:rsidP="00BD259B">
            <w:pPr>
              <w:spacing w:after="0" w:line="240" w:lineRule="auto"/>
              <w:jc w:val="center"/>
              <w:rPr>
                <w:rFonts w:ascii="Calibri" w:eastAsia="Times New Roman" w:hAnsi="Calibri" w:cs="Calibri"/>
                <w:color w:val="000000"/>
                <w:lang w:eastAsia="fr-FR"/>
              </w:rPr>
            </w:pPr>
            <w:r w:rsidRPr="00BD259B">
              <w:rPr>
                <w:rFonts w:ascii="Calibri" w:eastAsia="Times New Roman" w:hAnsi="Calibri" w:cs="Calibri"/>
                <w:color w:val="000000"/>
                <w:lang w:eastAsia="fr-FR"/>
              </w:rPr>
              <w:t>USD</w:t>
            </w:r>
          </w:p>
        </w:tc>
        <w:tc>
          <w:tcPr>
            <w:tcW w:w="1000" w:type="dxa"/>
            <w:tcBorders>
              <w:top w:val="nil"/>
              <w:left w:val="nil"/>
              <w:bottom w:val="nil"/>
              <w:right w:val="nil"/>
            </w:tcBorders>
            <w:shd w:val="clear" w:color="auto" w:fill="auto"/>
            <w:noWrap/>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183 600</w:t>
            </w:r>
          </w:p>
        </w:tc>
        <w:tc>
          <w:tcPr>
            <w:tcW w:w="1000" w:type="dxa"/>
            <w:tcBorders>
              <w:top w:val="nil"/>
              <w:left w:val="nil"/>
              <w:bottom w:val="nil"/>
              <w:right w:val="nil"/>
            </w:tcBorders>
            <w:shd w:val="clear" w:color="auto" w:fill="auto"/>
            <w:noWrap/>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197 676</w:t>
            </w:r>
          </w:p>
        </w:tc>
        <w:tc>
          <w:tcPr>
            <w:tcW w:w="881" w:type="dxa"/>
            <w:tcBorders>
              <w:top w:val="nil"/>
              <w:left w:val="nil"/>
              <w:bottom w:val="nil"/>
              <w:right w:val="nil"/>
            </w:tcBorders>
            <w:shd w:val="clear" w:color="auto" w:fill="auto"/>
            <w:noWrap/>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254 690</w:t>
            </w:r>
          </w:p>
        </w:tc>
        <w:tc>
          <w:tcPr>
            <w:tcW w:w="1119" w:type="dxa"/>
            <w:gridSpan w:val="2"/>
            <w:tcBorders>
              <w:top w:val="nil"/>
              <w:left w:val="nil"/>
              <w:bottom w:val="nil"/>
              <w:right w:val="nil"/>
            </w:tcBorders>
            <w:shd w:val="clear" w:color="auto" w:fill="auto"/>
            <w:noWrap/>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324 730</w:t>
            </w:r>
          </w:p>
        </w:tc>
        <w:tc>
          <w:tcPr>
            <w:tcW w:w="1140" w:type="dxa"/>
            <w:tcBorders>
              <w:top w:val="nil"/>
              <w:left w:val="nil"/>
              <w:bottom w:val="nil"/>
              <w:right w:val="nil"/>
            </w:tcBorders>
            <w:shd w:val="clear" w:color="auto" w:fill="auto"/>
            <w:noWrap/>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430 592</w:t>
            </w:r>
          </w:p>
        </w:tc>
        <w:tc>
          <w:tcPr>
            <w:tcW w:w="1140" w:type="dxa"/>
            <w:tcBorders>
              <w:top w:val="nil"/>
              <w:left w:val="nil"/>
              <w:bottom w:val="nil"/>
              <w:right w:val="nil"/>
            </w:tcBorders>
            <w:shd w:val="clear" w:color="auto" w:fill="auto"/>
            <w:noWrap/>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540 558</w:t>
            </w:r>
          </w:p>
        </w:tc>
        <w:tc>
          <w:tcPr>
            <w:tcW w:w="1140" w:type="dxa"/>
            <w:tcBorders>
              <w:top w:val="nil"/>
              <w:left w:val="nil"/>
              <w:bottom w:val="nil"/>
              <w:right w:val="nil"/>
            </w:tcBorders>
            <w:shd w:val="clear" w:color="000000" w:fill="DDEBF7"/>
            <w:noWrap/>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689 211</w:t>
            </w:r>
          </w:p>
        </w:tc>
      </w:tr>
      <w:tr w:rsidR="00BD259B" w:rsidRPr="00BD259B" w:rsidTr="00BD259B">
        <w:trPr>
          <w:trHeight w:val="300"/>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ELECTRICITE</w:t>
            </w:r>
          </w:p>
        </w:tc>
        <w:tc>
          <w:tcPr>
            <w:tcW w:w="820" w:type="dxa"/>
            <w:tcBorders>
              <w:top w:val="single" w:sz="4" w:space="0" w:color="auto"/>
              <w:left w:val="single" w:sz="4" w:space="0" w:color="auto"/>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u w:val="single"/>
                <w:lang w:eastAsia="fr-FR"/>
              </w:rPr>
            </w:pPr>
            <w:r w:rsidRPr="00BD259B">
              <w:rPr>
                <w:rFonts w:ascii="Calibri" w:eastAsia="Times New Roman" w:hAnsi="Calibri" w:cs="Calibri"/>
                <w:color w:val="000000"/>
                <w:u w:val="single"/>
                <w:lang w:eastAsia="fr-FR"/>
              </w:rPr>
              <w:t>Hmt</w:t>
            </w:r>
          </w:p>
        </w:tc>
        <w:tc>
          <w:tcPr>
            <w:tcW w:w="1040" w:type="dxa"/>
            <w:tcBorders>
              <w:top w:val="single" w:sz="4" w:space="0" w:color="auto"/>
              <w:left w:val="nil"/>
              <w:bottom w:val="nil"/>
              <w:right w:val="single" w:sz="4" w:space="0" w:color="auto"/>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u w:val="single"/>
                <w:lang w:eastAsia="fr-FR"/>
              </w:rPr>
            </w:pPr>
            <w:r w:rsidRPr="00BD259B">
              <w:rPr>
                <w:rFonts w:ascii="Calibri" w:eastAsia="Times New Roman" w:hAnsi="Calibri" w:cs="Calibri"/>
                <w:color w:val="000000"/>
                <w:u w:val="single"/>
                <w:lang w:eastAsia="fr-FR"/>
              </w:rPr>
              <w:t>USD/kwh</w:t>
            </w: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Calibri" w:eastAsia="Times New Roman" w:hAnsi="Calibri" w:cs="Calibri"/>
                <w:color w:val="000000"/>
                <w:lang w:eastAsia="fr-FR"/>
              </w:rPr>
            </w:pPr>
            <w:r w:rsidRPr="00BD259B">
              <w:rPr>
                <w:rFonts w:ascii="Calibri" w:eastAsia="Times New Roman" w:hAnsi="Calibri" w:cs="Calibri"/>
                <w:color w:val="000000"/>
                <w:lang w:eastAsia="fr-FR"/>
              </w:rPr>
              <w:t>USD</w:t>
            </w:r>
          </w:p>
        </w:tc>
        <w:tc>
          <w:tcPr>
            <w:tcW w:w="1000" w:type="dxa"/>
            <w:tcBorders>
              <w:top w:val="nil"/>
              <w:left w:val="nil"/>
              <w:bottom w:val="nil"/>
              <w:right w:val="nil"/>
            </w:tcBorders>
            <w:shd w:val="clear" w:color="000000" w:fill="FFFF00"/>
            <w:noWrap/>
            <w:vAlign w:val="bottom"/>
            <w:hideMark/>
          </w:tcPr>
          <w:p w:rsidR="00BD259B" w:rsidRPr="00BD259B" w:rsidRDefault="00BD259B" w:rsidP="00BD259B">
            <w:pPr>
              <w:spacing w:after="0" w:line="240" w:lineRule="auto"/>
              <w:jc w:val="lef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 </w:t>
            </w:r>
          </w:p>
        </w:tc>
        <w:tc>
          <w:tcPr>
            <w:tcW w:w="1000" w:type="dxa"/>
            <w:tcBorders>
              <w:top w:val="nil"/>
              <w:left w:val="nil"/>
              <w:bottom w:val="nil"/>
              <w:right w:val="nil"/>
            </w:tcBorders>
            <w:shd w:val="clear" w:color="000000" w:fill="FFFF00"/>
            <w:noWrap/>
            <w:vAlign w:val="bottom"/>
            <w:hideMark/>
          </w:tcPr>
          <w:p w:rsidR="00BD259B" w:rsidRPr="00BD259B" w:rsidRDefault="00BD259B" w:rsidP="00BD259B">
            <w:pPr>
              <w:spacing w:after="0" w:line="240" w:lineRule="auto"/>
              <w:jc w:val="lef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 </w:t>
            </w:r>
          </w:p>
        </w:tc>
        <w:tc>
          <w:tcPr>
            <w:tcW w:w="881" w:type="dxa"/>
            <w:tcBorders>
              <w:top w:val="nil"/>
              <w:left w:val="nil"/>
              <w:bottom w:val="nil"/>
              <w:right w:val="nil"/>
            </w:tcBorders>
            <w:shd w:val="clear" w:color="000000" w:fill="FFFF00"/>
            <w:noWrap/>
            <w:vAlign w:val="bottom"/>
            <w:hideMark/>
          </w:tcPr>
          <w:p w:rsidR="00BD259B" w:rsidRPr="00BD259B" w:rsidRDefault="00BD259B" w:rsidP="00BD259B">
            <w:pPr>
              <w:spacing w:after="0" w:line="240" w:lineRule="auto"/>
              <w:jc w:val="lef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 </w:t>
            </w: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228 714</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311 724</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403 032</w:t>
            </w: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519 953</w:t>
            </w:r>
          </w:p>
        </w:tc>
      </w:tr>
      <w:tr w:rsidR="00BD259B" w:rsidRPr="00BD259B" w:rsidTr="00BD259B">
        <w:trPr>
          <w:trHeight w:val="300"/>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i/>
                <w:iCs/>
                <w:color w:val="000000"/>
                <w:lang w:eastAsia="fr-FR"/>
              </w:rPr>
            </w:pPr>
            <w:r w:rsidRPr="00BD259B">
              <w:rPr>
                <w:rFonts w:ascii="Calibri" w:eastAsia="Times New Roman" w:hAnsi="Calibri" w:cs="Calibri"/>
                <w:i/>
                <w:iCs/>
                <w:color w:val="000000"/>
                <w:lang w:eastAsia="fr-FR"/>
              </w:rPr>
              <w:t>Consommation annuelle</w:t>
            </w:r>
          </w:p>
        </w:tc>
        <w:tc>
          <w:tcPr>
            <w:tcW w:w="820" w:type="dxa"/>
            <w:tcBorders>
              <w:top w:val="nil"/>
              <w:left w:val="single" w:sz="4" w:space="0" w:color="auto"/>
              <w:bottom w:val="single" w:sz="4" w:space="0" w:color="auto"/>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000000"/>
                <w:lang w:eastAsia="fr-FR"/>
              </w:rPr>
            </w:pPr>
            <w:r w:rsidRPr="00BD259B">
              <w:rPr>
                <w:rFonts w:ascii="Calibri" w:eastAsia="Times New Roman" w:hAnsi="Calibri" w:cs="Calibri"/>
                <w:i/>
                <w:iCs/>
                <w:color w:val="000000"/>
                <w:lang w:eastAsia="fr-FR"/>
              </w:rPr>
              <w:t>60</w:t>
            </w:r>
          </w:p>
        </w:tc>
        <w:tc>
          <w:tcPr>
            <w:tcW w:w="1040" w:type="dxa"/>
            <w:tcBorders>
              <w:top w:val="nil"/>
              <w:left w:val="nil"/>
              <w:bottom w:val="single" w:sz="4" w:space="0" w:color="auto"/>
              <w:right w:val="single" w:sz="4" w:space="0" w:color="auto"/>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0,3</w:t>
            </w: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Calibri" w:eastAsia="Times New Roman" w:hAnsi="Calibri" w:cs="Calibri"/>
                <w:i/>
                <w:iCs/>
                <w:color w:val="000000"/>
                <w:lang w:eastAsia="fr-FR"/>
              </w:rPr>
            </w:pPr>
            <w:r w:rsidRPr="00BD259B">
              <w:rPr>
                <w:rFonts w:ascii="Calibri" w:eastAsia="Times New Roman" w:hAnsi="Calibri" w:cs="Calibri"/>
                <w:i/>
                <w:iCs/>
                <w:color w:val="000000"/>
                <w:lang w:eastAsia="fr-FR"/>
              </w:rPr>
              <w:t>kWh</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000000"/>
                <w:lang w:eastAsia="fr-FR"/>
              </w:rPr>
            </w:pPr>
            <w:r w:rsidRPr="00BD259B">
              <w:rPr>
                <w:rFonts w:ascii="Calibri" w:eastAsia="Times New Roman" w:hAnsi="Calibri" w:cs="Calibri"/>
                <w:i/>
                <w:iCs/>
                <w:color w:val="000000"/>
                <w:lang w:eastAsia="fr-FR"/>
              </w:rPr>
              <w:t>178 703</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000000"/>
                <w:lang w:eastAsia="fr-FR"/>
              </w:rPr>
            </w:pPr>
            <w:r w:rsidRPr="00BD259B">
              <w:rPr>
                <w:rFonts w:ascii="Calibri" w:eastAsia="Times New Roman" w:hAnsi="Calibri" w:cs="Calibri"/>
                <w:i/>
                <w:iCs/>
                <w:color w:val="000000"/>
                <w:lang w:eastAsia="fr-FR"/>
              </w:rPr>
              <w:t>319 495</w:t>
            </w:r>
          </w:p>
        </w:tc>
        <w:tc>
          <w:tcPr>
            <w:tcW w:w="881"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000000"/>
                <w:lang w:eastAsia="fr-FR"/>
              </w:rPr>
            </w:pPr>
            <w:r w:rsidRPr="00BD259B">
              <w:rPr>
                <w:rFonts w:ascii="Calibri" w:eastAsia="Times New Roman" w:hAnsi="Calibri" w:cs="Calibri"/>
                <w:i/>
                <w:iCs/>
                <w:color w:val="000000"/>
                <w:lang w:eastAsia="fr-FR"/>
              </w:rPr>
              <w:t>443 825</w:t>
            </w: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000000"/>
                <w:lang w:eastAsia="fr-FR"/>
              </w:rPr>
            </w:pPr>
            <w:r w:rsidRPr="00BD259B">
              <w:rPr>
                <w:rFonts w:ascii="Calibri" w:eastAsia="Times New Roman" w:hAnsi="Calibri" w:cs="Calibri"/>
                <w:i/>
                <w:iCs/>
                <w:color w:val="000000"/>
                <w:lang w:eastAsia="fr-FR"/>
              </w:rPr>
              <w:t>762 382</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000000"/>
                <w:lang w:eastAsia="fr-FR"/>
              </w:rPr>
            </w:pPr>
            <w:r w:rsidRPr="00BD259B">
              <w:rPr>
                <w:rFonts w:ascii="Calibri" w:eastAsia="Times New Roman" w:hAnsi="Calibri" w:cs="Calibri"/>
                <w:i/>
                <w:iCs/>
                <w:color w:val="000000"/>
                <w:lang w:eastAsia="fr-FR"/>
              </w:rPr>
              <w:t>1 039 080</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i/>
                <w:iCs/>
                <w:color w:val="000000"/>
                <w:lang w:eastAsia="fr-FR"/>
              </w:rPr>
            </w:pPr>
            <w:r w:rsidRPr="00BD259B">
              <w:rPr>
                <w:rFonts w:ascii="Calibri" w:eastAsia="Times New Roman" w:hAnsi="Calibri" w:cs="Calibri"/>
                <w:i/>
                <w:iCs/>
                <w:color w:val="000000"/>
                <w:lang w:eastAsia="fr-FR"/>
              </w:rPr>
              <w:t>1 343 442</w:t>
            </w: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right"/>
              <w:rPr>
                <w:rFonts w:ascii="Calibri" w:eastAsia="Times New Roman" w:hAnsi="Calibri" w:cs="Calibri"/>
                <w:i/>
                <w:iCs/>
                <w:color w:val="000000"/>
                <w:lang w:eastAsia="fr-FR"/>
              </w:rPr>
            </w:pPr>
            <w:r w:rsidRPr="00BD259B">
              <w:rPr>
                <w:rFonts w:ascii="Calibri" w:eastAsia="Times New Roman" w:hAnsi="Calibri" w:cs="Calibri"/>
                <w:i/>
                <w:iCs/>
                <w:color w:val="000000"/>
                <w:lang w:eastAsia="fr-FR"/>
              </w:rPr>
              <w:t>1 733 176</w:t>
            </w:r>
          </w:p>
        </w:tc>
      </w:tr>
      <w:tr w:rsidR="00BD259B" w:rsidRPr="00BD259B" w:rsidTr="00BD259B">
        <w:trPr>
          <w:trHeight w:val="690"/>
        </w:trPr>
        <w:tc>
          <w:tcPr>
            <w:tcW w:w="6020" w:type="dxa"/>
            <w:gridSpan w:val="3"/>
            <w:tcBorders>
              <w:top w:val="nil"/>
              <w:left w:val="nil"/>
              <w:bottom w:val="nil"/>
              <w:right w:val="nil"/>
            </w:tcBorders>
            <w:shd w:val="clear" w:color="auto" w:fill="auto"/>
            <w:vAlign w:val="center"/>
            <w:hideMark/>
          </w:tcPr>
          <w:p w:rsidR="00BD259B" w:rsidRPr="00BD259B" w:rsidRDefault="00DB7A46" w:rsidP="00BD259B">
            <w:pPr>
              <w:spacing w:after="0" w:line="240" w:lineRule="auto"/>
              <w:jc w:val="left"/>
              <w:rPr>
                <w:rFonts w:ascii="Calibri" w:eastAsia="Times New Roman" w:hAnsi="Calibri" w:cs="Calibri"/>
                <w:i/>
                <w:iCs/>
                <w:color w:val="000000"/>
                <w:lang w:eastAsia="fr-FR"/>
              </w:rPr>
            </w:pPr>
            <w:r w:rsidRPr="00BD259B">
              <w:rPr>
                <w:rFonts w:ascii="Calibri" w:eastAsia="Times New Roman" w:hAnsi="Calibri" w:cs="Calibri"/>
                <w:i/>
                <w:iCs/>
                <w:color w:val="000000"/>
                <w:u w:val="single"/>
                <w:lang w:eastAsia="fr-FR"/>
              </w:rPr>
              <w:t>Nota</w:t>
            </w:r>
            <w:r w:rsidRPr="00BD259B">
              <w:rPr>
                <w:rFonts w:ascii="Calibri" w:eastAsia="Times New Roman" w:hAnsi="Calibri" w:cs="Calibri"/>
                <w:i/>
                <w:iCs/>
                <w:color w:val="000000"/>
                <w:lang w:eastAsia="fr-FR"/>
              </w:rPr>
              <w:t xml:space="preserve"> :</w:t>
            </w:r>
            <w:r w:rsidR="00BD259B" w:rsidRPr="00BD259B">
              <w:rPr>
                <w:rFonts w:ascii="Calibri" w:eastAsia="Times New Roman" w:hAnsi="Calibri" w:cs="Calibri"/>
                <w:i/>
                <w:iCs/>
                <w:color w:val="000000"/>
                <w:lang w:eastAsia="fr-FR"/>
              </w:rPr>
              <w:t xml:space="preserve"> sur les 3 premières années les dépenses d'énergie sont inclues dans le BOT de l'équipement électromécanique</w:t>
            </w: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i/>
                <w:iCs/>
                <w:color w:val="000000"/>
                <w:lang w:eastAsia="fr-FR"/>
              </w:rPr>
            </w:pP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881"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left"/>
              <w:rPr>
                <w:rFonts w:ascii="Calibri" w:eastAsia="Times New Roman" w:hAnsi="Calibri" w:cs="Calibri"/>
                <w:i/>
                <w:iCs/>
                <w:color w:val="FF0000"/>
                <w:lang w:eastAsia="fr-FR"/>
              </w:rPr>
            </w:pPr>
            <w:r w:rsidRPr="00BD259B">
              <w:rPr>
                <w:rFonts w:ascii="Calibri" w:eastAsia="Times New Roman" w:hAnsi="Calibri" w:cs="Calibri"/>
                <w:i/>
                <w:iCs/>
                <w:color w:val="FF0000"/>
                <w:lang w:eastAsia="fr-FR"/>
              </w:rPr>
              <w:t> </w:t>
            </w:r>
          </w:p>
        </w:tc>
      </w:tr>
      <w:tr w:rsidR="00BD259B" w:rsidRPr="00BD259B" w:rsidTr="00BD259B">
        <w:trPr>
          <w:trHeight w:val="300"/>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i/>
                <w:iCs/>
                <w:color w:val="FF0000"/>
                <w:lang w:eastAsia="fr-FR"/>
              </w:rPr>
            </w:pPr>
          </w:p>
        </w:tc>
        <w:tc>
          <w:tcPr>
            <w:tcW w:w="1860"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color w:val="000000"/>
                <w:u w:val="single"/>
                <w:lang w:eastAsia="fr-FR"/>
              </w:rPr>
            </w:pPr>
            <w:r w:rsidRPr="00BD259B">
              <w:rPr>
                <w:rFonts w:ascii="Calibri" w:eastAsia="Times New Roman" w:hAnsi="Calibri" w:cs="Calibri"/>
                <w:color w:val="000000"/>
                <w:u w:val="single"/>
                <w:lang w:eastAsia="fr-FR"/>
              </w:rPr>
              <w:t>USD/m3</w:t>
            </w: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color w:val="000000"/>
                <w:u w:val="single"/>
                <w:lang w:eastAsia="fr-FR"/>
              </w:rPr>
            </w:pP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881"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left"/>
              <w:rPr>
                <w:rFonts w:ascii="Calibri" w:eastAsia="Times New Roman" w:hAnsi="Calibri" w:cs="Calibri"/>
                <w:color w:val="000000"/>
                <w:lang w:eastAsia="fr-FR"/>
              </w:rPr>
            </w:pPr>
            <w:r w:rsidRPr="00BD259B">
              <w:rPr>
                <w:rFonts w:ascii="Calibri" w:eastAsia="Times New Roman" w:hAnsi="Calibri" w:cs="Calibri"/>
                <w:color w:val="000000"/>
                <w:lang w:eastAsia="fr-FR"/>
              </w:rPr>
              <w:t> </w:t>
            </w:r>
          </w:p>
        </w:tc>
      </w:tr>
      <w:tr w:rsidR="00BD259B" w:rsidRPr="00BD259B" w:rsidTr="00BD259B">
        <w:trPr>
          <w:trHeight w:val="300"/>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TRAITEMENT (CHLORATION) et CONTRÔLE</w:t>
            </w:r>
          </w:p>
        </w:tc>
        <w:tc>
          <w:tcPr>
            <w:tcW w:w="82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0,005</w:t>
            </w:r>
          </w:p>
        </w:tc>
        <w:tc>
          <w:tcPr>
            <w:tcW w:w="10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Calibri" w:eastAsia="Times New Roman" w:hAnsi="Calibri" w:cs="Calibri"/>
                <w:color w:val="000000"/>
                <w:lang w:eastAsia="fr-FR"/>
              </w:rPr>
            </w:pPr>
            <w:r w:rsidRPr="00BD259B">
              <w:rPr>
                <w:rFonts w:ascii="Calibri" w:eastAsia="Times New Roman" w:hAnsi="Calibri" w:cs="Calibri"/>
                <w:color w:val="000000"/>
                <w:lang w:eastAsia="fr-FR"/>
              </w:rPr>
              <w:t>USD</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3 552</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6 351</w:t>
            </w:r>
          </w:p>
        </w:tc>
        <w:tc>
          <w:tcPr>
            <w:tcW w:w="881"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8 822</w:t>
            </w: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15 154</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20 654</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26 704</w:t>
            </w: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34 452</w:t>
            </w:r>
          </w:p>
        </w:tc>
      </w:tr>
      <w:tr w:rsidR="00BD259B" w:rsidRPr="00BD259B" w:rsidTr="00E04FA7">
        <w:trPr>
          <w:trHeight w:val="340"/>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ENTRETIEN - MAINTENANCE RESEAU</w:t>
            </w:r>
          </w:p>
        </w:tc>
        <w:tc>
          <w:tcPr>
            <w:tcW w:w="82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b/>
                <w:bCs/>
                <w:color w:val="000000"/>
                <w:lang w:eastAsia="fr-FR"/>
              </w:rPr>
            </w:pPr>
          </w:p>
        </w:tc>
        <w:tc>
          <w:tcPr>
            <w:tcW w:w="1040" w:type="dxa"/>
            <w:tcBorders>
              <w:top w:val="nil"/>
              <w:left w:val="nil"/>
              <w:bottom w:val="nil"/>
              <w:right w:val="nil"/>
            </w:tcBorders>
            <w:shd w:val="clear" w:color="000000" w:fill="92D050"/>
            <w:noWrap/>
            <w:vAlign w:val="bottom"/>
            <w:hideMark/>
          </w:tcPr>
          <w:p w:rsidR="00BD259B" w:rsidRPr="00BD259B" w:rsidRDefault="00BD259B" w:rsidP="00BD259B">
            <w:pPr>
              <w:spacing w:after="0" w:line="240" w:lineRule="auto"/>
              <w:jc w:val="right"/>
              <w:rPr>
                <w:rFonts w:ascii="Calibri" w:eastAsia="Times New Roman" w:hAnsi="Calibri" w:cs="Calibri"/>
                <w:color w:val="000000"/>
                <w:lang w:eastAsia="fr-FR"/>
              </w:rPr>
            </w:pPr>
            <w:r w:rsidRPr="00BD259B">
              <w:rPr>
                <w:rFonts w:ascii="Calibri" w:eastAsia="Times New Roman" w:hAnsi="Calibri" w:cs="Calibri"/>
                <w:color w:val="000000"/>
                <w:lang w:eastAsia="fr-FR"/>
              </w:rPr>
              <w:t>0,80%</w:t>
            </w: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Calibri" w:eastAsia="Times New Roman" w:hAnsi="Calibri" w:cs="Calibri"/>
                <w:color w:val="000000"/>
                <w:lang w:eastAsia="fr-FR"/>
              </w:rPr>
            </w:pPr>
            <w:r w:rsidRPr="00BD259B">
              <w:rPr>
                <w:rFonts w:ascii="Calibri" w:eastAsia="Times New Roman" w:hAnsi="Calibri" w:cs="Calibri"/>
                <w:color w:val="000000"/>
                <w:lang w:eastAsia="fr-FR"/>
              </w:rPr>
              <w:t>USD</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43 912</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194 032</w:t>
            </w:r>
          </w:p>
        </w:tc>
        <w:tc>
          <w:tcPr>
            <w:tcW w:w="881"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272 388</w:t>
            </w: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305 260</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321 600</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344 000</w:t>
            </w: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344 000</w:t>
            </w:r>
          </w:p>
        </w:tc>
      </w:tr>
      <w:tr w:rsidR="00BD259B" w:rsidRPr="00BD259B" w:rsidTr="00BD259B">
        <w:trPr>
          <w:trHeight w:val="300"/>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VEHICULES ET ENGINS</w:t>
            </w:r>
          </w:p>
        </w:tc>
        <w:tc>
          <w:tcPr>
            <w:tcW w:w="82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b/>
                <w:bCs/>
                <w:color w:val="000000"/>
                <w:lang w:eastAsia="fr-FR"/>
              </w:rPr>
            </w:pPr>
          </w:p>
        </w:tc>
        <w:tc>
          <w:tcPr>
            <w:tcW w:w="10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Calibri" w:eastAsia="Times New Roman" w:hAnsi="Calibri" w:cs="Calibri"/>
                <w:color w:val="000000"/>
                <w:lang w:eastAsia="fr-FR"/>
              </w:rPr>
            </w:pPr>
            <w:r w:rsidRPr="00BD259B">
              <w:rPr>
                <w:rFonts w:ascii="Calibri" w:eastAsia="Times New Roman" w:hAnsi="Calibri" w:cs="Calibri"/>
                <w:color w:val="000000"/>
                <w:lang w:eastAsia="fr-FR"/>
              </w:rPr>
              <w:t>USD</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88 900</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117 450</w:t>
            </w:r>
          </w:p>
        </w:tc>
        <w:tc>
          <w:tcPr>
            <w:tcW w:w="881"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136 100</w:t>
            </w: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136 100</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154 750</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173 400</w:t>
            </w: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192 050</w:t>
            </w:r>
          </w:p>
        </w:tc>
      </w:tr>
      <w:tr w:rsidR="00BD259B" w:rsidRPr="00BD259B" w:rsidTr="00BD259B">
        <w:trPr>
          <w:trHeight w:val="300"/>
        </w:trPr>
        <w:tc>
          <w:tcPr>
            <w:tcW w:w="416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p>
        </w:tc>
        <w:tc>
          <w:tcPr>
            <w:tcW w:w="82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10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u w:val="single"/>
                <w:lang w:eastAsia="fr-FR"/>
              </w:rPr>
            </w:pPr>
            <w:r w:rsidRPr="00BD259B">
              <w:rPr>
                <w:rFonts w:ascii="Calibri" w:eastAsia="Times New Roman" w:hAnsi="Calibri" w:cs="Calibri"/>
                <w:color w:val="000000"/>
                <w:u w:val="single"/>
                <w:lang w:eastAsia="fr-FR"/>
              </w:rPr>
              <w:t>USD/br</w:t>
            </w: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color w:val="000000"/>
                <w:u w:val="single"/>
                <w:lang w:eastAsia="fr-FR"/>
              </w:rPr>
            </w:pP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881"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Times New Roman" w:eastAsia="Times New Roman" w:hAnsi="Times New Roman" w:cs="Times New Roman"/>
                <w:sz w:val="20"/>
                <w:szCs w:val="20"/>
                <w:lang w:eastAsia="fr-FR"/>
              </w:rPr>
            </w:pP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lef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 </w:t>
            </w:r>
          </w:p>
        </w:tc>
      </w:tr>
      <w:tr w:rsidR="00BD259B" w:rsidRPr="00BD259B" w:rsidTr="00BD259B">
        <w:trPr>
          <w:trHeight w:val="300"/>
        </w:trPr>
        <w:tc>
          <w:tcPr>
            <w:tcW w:w="4980"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lef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OPERATIONS COMMERCIALES SOUS-TRAITEES</w:t>
            </w:r>
          </w:p>
        </w:tc>
        <w:tc>
          <w:tcPr>
            <w:tcW w:w="10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w:t>
            </w:r>
          </w:p>
        </w:tc>
        <w:tc>
          <w:tcPr>
            <w:tcW w:w="88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center"/>
              <w:rPr>
                <w:rFonts w:ascii="Calibri" w:eastAsia="Times New Roman" w:hAnsi="Calibri" w:cs="Calibri"/>
                <w:color w:val="000000"/>
                <w:lang w:eastAsia="fr-FR"/>
              </w:rPr>
            </w:pPr>
            <w:r w:rsidRPr="00BD259B">
              <w:rPr>
                <w:rFonts w:ascii="Calibri" w:eastAsia="Times New Roman" w:hAnsi="Calibri" w:cs="Calibri"/>
                <w:color w:val="000000"/>
                <w:lang w:eastAsia="fr-FR"/>
              </w:rPr>
              <w:t>USD</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19 200</w:t>
            </w:r>
          </w:p>
        </w:tc>
        <w:tc>
          <w:tcPr>
            <w:tcW w:w="100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36 000</w:t>
            </w:r>
          </w:p>
        </w:tc>
        <w:tc>
          <w:tcPr>
            <w:tcW w:w="881"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48 000</w:t>
            </w:r>
          </w:p>
        </w:tc>
        <w:tc>
          <w:tcPr>
            <w:tcW w:w="1119" w:type="dxa"/>
            <w:gridSpan w:val="2"/>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84 000</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108 000</w:t>
            </w:r>
          </w:p>
        </w:tc>
        <w:tc>
          <w:tcPr>
            <w:tcW w:w="1140" w:type="dxa"/>
            <w:tcBorders>
              <w:top w:val="nil"/>
              <w:left w:val="nil"/>
              <w:bottom w:val="nil"/>
              <w:right w:val="nil"/>
            </w:tcBorders>
            <w:shd w:val="clear" w:color="auto" w:fill="auto"/>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144 000</w:t>
            </w:r>
          </w:p>
        </w:tc>
        <w:tc>
          <w:tcPr>
            <w:tcW w:w="1140" w:type="dxa"/>
            <w:tcBorders>
              <w:top w:val="nil"/>
              <w:left w:val="nil"/>
              <w:bottom w:val="nil"/>
              <w:right w:val="nil"/>
            </w:tcBorders>
            <w:shd w:val="clear" w:color="000000" w:fill="DDEBF7"/>
            <w:noWrap/>
            <w:vAlign w:val="bottom"/>
            <w:hideMark/>
          </w:tcPr>
          <w:p w:rsidR="00BD259B" w:rsidRPr="00BD259B" w:rsidRDefault="00BD259B" w:rsidP="00BD259B">
            <w:pPr>
              <w:spacing w:after="0" w:line="240" w:lineRule="auto"/>
              <w:jc w:val="right"/>
              <w:rPr>
                <w:rFonts w:ascii="Calibri" w:eastAsia="Times New Roman" w:hAnsi="Calibri" w:cs="Calibri"/>
                <w:b/>
                <w:bCs/>
                <w:color w:val="000000"/>
                <w:lang w:eastAsia="fr-FR"/>
              </w:rPr>
            </w:pPr>
            <w:r w:rsidRPr="00BD259B">
              <w:rPr>
                <w:rFonts w:ascii="Calibri" w:eastAsia="Times New Roman" w:hAnsi="Calibri" w:cs="Calibri"/>
                <w:b/>
                <w:bCs/>
                <w:color w:val="000000"/>
                <w:lang w:eastAsia="fr-FR"/>
              </w:rPr>
              <w:t>194 856</w:t>
            </w:r>
          </w:p>
        </w:tc>
      </w:tr>
      <w:tr w:rsidR="00E04FA7" w:rsidTr="00E04FA7">
        <w:trPr>
          <w:trHeight w:val="397"/>
        </w:trPr>
        <w:tc>
          <w:tcPr>
            <w:tcW w:w="4160" w:type="dxa"/>
            <w:tcBorders>
              <w:top w:val="nil"/>
              <w:left w:val="nil"/>
              <w:bottom w:val="nil"/>
              <w:right w:val="nil"/>
            </w:tcBorders>
            <w:shd w:val="clear" w:color="auto" w:fill="auto"/>
            <w:noWrap/>
            <w:vAlign w:val="bottom"/>
            <w:hideMark/>
          </w:tcPr>
          <w:p w:rsidR="00E04FA7" w:rsidRDefault="00E04FA7" w:rsidP="00E04FA7">
            <w:pPr>
              <w:spacing w:after="0" w:line="240" w:lineRule="auto"/>
              <w:jc w:val="left"/>
              <w:rPr>
                <w:rFonts w:ascii="Calibri" w:hAnsi="Calibri" w:cs="Calibri"/>
                <w:b/>
                <w:bCs/>
                <w:color w:val="000000"/>
              </w:rPr>
            </w:pPr>
            <w:r>
              <w:rPr>
                <w:rFonts w:ascii="Calibri" w:hAnsi="Calibri" w:cs="Calibri"/>
                <w:b/>
                <w:bCs/>
                <w:color w:val="000000"/>
              </w:rPr>
              <w:t>Charges d'exploitation /m3 distribué</w:t>
            </w:r>
          </w:p>
        </w:tc>
        <w:tc>
          <w:tcPr>
            <w:tcW w:w="820" w:type="dxa"/>
            <w:tcBorders>
              <w:top w:val="nil"/>
              <w:left w:val="nil"/>
              <w:bottom w:val="nil"/>
              <w:right w:val="nil"/>
            </w:tcBorders>
            <w:shd w:val="clear" w:color="auto" w:fill="auto"/>
            <w:noWrap/>
            <w:vAlign w:val="bottom"/>
            <w:hideMark/>
          </w:tcPr>
          <w:p w:rsidR="00E04FA7" w:rsidRDefault="00E04FA7" w:rsidP="00E04FA7">
            <w:pPr>
              <w:spacing w:after="0" w:line="240" w:lineRule="auto"/>
              <w:rPr>
                <w:rFonts w:ascii="Calibri" w:hAnsi="Calibri" w:cs="Calibri"/>
                <w:b/>
                <w:bCs/>
                <w:color w:val="000000"/>
              </w:rPr>
            </w:pPr>
          </w:p>
        </w:tc>
        <w:tc>
          <w:tcPr>
            <w:tcW w:w="1040" w:type="dxa"/>
            <w:tcBorders>
              <w:top w:val="nil"/>
              <w:left w:val="nil"/>
              <w:bottom w:val="nil"/>
              <w:right w:val="nil"/>
            </w:tcBorders>
            <w:shd w:val="clear" w:color="auto" w:fill="auto"/>
            <w:noWrap/>
            <w:vAlign w:val="bottom"/>
            <w:hideMark/>
          </w:tcPr>
          <w:p w:rsidR="00E04FA7" w:rsidRDefault="00E04FA7" w:rsidP="00E04FA7">
            <w:pPr>
              <w:spacing w:after="0" w:line="240" w:lineRule="auto"/>
              <w:rPr>
                <w:sz w:val="20"/>
                <w:szCs w:val="20"/>
              </w:rPr>
            </w:pPr>
          </w:p>
        </w:tc>
        <w:tc>
          <w:tcPr>
            <w:tcW w:w="880" w:type="dxa"/>
            <w:tcBorders>
              <w:top w:val="nil"/>
              <w:left w:val="nil"/>
              <w:bottom w:val="nil"/>
              <w:right w:val="nil"/>
            </w:tcBorders>
            <w:shd w:val="clear" w:color="auto" w:fill="auto"/>
            <w:noWrap/>
            <w:vAlign w:val="bottom"/>
            <w:hideMark/>
          </w:tcPr>
          <w:p w:rsidR="00E04FA7" w:rsidRDefault="00E04FA7" w:rsidP="00E04FA7">
            <w:pPr>
              <w:spacing w:after="0" w:line="240" w:lineRule="auto"/>
              <w:jc w:val="center"/>
              <w:rPr>
                <w:rFonts w:ascii="Calibri" w:hAnsi="Calibri" w:cs="Calibri"/>
                <w:b/>
                <w:bCs/>
                <w:color w:val="000000"/>
              </w:rPr>
            </w:pPr>
            <w:r>
              <w:rPr>
                <w:rFonts w:ascii="Calibri" w:hAnsi="Calibri" w:cs="Calibri"/>
                <w:b/>
                <w:bCs/>
                <w:color w:val="000000"/>
              </w:rPr>
              <w:t>USD/m3</w:t>
            </w:r>
          </w:p>
        </w:tc>
        <w:tc>
          <w:tcPr>
            <w:tcW w:w="1000" w:type="dxa"/>
            <w:tcBorders>
              <w:top w:val="nil"/>
              <w:left w:val="nil"/>
              <w:bottom w:val="nil"/>
              <w:right w:val="nil"/>
            </w:tcBorders>
            <w:shd w:val="clear" w:color="auto" w:fill="auto"/>
            <w:noWrap/>
            <w:vAlign w:val="bottom"/>
            <w:hideMark/>
          </w:tcPr>
          <w:p w:rsidR="00E04FA7" w:rsidRDefault="00E04FA7" w:rsidP="00E04FA7">
            <w:pPr>
              <w:spacing w:after="0" w:line="240" w:lineRule="auto"/>
              <w:jc w:val="right"/>
              <w:rPr>
                <w:rFonts w:ascii="Calibri" w:hAnsi="Calibri" w:cs="Calibri"/>
                <w:b/>
                <w:bCs/>
                <w:color w:val="000000"/>
              </w:rPr>
            </w:pPr>
            <w:r>
              <w:rPr>
                <w:rFonts w:ascii="Calibri" w:hAnsi="Calibri" w:cs="Calibri"/>
                <w:b/>
                <w:bCs/>
                <w:color w:val="000000"/>
              </w:rPr>
              <w:t>0,55</w:t>
            </w:r>
          </w:p>
        </w:tc>
        <w:tc>
          <w:tcPr>
            <w:tcW w:w="1000" w:type="dxa"/>
            <w:tcBorders>
              <w:top w:val="nil"/>
              <w:left w:val="nil"/>
              <w:bottom w:val="nil"/>
              <w:right w:val="nil"/>
            </w:tcBorders>
            <w:shd w:val="clear" w:color="auto" w:fill="auto"/>
            <w:noWrap/>
            <w:vAlign w:val="bottom"/>
            <w:hideMark/>
          </w:tcPr>
          <w:p w:rsidR="00E04FA7" w:rsidRDefault="00E04FA7" w:rsidP="00E04FA7">
            <w:pPr>
              <w:spacing w:after="0" w:line="240" w:lineRule="auto"/>
              <w:jc w:val="right"/>
              <w:rPr>
                <w:rFonts w:ascii="Calibri" w:hAnsi="Calibri" w:cs="Calibri"/>
                <w:b/>
                <w:bCs/>
                <w:color w:val="000000"/>
              </w:rPr>
            </w:pPr>
            <w:r>
              <w:rPr>
                <w:rFonts w:ascii="Calibri" w:hAnsi="Calibri" w:cs="Calibri"/>
                <w:b/>
                <w:bCs/>
                <w:color w:val="000000"/>
              </w:rPr>
              <w:t>0,50</w:t>
            </w:r>
          </w:p>
        </w:tc>
        <w:tc>
          <w:tcPr>
            <w:tcW w:w="1000" w:type="dxa"/>
            <w:gridSpan w:val="2"/>
            <w:tcBorders>
              <w:top w:val="nil"/>
              <w:left w:val="nil"/>
              <w:bottom w:val="nil"/>
              <w:right w:val="nil"/>
            </w:tcBorders>
            <w:shd w:val="clear" w:color="auto" w:fill="auto"/>
            <w:noWrap/>
            <w:vAlign w:val="bottom"/>
            <w:hideMark/>
          </w:tcPr>
          <w:p w:rsidR="00E04FA7" w:rsidRDefault="00E04FA7" w:rsidP="00E04FA7">
            <w:pPr>
              <w:spacing w:after="0" w:line="240" w:lineRule="auto"/>
              <w:jc w:val="right"/>
              <w:rPr>
                <w:rFonts w:ascii="Calibri" w:hAnsi="Calibri" w:cs="Calibri"/>
                <w:b/>
                <w:bCs/>
                <w:color w:val="000000"/>
              </w:rPr>
            </w:pPr>
            <w:r>
              <w:rPr>
                <w:rFonts w:ascii="Calibri" w:hAnsi="Calibri" w:cs="Calibri"/>
                <w:b/>
                <w:bCs/>
                <w:color w:val="000000"/>
              </w:rPr>
              <w:t>0,48</w:t>
            </w:r>
          </w:p>
        </w:tc>
        <w:tc>
          <w:tcPr>
            <w:tcW w:w="1000" w:type="dxa"/>
            <w:tcBorders>
              <w:top w:val="nil"/>
              <w:left w:val="nil"/>
              <w:bottom w:val="nil"/>
              <w:right w:val="nil"/>
            </w:tcBorders>
            <w:shd w:val="clear" w:color="auto" w:fill="auto"/>
            <w:noWrap/>
            <w:vAlign w:val="bottom"/>
            <w:hideMark/>
          </w:tcPr>
          <w:p w:rsidR="00E04FA7" w:rsidRDefault="00E04FA7" w:rsidP="00E04FA7">
            <w:pPr>
              <w:spacing w:after="0" w:line="240" w:lineRule="auto"/>
              <w:jc w:val="right"/>
              <w:rPr>
                <w:rFonts w:ascii="Calibri" w:hAnsi="Calibri" w:cs="Calibri"/>
                <w:b/>
                <w:bCs/>
                <w:color w:val="000000"/>
              </w:rPr>
            </w:pPr>
            <w:r>
              <w:rPr>
                <w:rFonts w:ascii="Calibri" w:hAnsi="Calibri" w:cs="Calibri"/>
                <w:b/>
                <w:bCs/>
                <w:color w:val="000000"/>
              </w:rPr>
              <w:t>0,43</w:t>
            </w:r>
          </w:p>
        </w:tc>
        <w:tc>
          <w:tcPr>
            <w:tcW w:w="1140" w:type="dxa"/>
            <w:tcBorders>
              <w:top w:val="nil"/>
              <w:left w:val="nil"/>
              <w:bottom w:val="nil"/>
              <w:right w:val="nil"/>
            </w:tcBorders>
            <w:shd w:val="clear" w:color="auto" w:fill="auto"/>
            <w:noWrap/>
            <w:vAlign w:val="bottom"/>
            <w:hideMark/>
          </w:tcPr>
          <w:p w:rsidR="00E04FA7" w:rsidRDefault="00E04FA7" w:rsidP="00E04FA7">
            <w:pPr>
              <w:spacing w:after="0" w:line="240" w:lineRule="auto"/>
              <w:jc w:val="right"/>
              <w:rPr>
                <w:rFonts w:ascii="Calibri" w:hAnsi="Calibri" w:cs="Calibri"/>
                <w:b/>
                <w:bCs/>
                <w:color w:val="000000"/>
              </w:rPr>
            </w:pPr>
            <w:r>
              <w:rPr>
                <w:rFonts w:ascii="Calibri" w:hAnsi="Calibri" w:cs="Calibri"/>
                <w:b/>
                <w:bCs/>
                <w:color w:val="000000"/>
              </w:rPr>
              <w:t>0,39</w:t>
            </w:r>
          </w:p>
        </w:tc>
        <w:tc>
          <w:tcPr>
            <w:tcW w:w="1140" w:type="dxa"/>
            <w:tcBorders>
              <w:top w:val="nil"/>
              <w:left w:val="nil"/>
              <w:bottom w:val="nil"/>
              <w:right w:val="nil"/>
            </w:tcBorders>
            <w:shd w:val="clear" w:color="auto" w:fill="auto"/>
            <w:noWrap/>
            <w:vAlign w:val="bottom"/>
            <w:hideMark/>
          </w:tcPr>
          <w:p w:rsidR="00E04FA7" w:rsidRDefault="00E04FA7" w:rsidP="00E04FA7">
            <w:pPr>
              <w:spacing w:after="0" w:line="240" w:lineRule="auto"/>
              <w:jc w:val="right"/>
              <w:rPr>
                <w:rFonts w:ascii="Calibri" w:hAnsi="Calibri" w:cs="Calibri"/>
                <w:b/>
                <w:bCs/>
                <w:color w:val="000000"/>
              </w:rPr>
            </w:pPr>
            <w:r>
              <w:rPr>
                <w:rFonts w:ascii="Calibri" w:hAnsi="Calibri" w:cs="Calibri"/>
                <w:b/>
                <w:bCs/>
                <w:color w:val="000000"/>
              </w:rPr>
              <w:t>0,37</w:t>
            </w:r>
          </w:p>
        </w:tc>
        <w:tc>
          <w:tcPr>
            <w:tcW w:w="1140" w:type="dxa"/>
            <w:tcBorders>
              <w:top w:val="nil"/>
              <w:left w:val="nil"/>
              <w:bottom w:val="nil"/>
              <w:right w:val="nil"/>
            </w:tcBorders>
            <w:shd w:val="clear" w:color="000000" w:fill="DDEBF7"/>
            <w:noWrap/>
            <w:vAlign w:val="bottom"/>
            <w:hideMark/>
          </w:tcPr>
          <w:p w:rsidR="00E04FA7" w:rsidRDefault="00E04FA7" w:rsidP="00E04FA7">
            <w:pPr>
              <w:spacing w:after="0" w:line="240" w:lineRule="auto"/>
              <w:jc w:val="right"/>
              <w:rPr>
                <w:rFonts w:ascii="Calibri" w:hAnsi="Calibri" w:cs="Calibri"/>
                <w:b/>
                <w:bCs/>
                <w:color w:val="000000"/>
              </w:rPr>
            </w:pPr>
            <w:r>
              <w:rPr>
                <w:rFonts w:ascii="Calibri" w:hAnsi="Calibri" w:cs="Calibri"/>
                <w:b/>
                <w:bCs/>
                <w:color w:val="000000"/>
              </w:rPr>
              <w:t>0,34</w:t>
            </w:r>
          </w:p>
        </w:tc>
      </w:tr>
      <w:tr w:rsidR="00E04FA7" w:rsidTr="00E04FA7">
        <w:trPr>
          <w:trHeight w:val="300"/>
        </w:trPr>
        <w:tc>
          <w:tcPr>
            <w:tcW w:w="4160" w:type="dxa"/>
            <w:tcBorders>
              <w:top w:val="nil"/>
              <w:left w:val="nil"/>
              <w:bottom w:val="nil"/>
              <w:right w:val="nil"/>
            </w:tcBorders>
            <w:shd w:val="clear" w:color="auto" w:fill="auto"/>
            <w:noWrap/>
            <w:vAlign w:val="bottom"/>
            <w:hideMark/>
          </w:tcPr>
          <w:p w:rsidR="00E04FA7" w:rsidRDefault="00E04FA7" w:rsidP="00E04FA7">
            <w:pPr>
              <w:spacing w:after="0" w:line="240" w:lineRule="auto"/>
              <w:jc w:val="left"/>
              <w:rPr>
                <w:rFonts w:ascii="Calibri" w:hAnsi="Calibri" w:cs="Calibri"/>
                <w:b/>
                <w:bCs/>
                <w:color w:val="000000"/>
              </w:rPr>
            </w:pPr>
            <w:r>
              <w:rPr>
                <w:rFonts w:ascii="Calibri" w:hAnsi="Calibri" w:cs="Calibri"/>
                <w:b/>
                <w:bCs/>
                <w:color w:val="000000"/>
              </w:rPr>
              <w:t>Moyenne 2019 - 2025</w:t>
            </w:r>
          </w:p>
        </w:tc>
        <w:tc>
          <w:tcPr>
            <w:tcW w:w="820" w:type="dxa"/>
            <w:tcBorders>
              <w:top w:val="nil"/>
              <w:left w:val="nil"/>
              <w:bottom w:val="nil"/>
              <w:right w:val="nil"/>
            </w:tcBorders>
            <w:shd w:val="clear" w:color="auto" w:fill="auto"/>
            <w:noWrap/>
            <w:vAlign w:val="bottom"/>
            <w:hideMark/>
          </w:tcPr>
          <w:p w:rsidR="00E04FA7" w:rsidRDefault="00E04FA7" w:rsidP="00E04FA7">
            <w:pPr>
              <w:spacing w:after="0" w:line="240" w:lineRule="auto"/>
              <w:rPr>
                <w:rFonts w:ascii="Calibri" w:hAnsi="Calibri" w:cs="Calibri"/>
                <w:b/>
                <w:bCs/>
                <w:color w:val="000000"/>
              </w:rPr>
            </w:pPr>
          </w:p>
        </w:tc>
        <w:tc>
          <w:tcPr>
            <w:tcW w:w="1040" w:type="dxa"/>
            <w:tcBorders>
              <w:top w:val="nil"/>
              <w:left w:val="nil"/>
              <w:bottom w:val="nil"/>
              <w:right w:val="nil"/>
            </w:tcBorders>
            <w:shd w:val="clear" w:color="auto" w:fill="auto"/>
            <w:noWrap/>
            <w:vAlign w:val="bottom"/>
            <w:hideMark/>
          </w:tcPr>
          <w:p w:rsidR="00E04FA7" w:rsidRDefault="00E04FA7" w:rsidP="00E04FA7">
            <w:pPr>
              <w:spacing w:after="0" w:line="240" w:lineRule="auto"/>
              <w:rPr>
                <w:sz w:val="20"/>
                <w:szCs w:val="20"/>
              </w:rPr>
            </w:pPr>
          </w:p>
        </w:tc>
        <w:tc>
          <w:tcPr>
            <w:tcW w:w="880" w:type="dxa"/>
            <w:tcBorders>
              <w:top w:val="nil"/>
              <w:left w:val="nil"/>
              <w:bottom w:val="nil"/>
              <w:right w:val="nil"/>
            </w:tcBorders>
            <w:shd w:val="clear" w:color="auto" w:fill="auto"/>
            <w:noWrap/>
            <w:vAlign w:val="bottom"/>
            <w:hideMark/>
          </w:tcPr>
          <w:p w:rsidR="00E04FA7" w:rsidRDefault="00E04FA7" w:rsidP="00E04FA7">
            <w:pPr>
              <w:spacing w:after="0" w:line="240" w:lineRule="auto"/>
              <w:jc w:val="center"/>
              <w:rPr>
                <w:rFonts w:ascii="Calibri" w:hAnsi="Calibri" w:cs="Calibri"/>
                <w:b/>
                <w:bCs/>
                <w:color w:val="000000"/>
              </w:rPr>
            </w:pPr>
            <w:r>
              <w:rPr>
                <w:rFonts w:ascii="Calibri" w:hAnsi="Calibri" w:cs="Calibri"/>
                <w:b/>
                <w:bCs/>
                <w:color w:val="000000"/>
              </w:rPr>
              <w:t>USD/m3</w:t>
            </w:r>
          </w:p>
        </w:tc>
        <w:tc>
          <w:tcPr>
            <w:tcW w:w="7420"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04FA7" w:rsidRDefault="00E04FA7" w:rsidP="00E04FA7">
            <w:pPr>
              <w:spacing w:after="0" w:line="240" w:lineRule="auto"/>
              <w:jc w:val="center"/>
              <w:rPr>
                <w:rFonts w:ascii="Calibri" w:hAnsi="Calibri" w:cs="Calibri"/>
                <w:b/>
                <w:bCs/>
                <w:color w:val="000000"/>
              </w:rPr>
            </w:pPr>
            <w:r>
              <w:rPr>
                <w:rFonts w:ascii="Calibri" w:hAnsi="Calibri" w:cs="Calibri"/>
                <w:b/>
                <w:bCs/>
                <w:color w:val="000000"/>
              </w:rPr>
              <w:t>0,39</w:t>
            </w:r>
          </w:p>
        </w:tc>
      </w:tr>
      <w:tr w:rsidR="00E04FA7" w:rsidRPr="00BD259B" w:rsidTr="00BD259B">
        <w:trPr>
          <w:trHeight w:val="300"/>
        </w:trPr>
        <w:tc>
          <w:tcPr>
            <w:tcW w:w="4980" w:type="dxa"/>
            <w:gridSpan w:val="2"/>
            <w:tcBorders>
              <w:top w:val="nil"/>
              <w:left w:val="nil"/>
              <w:bottom w:val="nil"/>
              <w:right w:val="nil"/>
            </w:tcBorders>
            <w:shd w:val="clear" w:color="auto" w:fill="auto"/>
            <w:noWrap/>
            <w:vAlign w:val="bottom"/>
          </w:tcPr>
          <w:p w:rsidR="00E04FA7" w:rsidRPr="00BD259B" w:rsidRDefault="00E04FA7" w:rsidP="00BD259B">
            <w:pPr>
              <w:spacing w:after="0" w:line="240" w:lineRule="auto"/>
              <w:jc w:val="left"/>
              <w:rPr>
                <w:rFonts w:ascii="Calibri" w:eastAsia="Times New Roman" w:hAnsi="Calibri" w:cs="Calibri"/>
                <w:b/>
                <w:bCs/>
                <w:color w:val="000000"/>
                <w:lang w:eastAsia="fr-FR"/>
              </w:rPr>
            </w:pPr>
          </w:p>
        </w:tc>
        <w:tc>
          <w:tcPr>
            <w:tcW w:w="1040" w:type="dxa"/>
            <w:tcBorders>
              <w:top w:val="nil"/>
              <w:left w:val="nil"/>
              <w:bottom w:val="nil"/>
              <w:right w:val="nil"/>
            </w:tcBorders>
            <w:shd w:val="clear" w:color="auto" w:fill="auto"/>
            <w:noWrap/>
            <w:vAlign w:val="bottom"/>
          </w:tcPr>
          <w:p w:rsidR="00E04FA7" w:rsidRPr="00BD259B" w:rsidRDefault="00E04FA7" w:rsidP="00BD259B">
            <w:pPr>
              <w:spacing w:after="0" w:line="240" w:lineRule="auto"/>
              <w:jc w:val="right"/>
              <w:rPr>
                <w:rFonts w:ascii="Calibri" w:eastAsia="Times New Roman" w:hAnsi="Calibri" w:cs="Calibri"/>
                <w:b/>
                <w:bCs/>
                <w:color w:val="000000"/>
                <w:lang w:eastAsia="fr-FR"/>
              </w:rPr>
            </w:pPr>
          </w:p>
        </w:tc>
        <w:tc>
          <w:tcPr>
            <w:tcW w:w="880" w:type="dxa"/>
            <w:tcBorders>
              <w:top w:val="nil"/>
              <w:left w:val="nil"/>
              <w:bottom w:val="nil"/>
              <w:right w:val="nil"/>
            </w:tcBorders>
            <w:shd w:val="clear" w:color="auto" w:fill="auto"/>
            <w:noWrap/>
            <w:vAlign w:val="bottom"/>
          </w:tcPr>
          <w:p w:rsidR="00E04FA7" w:rsidRPr="00BD259B" w:rsidRDefault="00E04FA7" w:rsidP="00BD259B">
            <w:pPr>
              <w:spacing w:after="0" w:line="240" w:lineRule="auto"/>
              <w:jc w:val="center"/>
              <w:rPr>
                <w:rFonts w:ascii="Calibri" w:eastAsia="Times New Roman" w:hAnsi="Calibri" w:cs="Calibri"/>
                <w:color w:val="000000"/>
                <w:lang w:eastAsia="fr-FR"/>
              </w:rPr>
            </w:pPr>
          </w:p>
        </w:tc>
        <w:tc>
          <w:tcPr>
            <w:tcW w:w="1000" w:type="dxa"/>
            <w:tcBorders>
              <w:top w:val="nil"/>
              <w:left w:val="nil"/>
              <w:bottom w:val="nil"/>
              <w:right w:val="nil"/>
            </w:tcBorders>
            <w:shd w:val="clear" w:color="auto" w:fill="auto"/>
            <w:noWrap/>
            <w:vAlign w:val="bottom"/>
          </w:tcPr>
          <w:p w:rsidR="00E04FA7" w:rsidRPr="00BD259B" w:rsidRDefault="00E04FA7" w:rsidP="00BD259B">
            <w:pPr>
              <w:spacing w:after="0" w:line="240" w:lineRule="auto"/>
              <w:jc w:val="right"/>
              <w:rPr>
                <w:rFonts w:ascii="Calibri" w:eastAsia="Times New Roman" w:hAnsi="Calibri" w:cs="Calibri"/>
                <w:b/>
                <w:bCs/>
                <w:color w:val="000000"/>
                <w:lang w:eastAsia="fr-FR"/>
              </w:rPr>
            </w:pPr>
          </w:p>
        </w:tc>
        <w:tc>
          <w:tcPr>
            <w:tcW w:w="1000" w:type="dxa"/>
            <w:tcBorders>
              <w:top w:val="nil"/>
              <w:left w:val="nil"/>
              <w:bottom w:val="nil"/>
              <w:right w:val="nil"/>
            </w:tcBorders>
            <w:shd w:val="clear" w:color="auto" w:fill="auto"/>
            <w:noWrap/>
            <w:vAlign w:val="bottom"/>
          </w:tcPr>
          <w:p w:rsidR="00E04FA7" w:rsidRPr="00BD259B" w:rsidRDefault="00E04FA7" w:rsidP="00BD259B">
            <w:pPr>
              <w:spacing w:after="0" w:line="240" w:lineRule="auto"/>
              <w:jc w:val="right"/>
              <w:rPr>
                <w:rFonts w:ascii="Calibri" w:eastAsia="Times New Roman" w:hAnsi="Calibri" w:cs="Calibri"/>
                <w:b/>
                <w:bCs/>
                <w:color w:val="000000"/>
                <w:lang w:eastAsia="fr-FR"/>
              </w:rPr>
            </w:pPr>
          </w:p>
        </w:tc>
        <w:tc>
          <w:tcPr>
            <w:tcW w:w="881" w:type="dxa"/>
            <w:tcBorders>
              <w:top w:val="nil"/>
              <w:left w:val="nil"/>
              <w:bottom w:val="nil"/>
              <w:right w:val="nil"/>
            </w:tcBorders>
            <w:shd w:val="clear" w:color="auto" w:fill="auto"/>
            <w:noWrap/>
            <w:vAlign w:val="bottom"/>
          </w:tcPr>
          <w:p w:rsidR="00E04FA7" w:rsidRPr="00BD259B" w:rsidRDefault="00E04FA7" w:rsidP="00BD259B">
            <w:pPr>
              <w:spacing w:after="0" w:line="240" w:lineRule="auto"/>
              <w:jc w:val="right"/>
              <w:rPr>
                <w:rFonts w:ascii="Calibri" w:eastAsia="Times New Roman" w:hAnsi="Calibri" w:cs="Calibri"/>
                <w:b/>
                <w:bCs/>
                <w:color w:val="000000"/>
                <w:lang w:eastAsia="fr-FR"/>
              </w:rPr>
            </w:pPr>
          </w:p>
        </w:tc>
        <w:tc>
          <w:tcPr>
            <w:tcW w:w="1119" w:type="dxa"/>
            <w:gridSpan w:val="2"/>
            <w:tcBorders>
              <w:top w:val="nil"/>
              <w:left w:val="nil"/>
              <w:bottom w:val="nil"/>
              <w:right w:val="nil"/>
            </w:tcBorders>
            <w:shd w:val="clear" w:color="auto" w:fill="auto"/>
            <w:noWrap/>
            <w:vAlign w:val="bottom"/>
          </w:tcPr>
          <w:p w:rsidR="00E04FA7" w:rsidRPr="00BD259B" w:rsidRDefault="00E04FA7" w:rsidP="00BD259B">
            <w:pPr>
              <w:spacing w:after="0" w:line="240" w:lineRule="auto"/>
              <w:jc w:val="right"/>
              <w:rPr>
                <w:rFonts w:ascii="Calibri" w:eastAsia="Times New Roman" w:hAnsi="Calibri" w:cs="Calibri"/>
                <w:b/>
                <w:bCs/>
                <w:color w:val="000000"/>
                <w:lang w:eastAsia="fr-FR"/>
              </w:rPr>
            </w:pPr>
          </w:p>
        </w:tc>
        <w:tc>
          <w:tcPr>
            <w:tcW w:w="1140" w:type="dxa"/>
            <w:tcBorders>
              <w:top w:val="nil"/>
              <w:left w:val="nil"/>
              <w:bottom w:val="nil"/>
              <w:right w:val="nil"/>
            </w:tcBorders>
            <w:shd w:val="clear" w:color="auto" w:fill="auto"/>
            <w:noWrap/>
            <w:vAlign w:val="bottom"/>
          </w:tcPr>
          <w:p w:rsidR="00E04FA7" w:rsidRPr="00BD259B" w:rsidRDefault="00E04FA7" w:rsidP="00BD259B">
            <w:pPr>
              <w:spacing w:after="0" w:line="240" w:lineRule="auto"/>
              <w:jc w:val="right"/>
              <w:rPr>
                <w:rFonts w:ascii="Calibri" w:eastAsia="Times New Roman" w:hAnsi="Calibri" w:cs="Calibri"/>
                <w:b/>
                <w:bCs/>
                <w:color w:val="000000"/>
                <w:lang w:eastAsia="fr-FR"/>
              </w:rPr>
            </w:pPr>
          </w:p>
        </w:tc>
        <w:tc>
          <w:tcPr>
            <w:tcW w:w="1140" w:type="dxa"/>
            <w:tcBorders>
              <w:top w:val="nil"/>
              <w:left w:val="nil"/>
              <w:bottom w:val="nil"/>
              <w:right w:val="nil"/>
            </w:tcBorders>
            <w:shd w:val="clear" w:color="auto" w:fill="auto"/>
            <w:noWrap/>
            <w:vAlign w:val="bottom"/>
          </w:tcPr>
          <w:p w:rsidR="00E04FA7" w:rsidRPr="00BD259B" w:rsidRDefault="00E04FA7" w:rsidP="00BD259B">
            <w:pPr>
              <w:spacing w:after="0" w:line="240" w:lineRule="auto"/>
              <w:jc w:val="right"/>
              <w:rPr>
                <w:rFonts w:ascii="Calibri" w:eastAsia="Times New Roman" w:hAnsi="Calibri" w:cs="Calibri"/>
                <w:b/>
                <w:bCs/>
                <w:color w:val="000000"/>
                <w:lang w:eastAsia="fr-FR"/>
              </w:rPr>
            </w:pPr>
          </w:p>
        </w:tc>
        <w:tc>
          <w:tcPr>
            <w:tcW w:w="1140" w:type="dxa"/>
            <w:tcBorders>
              <w:top w:val="nil"/>
              <w:left w:val="nil"/>
              <w:bottom w:val="nil"/>
              <w:right w:val="nil"/>
            </w:tcBorders>
            <w:shd w:val="clear" w:color="000000" w:fill="DDEBF7"/>
            <w:noWrap/>
            <w:vAlign w:val="bottom"/>
          </w:tcPr>
          <w:p w:rsidR="00E04FA7" w:rsidRPr="00BD259B" w:rsidRDefault="00E04FA7" w:rsidP="00BD259B">
            <w:pPr>
              <w:spacing w:after="0" w:line="240" w:lineRule="auto"/>
              <w:jc w:val="right"/>
              <w:rPr>
                <w:rFonts w:ascii="Calibri" w:eastAsia="Times New Roman" w:hAnsi="Calibri" w:cs="Calibri"/>
                <w:b/>
                <w:bCs/>
                <w:color w:val="000000"/>
                <w:lang w:eastAsia="fr-FR"/>
              </w:rPr>
            </w:pPr>
          </w:p>
        </w:tc>
      </w:tr>
    </w:tbl>
    <w:p w:rsidR="00FF3570" w:rsidRDefault="00FF3570" w:rsidP="000A0A4D">
      <w:pPr>
        <w:sectPr w:rsidR="00FF3570" w:rsidSect="004B610B">
          <w:pgSz w:w="16838" w:h="11906" w:orient="landscape"/>
          <w:pgMar w:top="1417" w:right="1417" w:bottom="1417" w:left="1417" w:header="708" w:footer="708" w:gutter="0"/>
          <w:cols w:space="708"/>
          <w:docGrid w:linePitch="360"/>
        </w:sectPr>
      </w:pPr>
    </w:p>
    <w:p w:rsidR="002F0A24" w:rsidRDefault="002F0A24" w:rsidP="00BD7EF5">
      <w:pPr>
        <w:pStyle w:val="Heading1"/>
        <w:numPr>
          <w:ilvl w:val="0"/>
          <w:numId w:val="13"/>
        </w:numPr>
      </w:pPr>
      <w:r>
        <w:lastRenderedPageBreak/>
        <w:t>Suppositions pour realisation du Plan d’affaires</w:t>
      </w:r>
    </w:p>
    <w:p w:rsidR="00B62B4F" w:rsidRPr="00C1160F" w:rsidRDefault="00AE6972" w:rsidP="00C1160F">
      <w:pPr>
        <w:pStyle w:val="ListParagraph"/>
        <w:numPr>
          <w:ilvl w:val="0"/>
          <w:numId w:val="14"/>
        </w:numPr>
        <w:rPr>
          <w:rFonts w:ascii="Arial" w:hAnsi="Arial" w:cs="Arial"/>
          <w:b/>
          <w:sz w:val="26"/>
          <w:szCs w:val="26"/>
        </w:rPr>
      </w:pPr>
      <w:r w:rsidRPr="00C1160F">
        <w:rPr>
          <w:rFonts w:ascii="Arial" w:hAnsi="Arial" w:cs="Arial"/>
          <w:b/>
          <w:sz w:val="26"/>
          <w:szCs w:val="26"/>
        </w:rPr>
        <w:t>P</w:t>
      </w:r>
      <w:r w:rsidR="00FC02E4" w:rsidRPr="00C1160F">
        <w:rPr>
          <w:rFonts w:ascii="Arial" w:hAnsi="Arial" w:cs="Arial"/>
          <w:b/>
          <w:sz w:val="26"/>
          <w:szCs w:val="26"/>
        </w:rPr>
        <w:t>OPULATION</w:t>
      </w:r>
    </w:p>
    <w:p w:rsidR="00AE6972" w:rsidRPr="00C30B38" w:rsidRDefault="00AE6972" w:rsidP="000A0A4D">
      <w:pPr>
        <w:rPr>
          <w:rFonts w:ascii="Arial" w:hAnsi="Arial" w:cs="Arial"/>
          <w:sz w:val="24"/>
          <w:szCs w:val="24"/>
        </w:rPr>
      </w:pPr>
      <w:r w:rsidRPr="00C30B38">
        <w:rPr>
          <w:rFonts w:ascii="Arial" w:hAnsi="Arial" w:cs="Arial"/>
          <w:sz w:val="24"/>
          <w:szCs w:val="24"/>
        </w:rPr>
        <w:t>La population en 2019 a été estimée à 443 708 habitants. Elle devrait atteindre 584 591 habitants en 2025 en considérant que le taux de croissance actuel de 4,70%/an se maintiendrait.</w:t>
      </w:r>
    </w:p>
    <w:p w:rsidR="00AE6972" w:rsidRPr="00C1160F" w:rsidRDefault="00FC02E4" w:rsidP="00C1160F">
      <w:pPr>
        <w:pStyle w:val="ListParagraph"/>
        <w:numPr>
          <w:ilvl w:val="0"/>
          <w:numId w:val="14"/>
        </w:numPr>
        <w:rPr>
          <w:rFonts w:ascii="Arial" w:hAnsi="Arial" w:cs="Arial"/>
          <w:b/>
          <w:sz w:val="26"/>
          <w:szCs w:val="26"/>
        </w:rPr>
      </w:pPr>
      <w:r w:rsidRPr="00C1160F">
        <w:rPr>
          <w:rFonts w:ascii="Arial" w:hAnsi="Arial" w:cs="Arial"/>
          <w:b/>
          <w:sz w:val="26"/>
          <w:szCs w:val="26"/>
        </w:rPr>
        <w:t>COUVERTURE</w:t>
      </w:r>
      <w:r w:rsidR="00803E30" w:rsidRPr="00C1160F">
        <w:rPr>
          <w:rFonts w:ascii="Arial" w:hAnsi="Arial" w:cs="Arial"/>
          <w:b/>
          <w:sz w:val="26"/>
          <w:szCs w:val="26"/>
        </w:rPr>
        <w:t xml:space="preserve"> </w:t>
      </w:r>
    </w:p>
    <w:p w:rsidR="00AE6972" w:rsidRPr="00C30B38" w:rsidRDefault="00AE6972" w:rsidP="000A0A4D">
      <w:pPr>
        <w:rPr>
          <w:rFonts w:ascii="Arial" w:hAnsi="Arial" w:cs="Arial"/>
          <w:sz w:val="24"/>
          <w:szCs w:val="24"/>
        </w:rPr>
      </w:pPr>
      <w:r w:rsidRPr="00C30B38">
        <w:rPr>
          <w:rFonts w:ascii="Arial" w:hAnsi="Arial" w:cs="Arial"/>
          <w:sz w:val="24"/>
          <w:szCs w:val="24"/>
        </w:rPr>
        <w:t xml:space="preserve">La couverture actuelle est extrêmement faible (quelques </w:t>
      </w:r>
      <w:r w:rsidR="00880D84" w:rsidRPr="00C30B38">
        <w:rPr>
          <w:rFonts w:ascii="Arial" w:hAnsi="Arial" w:cs="Arial"/>
          <w:sz w:val="24"/>
          <w:szCs w:val="24"/>
        </w:rPr>
        <w:t>%</w:t>
      </w:r>
      <w:r w:rsidRPr="00C30B38">
        <w:rPr>
          <w:rFonts w:ascii="Arial" w:hAnsi="Arial" w:cs="Arial"/>
          <w:sz w:val="24"/>
          <w:szCs w:val="24"/>
        </w:rPr>
        <w:t xml:space="preserve">). L’objectif est d’atteindre environ 50% de couverture en 2025, tous </w:t>
      </w:r>
      <w:r w:rsidR="00DB7A46" w:rsidRPr="00C30B38">
        <w:rPr>
          <w:rFonts w:ascii="Arial" w:hAnsi="Arial" w:cs="Arial"/>
          <w:sz w:val="24"/>
          <w:szCs w:val="24"/>
        </w:rPr>
        <w:t>modes de</w:t>
      </w:r>
      <w:r w:rsidRPr="00C30B38">
        <w:rPr>
          <w:rFonts w:ascii="Arial" w:hAnsi="Arial" w:cs="Arial"/>
          <w:sz w:val="24"/>
          <w:szCs w:val="24"/>
        </w:rPr>
        <w:t xml:space="preserve"> desserte confondus.</w:t>
      </w:r>
    </w:p>
    <w:p w:rsidR="00AE6972" w:rsidRPr="00C30B38" w:rsidRDefault="00AE6972" w:rsidP="000A0A4D">
      <w:pPr>
        <w:rPr>
          <w:rFonts w:ascii="Arial" w:hAnsi="Arial" w:cs="Arial"/>
          <w:sz w:val="24"/>
          <w:szCs w:val="24"/>
        </w:rPr>
      </w:pPr>
      <w:r w:rsidRPr="00C30B38">
        <w:rPr>
          <w:rFonts w:ascii="Arial" w:hAnsi="Arial" w:cs="Arial"/>
          <w:sz w:val="24"/>
          <w:szCs w:val="24"/>
        </w:rPr>
        <w:t>Un effort particulier sera consacré au développement des branchements particuliers</w:t>
      </w:r>
      <w:r w:rsidR="00225B2E" w:rsidRPr="00C30B38">
        <w:rPr>
          <w:rFonts w:ascii="Arial" w:hAnsi="Arial" w:cs="Arial"/>
          <w:sz w:val="24"/>
          <w:szCs w:val="24"/>
        </w:rPr>
        <w:t xml:space="preserve"> qui devrai</w:t>
      </w:r>
      <w:r w:rsidR="00880D84" w:rsidRPr="00C30B38">
        <w:rPr>
          <w:rFonts w:ascii="Arial" w:hAnsi="Arial" w:cs="Arial"/>
          <w:sz w:val="24"/>
          <w:szCs w:val="24"/>
        </w:rPr>
        <w:t>en</w:t>
      </w:r>
      <w:r w:rsidR="00225B2E" w:rsidRPr="00C30B38">
        <w:rPr>
          <w:rFonts w:ascii="Arial" w:hAnsi="Arial" w:cs="Arial"/>
          <w:sz w:val="24"/>
          <w:szCs w:val="24"/>
        </w:rPr>
        <w:t xml:space="preserve">t alimenter un tiers de la population à l’horizon 2025. </w:t>
      </w:r>
    </w:p>
    <w:p w:rsidR="00FC02E4" w:rsidRPr="00C30B38" w:rsidRDefault="00830357" w:rsidP="000A0A4D">
      <w:pPr>
        <w:rPr>
          <w:rFonts w:ascii="Arial" w:hAnsi="Arial" w:cs="Arial"/>
          <w:sz w:val="24"/>
          <w:szCs w:val="24"/>
        </w:rPr>
      </w:pPr>
      <w:r w:rsidRPr="00C30B38">
        <w:rPr>
          <w:rFonts w:ascii="Arial" w:hAnsi="Arial" w:cs="Arial"/>
          <w:sz w:val="24"/>
          <w:szCs w:val="24"/>
        </w:rPr>
        <w:t xml:space="preserve">Sur la base des enquêtes, il a été retenu les ratios moyens suivants : </w:t>
      </w:r>
    </w:p>
    <w:p w:rsidR="00FC02E4" w:rsidRPr="00C30B38" w:rsidRDefault="00830357" w:rsidP="000A0A4D">
      <w:pPr>
        <w:pStyle w:val="ListParagraph"/>
        <w:numPr>
          <w:ilvl w:val="1"/>
          <w:numId w:val="1"/>
        </w:numPr>
        <w:rPr>
          <w:rFonts w:ascii="Arial" w:hAnsi="Arial" w:cs="Arial"/>
          <w:sz w:val="24"/>
          <w:szCs w:val="24"/>
        </w:rPr>
      </w:pPr>
      <w:r w:rsidRPr="00C30B38">
        <w:rPr>
          <w:rFonts w:ascii="Arial" w:hAnsi="Arial" w:cs="Arial"/>
          <w:sz w:val="24"/>
          <w:szCs w:val="24"/>
        </w:rPr>
        <w:t>2,1 ménages/branchement</w:t>
      </w:r>
      <w:r w:rsidR="00FC02E4" w:rsidRPr="00C30B38">
        <w:rPr>
          <w:rFonts w:ascii="Arial" w:hAnsi="Arial" w:cs="Arial"/>
          <w:sz w:val="24"/>
          <w:szCs w:val="24"/>
        </w:rPr>
        <w:t>,</w:t>
      </w:r>
      <w:r w:rsidRPr="00C30B38">
        <w:rPr>
          <w:rFonts w:ascii="Arial" w:hAnsi="Arial" w:cs="Arial"/>
          <w:sz w:val="24"/>
          <w:szCs w:val="24"/>
        </w:rPr>
        <w:t xml:space="preserve"> et</w:t>
      </w:r>
      <w:r w:rsidR="00FC02E4" w:rsidRPr="00C30B38">
        <w:rPr>
          <w:rFonts w:ascii="Arial" w:hAnsi="Arial" w:cs="Arial"/>
          <w:sz w:val="24"/>
          <w:szCs w:val="24"/>
        </w:rPr>
        <w:t> ;</w:t>
      </w:r>
    </w:p>
    <w:p w:rsidR="00830357" w:rsidRPr="00C30B38" w:rsidRDefault="00DB7A46" w:rsidP="000A0A4D">
      <w:pPr>
        <w:pStyle w:val="ListParagraph"/>
        <w:numPr>
          <w:ilvl w:val="1"/>
          <w:numId w:val="1"/>
        </w:numPr>
        <w:rPr>
          <w:rFonts w:ascii="Arial" w:hAnsi="Arial" w:cs="Arial"/>
          <w:sz w:val="24"/>
          <w:szCs w:val="24"/>
        </w:rPr>
      </w:pPr>
      <w:r w:rsidRPr="00C30B38">
        <w:rPr>
          <w:rFonts w:ascii="Arial" w:hAnsi="Arial" w:cs="Arial"/>
          <w:sz w:val="24"/>
          <w:szCs w:val="24"/>
        </w:rPr>
        <w:t>Une</w:t>
      </w:r>
      <w:r w:rsidR="00830357" w:rsidRPr="00C30B38">
        <w:rPr>
          <w:rFonts w:ascii="Arial" w:hAnsi="Arial" w:cs="Arial"/>
          <w:sz w:val="24"/>
          <w:szCs w:val="24"/>
        </w:rPr>
        <w:t xml:space="preserve"> taille de ménage de 5,8 personnes</w:t>
      </w:r>
    </w:p>
    <w:p w:rsidR="00225B2E" w:rsidRPr="00C30B38" w:rsidRDefault="00225B2E" w:rsidP="000A0A4D">
      <w:pPr>
        <w:rPr>
          <w:rFonts w:ascii="Arial" w:hAnsi="Arial" w:cs="Arial"/>
          <w:sz w:val="24"/>
          <w:szCs w:val="24"/>
        </w:rPr>
      </w:pPr>
      <w:r w:rsidRPr="00C30B38">
        <w:rPr>
          <w:rFonts w:ascii="Arial" w:hAnsi="Arial" w:cs="Arial"/>
          <w:sz w:val="24"/>
          <w:szCs w:val="24"/>
        </w:rPr>
        <w:t>Le reste de la desserte sera assuré :</w:t>
      </w:r>
    </w:p>
    <w:p w:rsidR="00FC02E4" w:rsidRPr="00C30B38" w:rsidRDefault="00DB7A46" w:rsidP="000A0A4D">
      <w:pPr>
        <w:pStyle w:val="ListParagraph"/>
        <w:numPr>
          <w:ilvl w:val="0"/>
          <w:numId w:val="1"/>
        </w:numPr>
        <w:rPr>
          <w:rFonts w:ascii="Arial" w:hAnsi="Arial" w:cs="Arial"/>
          <w:sz w:val="24"/>
          <w:szCs w:val="24"/>
        </w:rPr>
      </w:pPr>
      <w:r w:rsidRPr="00C30B38">
        <w:rPr>
          <w:rFonts w:ascii="Arial" w:hAnsi="Arial" w:cs="Arial"/>
          <w:sz w:val="24"/>
          <w:szCs w:val="24"/>
        </w:rPr>
        <w:t>Par</w:t>
      </w:r>
      <w:r w:rsidR="00225B2E" w:rsidRPr="00C30B38">
        <w:rPr>
          <w:rFonts w:ascii="Arial" w:hAnsi="Arial" w:cs="Arial"/>
          <w:sz w:val="24"/>
          <w:szCs w:val="24"/>
        </w:rPr>
        <w:t xml:space="preserve"> des kiosques dont le nombre ira croissant jusqu’à 90 kiosques à l’horizon 2025</w:t>
      </w:r>
      <w:r w:rsidR="00830357" w:rsidRPr="00C30B38">
        <w:rPr>
          <w:rFonts w:ascii="Arial" w:hAnsi="Arial" w:cs="Arial"/>
          <w:sz w:val="24"/>
          <w:szCs w:val="24"/>
        </w:rPr>
        <w:t xml:space="preserve">. Les ratios </w:t>
      </w:r>
      <w:r w:rsidR="00803E30" w:rsidRPr="00C30B38">
        <w:rPr>
          <w:rFonts w:ascii="Arial" w:hAnsi="Arial" w:cs="Arial"/>
          <w:sz w:val="24"/>
          <w:szCs w:val="24"/>
        </w:rPr>
        <w:t xml:space="preserve">de desserte </w:t>
      </w:r>
      <w:r w:rsidR="00830357" w:rsidRPr="00C30B38">
        <w:rPr>
          <w:rFonts w:ascii="Arial" w:hAnsi="Arial" w:cs="Arial"/>
          <w:sz w:val="24"/>
          <w:szCs w:val="24"/>
        </w:rPr>
        <w:t xml:space="preserve">adoptés sur la base des enquêtes sont : </w:t>
      </w:r>
    </w:p>
    <w:p w:rsidR="00FC02E4" w:rsidRPr="00C30B38" w:rsidRDefault="00830357" w:rsidP="000A0A4D">
      <w:pPr>
        <w:pStyle w:val="ListParagraph"/>
        <w:numPr>
          <w:ilvl w:val="1"/>
          <w:numId w:val="1"/>
        </w:numPr>
        <w:rPr>
          <w:rFonts w:ascii="Arial" w:hAnsi="Arial" w:cs="Arial"/>
          <w:sz w:val="24"/>
          <w:szCs w:val="24"/>
        </w:rPr>
      </w:pPr>
      <w:r w:rsidRPr="00C30B38">
        <w:rPr>
          <w:rFonts w:ascii="Arial" w:hAnsi="Arial" w:cs="Arial"/>
          <w:sz w:val="24"/>
          <w:szCs w:val="24"/>
        </w:rPr>
        <w:t>1 kiosque pour 100 ménages</w:t>
      </w:r>
      <w:r w:rsidR="00FC02E4" w:rsidRPr="00C30B38">
        <w:rPr>
          <w:rFonts w:ascii="Arial" w:hAnsi="Arial" w:cs="Arial"/>
          <w:sz w:val="24"/>
          <w:szCs w:val="24"/>
        </w:rPr>
        <w:t>,</w:t>
      </w:r>
      <w:r w:rsidRPr="00C30B38">
        <w:rPr>
          <w:rFonts w:ascii="Arial" w:hAnsi="Arial" w:cs="Arial"/>
          <w:sz w:val="24"/>
          <w:szCs w:val="24"/>
        </w:rPr>
        <w:t xml:space="preserve"> et</w:t>
      </w:r>
      <w:r w:rsidR="00FC02E4" w:rsidRPr="00C30B38">
        <w:rPr>
          <w:rFonts w:ascii="Arial" w:hAnsi="Arial" w:cs="Arial"/>
          <w:sz w:val="24"/>
          <w:szCs w:val="24"/>
        </w:rPr>
        <w:t> ;</w:t>
      </w:r>
    </w:p>
    <w:p w:rsidR="00830357" w:rsidRPr="00C30B38" w:rsidRDefault="00830357" w:rsidP="000A0A4D">
      <w:pPr>
        <w:pStyle w:val="ListParagraph"/>
        <w:numPr>
          <w:ilvl w:val="1"/>
          <w:numId w:val="1"/>
        </w:numPr>
        <w:rPr>
          <w:rFonts w:ascii="Arial" w:hAnsi="Arial" w:cs="Arial"/>
          <w:sz w:val="24"/>
          <w:szCs w:val="24"/>
        </w:rPr>
      </w:pPr>
      <w:r w:rsidRPr="00C30B38">
        <w:rPr>
          <w:rFonts w:ascii="Arial" w:hAnsi="Arial" w:cs="Arial"/>
          <w:sz w:val="24"/>
          <w:szCs w:val="24"/>
        </w:rPr>
        <w:t xml:space="preserve"> </w:t>
      </w:r>
      <w:r w:rsidR="00DB7A46" w:rsidRPr="00C30B38">
        <w:rPr>
          <w:rFonts w:ascii="Arial" w:hAnsi="Arial" w:cs="Arial"/>
          <w:sz w:val="24"/>
          <w:szCs w:val="24"/>
        </w:rPr>
        <w:t>Taille</w:t>
      </w:r>
      <w:r w:rsidRPr="00C30B38">
        <w:rPr>
          <w:rFonts w:ascii="Arial" w:hAnsi="Arial" w:cs="Arial"/>
          <w:sz w:val="24"/>
          <w:szCs w:val="24"/>
        </w:rPr>
        <w:t xml:space="preserve"> moyenne de ménage</w:t>
      </w:r>
      <w:r w:rsidR="00FC02E4" w:rsidRPr="00C30B38">
        <w:rPr>
          <w:rFonts w:ascii="Arial" w:hAnsi="Arial" w:cs="Arial"/>
          <w:sz w:val="24"/>
          <w:szCs w:val="24"/>
        </w:rPr>
        <w:t> :</w:t>
      </w:r>
      <w:r w:rsidRPr="00C30B38">
        <w:rPr>
          <w:rFonts w:ascii="Arial" w:hAnsi="Arial" w:cs="Arial"/>
          <w:sz w:val="24"/>
          <w:szCs w:val="24"/>
        </w:rPr>
        <w:t xml:space="preserve"> 6 personnes.</w:t>
      </w:r>
    </w:p>
    <w:p w:rsidR="00225B2E" w:rsidRPr="00C30B38" w:rsidRDefault="00423748" w:rsidP="000A0A4D">
      <w:pPr>
        <w:rPr>
          <w:rFonts w:ascii="Arial" w:hAnsi="Arial" w:cs="Arial"/>
          <w:sz w:val="24"/>
          <w:szCs w:val="24"/>
        </w:rPr>
      </w:pPr>
      <w:r w:rsidRPr="00C30B38">
        <w:rPr>
          <w:rFonts w:ascii="Arial" w:hAnsi="Arial" w:cs="Arial"/>
          <w:sz w:val="24"/>
          <w:szCs w:val="24"/>
        </w:rPr>
        <w:t>Et</w:t>
      </w:r>
      <w:r w:rsidR="00225B2E" w:rsidRPr="00C30B38">
        <w:rPr>
          <w:rFonts w:ascii="Arial" w:hAnsi="Arial" w:cs="Arial"/>
          <w:sz w:val="24"/>
          <w:szCs w:val="24"/>
        </w:rPr>
        <w:t>,</w:t>
      </w:r>
    </w:p>
    <w:p w:rsidR="00225B2E" w:rsidRPr="00C30B38" w:rsidRDefault="00DB7A46" w:rsidP="000A0A4D">
      <w:pPr>
        <w:pStyle w:val="ListParagraph"/>
        <w:numPr>
          <w:ilvl w:val="0"/>
          <w:numId w:val="1"/>
        </w:numPr>
        <w:rPr>
          <w:rFonts w:ascii="Arial" w:hAnsi="Arial" w:cs="Arial"/>
          <w:sz w:val="24"/>
          <w:szCs w:val="24"/>
        </w:rPr>
      </w:pPr>
      <w:r w:rsidRPr="00C30B38">
        <w:rPr>
          <w:rFonts w:ascii="Arial" w:hAnsi="Arial" w:cs="Arial"/>
          <w:sz w:val="24"/>
          <w:szCs w:val="24"/>
        </w:rPr>
        <w:t>Par</w:t>
      </w:r>
      <w:r w:rsidR="00225B2E" w:rsidRPr="00C30B38">
        <w:rPr>
          <w:rFonts w:ascii="Arial" w:hAnsi="Arial" w:cs="Arial"/>
          <w:sz w:val="24"/>
          <w:szCs w:val="24"/>
        </w:rPr>
        <w:t xml:space="preserve"> des systèmes dits cond</w:t>
      </w:r>
      <w:r w:rsidR="00830357" w:rsidRPr="00C30B38">
        <w:rPr>
          <w:rFonts w:ascii="Arial" w:hAnsi="Arial" w:cs="Arial"/>
          <w:sz w:val="24"/>
          <w:szCs w:val="24"/>
        </w:rPr>
        <w:t>o</w:t>
      </w:r>
      <w:r w:rsidR="00225B2E" w:rsidRPr="00C30B38">
        <w:rPr>
          <w:rFonts w:ascii="Arial" w:hAnsi="Arial" w:cs="Arial"/>
          <w:sz w:val="24"/>
          <w:szCs w:val="24"/>
        </w:rPr>
        <w:t xml:space="preserve">miniaux </w:t>
      </w:r>
      <w:r w:rsidR="006333D9" w:rsidRPr="00C30B38">
        <w:rPr>
          <w:rFonts w:ascii="Arial" w:hAnsi="Arial" w:cs="Arial"/>
          <w:sz w:val="24"/>
          <w:szCs w:val="24"/>
        </w:rPr>
        <w:t>dans les zones d’habitat non tramé de type périurbain</w:t>
      </w:r>
      <w:r w:rsidR="00830357" w:rsidRPr="00C30B38">
        <w:rPr>
          <w:rFonts w:ascii="Arial" w:hAnsi="Arial" w:cs="Arial"/>
          <w:sz w:val="24"/>
          <w:szCs w:val="24"/>
        </w:rPr>
        <w:t xml:space="preserve"> correspondant généralement à des quartiers défavorisés. </w:t>
      </w:r>
      <w:r w:rsidR="006333D9" w:rsidRPr="00C30B38">
        <w:rPr>
          <w:rFonts w:ascii="Arial" w:hAnsi="Arial" w:cs="Arial"/>
          <w:sz w:val="24"/>
          <w:szCs w:val="24"/>
        </w:rPr>
        <w:t>Le principe consiste à construire un petit réseau alimentant un groupe d’habitation</w:t>
      </w:r>
      <w:r w:rsidR="00880D84" w:rsidRPr="00C30B38">
        <w:rPr>
          <w:rFonts w:ascii="Arial" w:hAnsi="Arial" w:cs="Arial"/>
          <w:sz w:val="24"/>
          <w:szCs w:val="24"/>
        </w:rPr>
        <w:t>s</w:t>
      </w:r>
      <w:r w:rsidR="006333D9" w:rsidRPr="00C30B38">
        <w:rPr>
          <w:rFonts w:ascii="Arial" w:hAnsi="Arial" w:cs="Arial"/>
          <w:sz w:val="24"/>
          <w:szCs w:val="24"/>
        </w:rPr>
        <w:t>, ce réseau étant connecté en un point du réseau public. Un compteur à l’entrée est installé pour mesurer et facturer les volumes livrés.</w:t>
      </w:r>
    </w:p>
    <w:p w:rsidR="00103DA7" w:rsidRPr="00C30B38" w:rsidRDefault="00103DA7" w:rsidP="000A0A4D">
      <w:pPr>
        <w:rPr>
          <w:rFonts w:ascii="Arial" w:hAnsi="Arial" w:cs="Arial"/>
          <w:sz w:val="24"/>
          <w:szCs w:val="24"/>
        </w:rPr>
      </w:pPr>
      <w:r w:rsidRPr="00C30B38">
        <w:rPr>
          <w:rFonts w:ascii="Arial" w:hAnsi="Arial" w:cs="Arial"/>
          <w:sz w:val="24"/>
          <w:szCs w:val="24"/>
        </w:rPr>
        <w:t>Les ratios moyens suivants ont été adopté</w:t>
      </w:r>
      <w:r w:rsidR="00175718" w:rsidRPr="00C30B38">
        <w:rPr>
          <w:rFonts w:ascii="Arial" w:hAnsi="Arial" w:cs="Arial"/>
          <w:sz w:val="24"/>
          <w:szCs w:val="24"/>
        </w:rPr>
        <w:t>s</w:t>
      </w:r>
      <w:r w:rsidRPr="00C30B38">
        <w:rPr>
          <w:rFonts w:ascii="Arial" w:hAnsi="Arial" w:cs="Arial"/>
          <w:sz w:val="24"/>
          <w:szCs w:val="24"/>
        </w:rPr>
        <w:t xml:space="preserve"> : </w:t>
      </w:r>
    </w:p>
    <w:p w:rsidR="00103DA7" w:rsidRPr="00C30B38" w:rsidRDefault="00103DA7" w:rsidP="000A0A4D">
      <w:pPr>
        <w:pStyle w:val="ListParagraph"/>
        <w:numPr>
          <w:ilvl w:val="1"/>
          <w:numId w:val="1"/>
        </w:numPr>
        <w:rPr>
          <w:rFonts w:ascii="Arial" w:hAnsi="Arial" w:cs="Arial"/>
          <w:sz w:val="24"/>
          <w:szCs w:val="24"/>
        </w:rPr>
      </w:pPr>
      <w:r w:rsidRPr="00C30B38">
        <w:rPr>
          <w:rFonts w:ascii="Arial" w:hAnsi="Arial" w:cs="Arial"/>
          <w:sz w:val="24"/>
          <w:szCs w:val="24"/>
        </w:rPr>
        <w:t>30 ménages par système en moyenne ;</w:t>
      </w:r>
    </w:p>
    <w:p w:rsidR="00103DA7" w:rsidRPr="00C30B38" w:rsidRDefault="00DB7A46" w:rsidP="000A0A4D">
      <w:pPr>
        <w:pStyle w:val="ListParagraph"/>
        <w:numPr>
          <w:ilvl w:val="1"/>
          <w:numId w:val="1"/>
        </w:numPr>
        <w:rPr>
          <w:rFonts w:ascii="Arial" w:hAnsi="Arial" w:cs="Arial"/>
          <w:sz w:val="24"/>
          <w:szCs w:val="24"/>
        </w:rPr>
      </w:pPr>
      <w:r w:rsidRPr="00C30B38">
        <w:rPr>
          <w:rFonts w:ascii="Arial" w:hAnsi="Arial" w:cs="Arial"/>
          <w:sz w:val="24"/>
          <w:szCs w:val="24"/>
        </w:rPr>
        <w:t>Taille</w:t>
      </w:r>
      <w:r w:rsidR="00103DA7" w:rsidRPr="00C30B38">
        <w:rPr>
          <w:rFonts w:ascii="Arial" w:hAnsi="Arial" w:cs="Arial"/>
          <w:sz w:val="24"/>
          <w:szCs w:val="24"/>
        </w:rPr>
        <w:t xml:space="preserve"> moyenne des ménages : 5</w:t>
      </w:r>
      <w:r w:rsidR="00FC02E4" w:rsidRPr="00C30B38">
        <w:rPr>
          <w:rFonts w:ascii="Arial" w:hAnsi="Arial" w:cs="Arial"/>
          <w:sz w:val="24"/>
          <w:szCs w:val="24"/>
        </w:rPr>
        <w:t>,9 personnes</w:t>
      </w:r>
    </w:p>
    <w:p w:rsidR="006333D9" w:rsidRPr="00C30B38" w:rsidRDefault="006333D9" w:rsidP="000A0A4D">
      <w:pPr>
        <w:rPr>
          <w:rFonts w:ascii="Arial" w:hAnsi="Arial" w:cs="Arial"/>
          <w:sz w:val="24"/>
          <w:szCs w:val="24"/>
        </w:rPr>
      </w:pPr>
      <w:r w:rsidRPr="00C30B38">
        <w:rPr>
          <w:rFonts w:ascii="Arial" w:hAnsi="Arial" w:cs="Arial"/>
          <w:sz w:val="24"/>
          <w:szCs w:val="24"/>
        </w:rPr>
        <w:t>Ce mode de desserte est nouveau en Haiti. Il est largement utilisé dans divers pays (Brésil, Colombie…). Les retours d’expérience très positifs ont conduit à prévoir son expérimentation à Cap Haitien.</w:t>
      </w:r>
    </w:p>
    <w:p w:rsidR="00225B2E" w:rsidRPr="00C1160F" w:rsidRDefault="00FC02E4" w:rsidP="00C1160F">
      <w:pPr>
        <w:pStyle w:val="ListParagraph"/>
        <w:numPr>
          <w:ilvl w:val="0"/>
          <w:numId w:val="14"/>
        </w:numPr>
        <w:rPr>
          <w:rFonts w:ascii="Arial" w:hAnsi="Arial" w:cs="Arial"/>
          <w:b/>
          <w:sz w:val="26"/>
          <w:szCs w:val="26"/>
        </w:rPr>
      </w:pPr>
      <w:r w:rsidRPr="00C1160F">
        <w:rPr>
          <w:rFonts w:ascii="Arial" w:hAnsi="Arial" w:cs="Arial"/>
          <w:b/>
          <w:sz w:val="26"/>
          <w:szCs w:val="26"/>
        </w:rPr>
        <w:t>PRODUCTION ET DISTRIBUTION</w:t>
      </w:r>
    </w:p>
    <w:p w:rsidR="009F24A2" w:rsidRPr="00C30B38" w:rsidRDefault="009F24A2" w:rsidP="000A0A4D">
      <w:pPr>
        <w:rPr>
          <w:rFonts w:ascii="Arial" w:hAnsi="Arial" w:cs="Arial"/>
          <w:sz w:val="24"/>
          <w:szCs w:val="24"/>
        </w:rPr>
      </w:pPr>
      <w:r w:rsidRPr="00C30B38">
        <w:rPr>
          <w:rFonts w:ascii="Arial" w:hAnsi="Arial" w:cs="Arial"/>
          <w:sz w:val="24"/>
          <w:szCs w:val="24"/>
        </w:rPr>
        <w:t>Les volumes distribués ont été calculés en fonction des différentes catégories d’usagers et des modes de desserte respectifs.</w:t>
      </w:r>
    </w:p>
    <w:p w:rsidR="009F24A2" w:rsidRPr="00C30B38" w:rsidRDefault="009F24A2" w:rsidP="000A0A4D">
      <w:pPr>
        <w:rPr>
          <w:rFonts w:ascii="Arial" w:hAnsi="Arial" w:cs="Arial"/>
          <w:b/>
          <w:sz w:val="24"/>
          <w:szCs w:val="24"/>
        </w:rPr>
      </w:pPr>
      <w:r w:rsidRPr="00C30B38">
        <w:rPr>
          <w:rFonts w:ascii="Arial" w:hAnsi="Arial" w:cs="Arial"/>
          <w:b/>
          <w:sz w:val="24"/>
          <w:szCs w:val="24"/>
        </w:rPr>
        <w:t>Usages domestiques</w:t>
      </w:r>
    </w:p>
    <w:p w:rsidR="009F24A2" w:rsidRPr="00C30B38" w:rsidRDefault="009F24A2" w:rsidP="000A0A4D">
      <w:pPr>
        <w:rPr>
          <w:rFonts w:ascii="Arial" w:hAnsi="Arial" w:cs="Arial"/>
          <w:sz w:val="24"/>
          <w:szCs w:val="24"/>
        </w:rPr>
      </w:pPr>
      <w:r w:rsidRPr="00C30B38">
        <w:rPr>
          <w:rFonts w:ascii="Arial" w:hAnsi="Arial" w:cs="Arial"/>
          <w:sz w:val="24"/>
          <w:szCs w:val="24"/>
        </w:rPr>
        <w:t>Ces usages concernent les consommation</w:t>
      </w:r>
      <w:r w:rsidR="004F41E4" w:rsidRPr="00C30B38">
        <w:rPr>
          <w:rFonts w:ascii="Arial" w:hAnsi="Arial" w:cs="Arial"/>
          <w:sz w:val="24"/>
          <w:szCs w:val="24"/>
        </w:rPr>
        <w:t>s</w:t>
      </w:r>
      <w:r w:rsidRPr="00C30B38">
        <w:rPr>
          <w:rFonts w:ascii="Arial" w:hAnsi="Arial" w:cs="Arial"/>
          <w:sz w:val="24"/>
          <w:szCs w:val="24"/>
        </w:rPr>
        <w:t xml:space="preserve"> des particuliers selon les modes de desserte.</w:t>
      </w:r>
    </w:p>
    <w:p w:rsidR="009F24A2" w:rsidRPr="00C30B38" w:rsidRDefault="009F24A2" w:rsidP="000A0A4D">
      <w:pPr>
        <w:rPr>
          <w:rFonts w:ascii="Arial" w:hAnsi="Arial" w:cs="Arial"/>
          <w:sz w:val="24"/>
          <w:szCs w:val="24"/>
        </w:rPr>
      </w:pPr>
      <w:r w:rsidRPr="00C30B38">
        <w:rPr>
          <w:rFonts w:ascii="Arial" w:hAnsi="Arial" w:cs="Arial"/>
          <w:sz w:val="24"/>
          <w:szCs w:val="24"/>
        </w:rPr>
        <w:t>Pour la desserte par branchement particulier, les volumes distribués ont été calculés sur la base d’une dotation moyenne de 60 l/jour/hab.</w:t>
      </w:r>
    </w:p>
    <w:p w:rsidR="009F24A2" w:rsidRPr="00C30B38" w:rsidRDefault="009F24A2" w:rsidP="000A0A4D">
      <w:pPr>
        <w:rPr>
          <w:rFonts w:ascii="Arial" w:hAnsi="Arial" w:cs="Arial"/>
          <w:sz w:val="24"/>
          <w:szCs w:val="24"/>
        </w:rPr>
      </w:pPr>
      <w:r w:rsidRPr="00C30B38">
        <w:rPr>
          <w:rFonts w:ascii="Arial" w:hAnsi="Arial" w:cs="Arial"/>
          <w:sz w:val="24"/>
          <w:szCs w:val="24"/>
        </w:rPr>
        <w:lastRenderedPageBreak/>
        <w:t>Pour les systèmes cond</w:t>
      </w:r>
      <w:r w:rsidR="00175718" w:rsidRPr="00C30B38">
        <w:rPr>
          <w:rFonts w:ascii="Arial" w:hAnsi="Arial" w:cs="Arial"/>
          <w:sz w:val="24"/>
          <w:szCs w:val="24"/>
        </w:rPr>
        <w:t>o</w:t>
      </w:r>
      <w:r w:rsidRPr="00C30B38">
        <w:rPr>
          <w:rFonts w:ascii="Arial" w:hAnsi="Arial" w:cs="Arial"/>
          <w:sz w:val="24"/>
          <w:szCs w:val="24"/>
        </w:rPr>
        <w:t>miniaux ce chiffre a été ramené à 50 l/jour/hab. et pour les kiosques à 20 l/jour/hab.</w:t>
      </w:r>
    </w:p>
    <w:p w:rsidR="009F24A2" w:rsidRPr="00C30B38" w:rsidRDefault="00FC02E4" w:rsidP="000A0A4D">
      <w:pPr>
        <w:rPr>
          <w:rFonts w:ascii="Arial" w:hAnsi="Arial" w:cs="Arial"/>
          <w:b/>
          <w:sz w:val="24"/>
          <w:szCs w:val="24"/>
        </w:rPr>
      </w:pPr>
      <w:r w:rsidRPr="00C30B38">
        <w:rPr>
          <w:rFonts w:ascii="Arial" w:hAnsi="Arial" w:cs="Arial"/>
          <w:b/>
          <w:sz w:val="24"/>
          <w:szCs w:val="24"/>
        </w:rPr>
        <w:t>Autres u</w:t>
      </w:r>
      <w:r w:rsidR="009F24A2" w:rsidRPr="00C30B38">
        <w:rPr>
          <w:rFonts w:ascii="Arial" w:hAnsi="Arial" w:cs="Arial"/>
          <w:b/>
          <w:sz w:val="24"/>
          <w:szCs w:val="24"/>
        </w:rPr>
        <w:t xml:space="preserve">sages </w:t>
      </w:r>
      <w:r w:rsidRPr="00C30B38">
        <w:rPr>
          <w:rFonts w:ascii="Arial" w:hAnsi="Arial" w:cs="Arial"/>
          <w:b/>
          <w:sz w:val="24"/>
          <w:szCs w:val="24"/>
        </w:rPr>
        <w:t>(</w:t>
      </w:r>
      <w:r w:rsidR="009F24A2" w:rsidRPr="00C30B38">
        <w:rPr>
          <w:rFonts w:ascii="Arial" w:hAnsi="Arial" w:cs="Arial"/>
          <w:b/>
          <w:sz w:val="24"/>
          <w:szCs w:val="24"/>
        </w:rPr>
        <w:t>non domestiques</w:t>
      </w:r>
      <w:r w:rsidRPr="00C30B38">
        <w:rPr>
          <w:rFonts w:ascii="Arial" w:hAnsi="Arial" w:cs="Arial"/>
          <w:b/>
          <w:sz w:val="24"/>
          <w:szCs w:val="24"/>
        </w:rPr>
        <w:t>)</w:t>
      </w:r>
    </w:p>
    <w:p w:rsidR="009F24A2" w:rsidRPr="00C30B38" w:rsidRDefault="009F24A2" w:rsidP="000A0A4D">
      <w:pPr>
        <w:rPr>
          <w:rFonts w:ascii="Arial" w:hAnsi="Arial" w:cs="Arial"/>
          <w:sz w:val="24"/>
          <w:szCs w:val="24"/>
        </w:rPr>
      </w:pPr>
      <w:r w:rsidRPr="00C30B38">
        <w:rPr>
          <w:rFonts w:ascii="Arial" w:hAnsi="Arial" w:cs="Arial"/>
          <w:sz w:val="24"/>
          <w:szCs w:val="24"/>
        </w:rPr>
        <w:t>Ces usages couvrent les consommation</w:t>
      </w:r>
      <w:r w:rsidR="00FC02E4" w:rsidRPr="00C30B38">
        <w:rPr>
          <w:rFonts w:ascii="Arial" w:hAnsi="Arial" w:cs="Arial"/>
          <w:sz w:val="24"/>
          <w:szCs w:val="24"/>
        </w:rPr>
        <w:t>s</w:t>
      </w:r>
      <w:r w:rsidRPr="00C30B38">
        <w:rPr>
          <w:rFonts w:ascii="Arial" w:hAnsi="Arial" w:cs="Arial"/>
          <w:sz w:val="24"/>
          <w:szCs w:val="24"/>
        </w:rPr>
        <w:t xml:space="preserve"> des administrations, commerces, industrie</w:t>
      </w:r>
      <w:r w:rsidR="004F41E4" w:rsidRPr="00C30B38">
        <w:rPr>
          <w:rFonts w:ascii="Arial" w:hAnsi="Arial" w:cs="Arial"/>
          <w:sz w:val="24"/>
          <w:szCs w:val="24"/>
        </w:rPr>
        <w:t>s</w:t>
      </w:r>
      <w:r w:rsidRPr="00C30B38">
        <w:rPr>
          <w:rFonts w:ascii="Arial" w:hAnsi="Arial" w:cs="Arial"/>
          <w:sz w:val="24"/>
          <w:szCs w:val="24"/>
        </w:rPr>
        <w:t xml:space="preserve">, etc. </w:t>
      </w:r>
      <w:r w:rsidR="00DB7A46" w:rsidRPr="00C30B38">
        <w:rPr>
          <w:rFonts w:ascii="Arial" w:hAnsi="Arial" w:cs="Arial"/>
          <w:sz w:val="24"/>
          <w:szCs w:val="24"/>
        </w:rPr>
        <w:t>Ils ont</w:t>
      </w:r>
      <w:r w:rsidRPr="00C30B38">
        <w:rPr>
          <w:rFonts w:ascii="Arial" w:hAnsi="Arial" w:cs="Arial"/>
          <w:sz w:val="24"/>
          <w:szCs w:val="24"/>
        </w:rPr>
        <w:t xml:space="preserve"> été</w:t>
      </w:r>
      <w:r w:rsidR="004F41E4" w:rsidRPr="00C30B38">
        <w:rPr>
          <w:rFonts w:ascii="Arial" w:hAnsi="Arial" w:cs="Arial"/>
          <w:sz w:val="24"/>
          <w:szCs w:val="24"/>
        </w:rPr>
        <w:t xml:space="preserve"> calculés</w:t>
      </w:r>
      <w:r w:rsidRPr="00C30B38">
        <w:rPr>
          <w:rFonts w:ascii="Arial" w:hAnsi="Arial" w:cs="Arial"/>
          <w:sz w:val="24"/>
          <w:szCs w:val="24"/>
        </w:rPr>
        <w:t xml:space="preserve"> en volume comme équivalent à 15% des </w:t>
      </w:r>
      <w:r w:rsidR="004F41E4" w:rsidRPr="00C30B38">
        <w:rPr>
          <w:rFonts w:ascii="Arial" w:hAnsi="Arial" w:cs="Arial"/>
          <w:sz w:val="24"/>
          <w:szCs w:val="24"/>
        </w:rPr>
        <w:t>volumes à usages domestiques.</w:t>
      </w:r>
    </w:p>
    <w:p w:rsidR="004F41E4" w:rsidRPr="00C30B38" w:rsidRDefault="004F41E4" w:rsidP="000A0A4D">
      <w:pPr>
        <w:rPr>
          <w:rFonts w:ascii="Arial" w:hAnsi="Arial" w:cs="Arial"/>
          <w:sz w:val="24"/>
          <w:szCs w:val="24"/>
        </w:rPr>
      </w:pPr>
      <w:r w:rsidRPr="00C30B38">
        <w:rPr>
          <w:rFonts w:ascii="Arial" w:hAnsi="Arial" w:cs="Arial"/>
          <w:sz w:val="24"/>
          <w:szCs w:val="24"/>
        </w:rPr>
        <w:t xml:space="preserve">Au total les volumes distribués passeraient de </w:t>
      </w:r>
      <w:r w:rsidRPr="00C30B38">
        <w:rPr>
          <w:rFonts w:ascii="Arial" w:hAnsi="Arial" w:cs="Arial"/>
          <w:b/>
          <w:sz w:val="24"/>
          <w:szCs w:val="24"/>
        </w:rPr>
        <w:t>1 752m3/jour en 2019 à 16 990 m3/jour en 2025</w:t>
      </w:r>
      <w:r w:rsidRPr="00C30B38">
        <w:rPr>
          <w:rFonts w:ascii="Arial" w:hAnsi="Arial" w:cs="Arial"/>
          <w:sz w:val="24"/>
          <w:szCs w:val="24"/>
        </w:rPr>
        <w:t>.</w:t>
      </w:r>
    </w:p>
    <w:p w:rsidR="004F41E4" w:rsidRPr="00C30B38" w:rsidRDefault="004F41E4" w:rsidP="000A0A4D">
      <w:pPr>
        <w:rPr>
          <w:rFonts w:ascii="Arial" w:hAnsi="Arial" w:cs="Arial"/>
          <w:sz w:val="24"/>
          <w:szCs w:val="24"/>
        </w:rPr>
      </w:pPr>
      <w:r w:rsidRPr="00C30B38">
        <w:rPr>
          <w:rFonts w:ascii="Arial" w:hAnsi="Arial" w:cs="Arial"/>
          <w:sz w:val="24"/>
          <w:szCs w:val="24"/>
        </w:rPr>
        <w:t>Le réseau et les installations étant en quasi-totalité construits dans le cadre du projet</w:t>
      </w:r>
      <w:r w:rsidR="00FC02E4" w:rsidRPr="00C30B38">
        <w:rPr>
          <w:rFonts w:ascii="Arial" w:hAnsi="Arial" w:cs="Arial"/>
          <w:sz w:val="24"/>
          <w:szCs w:val="24"/>
        </w:rPr>
        <w:t> ;</w:t>
      </w:r>
      <w:r w:rsidRPr="00C30B38">
        <w:rPr>
          <w:rFonts w:ascii="Arial" w:hAnsi="Arial" w:cs="Arial"/>
          <w:sz w:val="24"/>
          <w:szCs w:val="24"/>
        </w:rPr>
        <w:t xml:space="preserve"> </w:t>
      </w:r>
      <w:r w:rsidR="00FC02E4" w:rsidRPr="00C30B38">
        <w:rPr>
          <w:rFonts w:ascii="Arial" w:hAnsi="Arial" w:cs="Arial"/>
          <w:sz w:val="24"/>
          <w:szCs w:val="24"/>
        </w:rPr>
        <w:t>i</w:t>
      </w:r>
      <w:r w:rsidRPr="00C30B38">
        <w:rPr>
          <w:rFonts w:ascii="Arial" w:hAnsi="Arial" w:cs="Arial"/>
          <w:sz w:val="24"/>
          <w:szCs w:val="24"/>
        </w:rPr>
        <w:t>ls devraient</w:t>
      </w:r>
      <w:r w:rsidR="00103DA7" w:rsidRPr="00C30B38">
        <w:rPr>
          <w:rFonts w:ascii="Arial" w:hAnsi="Arial" w:cs="Arial"/>
          <w:sz w:val="24"/>
          <w:szCs w:val="24"/>
        </w:rPr>
        <w:t>,</w:t>
      </w:r>
      <w:r w:rsidRPr="00C30B38">
        <w:rPr>
          <w:rFonts w:ascii="Arial" w:hAnsi="Arial" w:cs="Arial"/>
          <w:sz w:val="24"/>
          <w:szCs w:val="24"/>
        </w:rPr>
        <w:t xml:space="preserve"> si les travaux </w:t>
      </w:r>
      <w:r w:rsidR="00BE6DA9" w:rsidRPr="00C30B38">
        <w:rPr>
          <w:rFonts w:ascii="Arial" w:hAnsi="Arial" w:cs="Arial"/>
          <w:sz w:val="24"/>
          <w:szCs w:val="24"/>
        </w:rPr>
        <w:t>sont</w:t>
      </w:r>
      <w:r w:rsidRPr="00C30B38">
        <w:rPr>
          <w:rFonts w:ascii="Arial" w:hAnsi="Arial" w:cs="Arial"/>
          <w:sz w:val="24"/>
          <w:szCs w:val="24"/>
        </w:rPr>
        <w:t xml:space="preserve"> correctement supervisés </w:t>
      </w:r>
      <w:r w:rsidR="00103DA7" w:rsidRPr="00C30B38">
        <w:rPr>
          <w:rFonts w:ascii="Arial" w:hAnsi="Arial" w:cs="Arial"/>
          <w:sz w:val="24"/>
          <w:szCs w:val="24"/>
        </w:rPr>
        <w:t xml:space="preserve">(ce qui également un des objectifs du projet), présenter d’excellentes conditions de fonctionnement et par conséquent un bon rendement. Dans cette optique les besoins en production prennent en compte un rendement de 90%, ce qui conduit à des besoins de production de </w:t>
      </w:r>
      <w:r w:rsidR="00103DA7" w:rsidRPr="00C30B38">
        <w:rPr>
          <w:rFonts w:ascii="Arial" w:hAnsi="Arial" w:cs="Arial"/>
          <w:b/>
          <w:sz w:val="24"/>
          <w:szCs w:val="24"/>
        </w:rPr>
        <w:t>18 878 m3/jour en 2025</w:t>
      </w:r>
      <w:r w:rsidR="00103DA7" w:rsidRPr="00C30B38">
        <w:rPr>
          <w:rFonts w:ascii="Arial" w:hAnsi="Arial" w:cs="Arial"/>
          <w:sz w:val="24"/>
          <w:szCs w:val="24"/>
        </w:rPr>
        <w:t>.</w:t>
      </w:r>
    </w:p>
    <w:p w:rsidR="00103DA7" w:rsidRPr="00C1160F" w:rsidRDefault="00FC02E4" w:rsidP="00C1160F">
      <w:pPr>
        <w:pStyle w:val="ListParagraph"/>
        <w:numPr>
          <w:ilvl w:val="0"/>
          <w:numId w:val="14"/>
        </w:numPr>
        <w:rPr>
          <w:rFonts w:ascii="Arial" w:hAnsi="Arial" w:cs="Arial"/>
          <w:b/>
          <w:sz w:val="26"/>
          <w:szCs w:val="26"/>
        </w:rPr>
      </w:pPr>
      <w:r w:rsidRPr="00C1160F">
        <w:rPr>
          <w:rFonts w:ascii="Arial" w:hAnsi="Arial" w:cs="Arial"/>
          <w:b/>
          <w:sz w:val="26"/>
          <w:szCs w:val="26"/>
        </w:rPr>
        <w:t>CHARGES D’EXPLOITATION</w:t>
      </w:r>
    </w:p>
    <w:p w:rsidR="00FC02E4" w:rsidRPr="00234CDC" w:rsidRDefault="00FC02E4" w:rsidP="000A0A4D">
      <w:pPr>
        <w:rPr>
          <w:rFonts w:ascii="Arial" w:hAnsi="Arial" w:cs="Arial"/>
          <w:sz w:val="24"/>
          <w:szCs w:val="24"/>
        </w:rPr>
      </w:pPr>
      <w:r w:rsidRPr="00234CDC">
        <w:rPr>
          <w:rFonts w:ascii="Arial" w:hAnsi="Arial" w:cs="Arial"/>
          <w:sz w:val="24"/>
          <w:szCs w:val="24"/>
        </w:rPr>
        <w:t xml:space="preserve">L’objectif du projet est de revoir en totalité l’organisation actuelle du CTE </w:t>
      </w:r>
      <w:r w:rsidR="00D72D13" w:rsidRPr="00234CDC">
        <w:rPr>
          <w:rFonts w:ascii="Arial" w:hAnsi="Arial" w:cs="Arial"/>
          <w:sz w:val="24"/>
          <w:szCs w:val="24"/>
        </w:rPr>
        <w:t xml:space="preserve">de Cap Haitien </w:t>
      </w:r>
      <w:r w:rsidRPr="00234CDC">
        <w:rPr>
          <w:rFonts w:ascii="Arial" w:hAnsi="Arial" w:cs="Arial"/>
          <w:sz w:val="24"/>
          <w:szCs w:val="24"/>
        </w:rPr>
        <w:t xml:space="preserve">pour transformer ce dernier en une entreprise moderne et performante. Il s’agit pratiquement de créer une nouvelle entreprise. </w:t>
      </w:r>
    </w:p>
    <w:p w:rsidR="004F41E4" w:rsidRPr="00234CDC" w:rsidRDefault="00D72D13" w:rsidP="000A0A4D">
      <w:pPr>
        <w:rPr>
          <w:rFonts w:ascii="Arial" w:hAnsi="Arial" w:cs="Arial"/>
          <w:sz w:val="24"/>
          <w:szCs w:val="24"/>
        </w:rPr>
      </w:pPr>
      <w:r w:rsidRPr="00234CDC">
        <w:rPr>
          <w:rFonts w:ascii="Arial" w:hAnsi="Arial" w:cs="Arial"/>
          <w:sz w:val="24"/>
          <w:szCs w:val="24"/>
        </w:rPr>
        <w:t>U</w:t>
      </w:r>
      <w:r w:rsidR="00FC02E4" w:rsidRPr="00234CDC">
        <w:rPr>
          <w:rFonts w:ascii="Arial" w:hAnsi="Arial" w:cs="Arial"/>
          <w:sz w:val="24"/>
          <w:szCs w:val="24"/>
        </w:rPr>
        <w:t xml:space="preserve">n opérateur </w:t>
      </w:r>
      <w:r w:rsidR="00BE6DA9" w:rsidRPr="00234CDC">
        <w:rPr>
          <w:rFonts w:ascii="Arial" w:hAnsi="Arial" w:cs="Arial"/>
          <w:sz w:val="24"/>
          <w:szCs w:val="24"/>
        </w:rPr>
        <w:t xml:space="preserve">international (« le Consultant ») </w:t>
      </w:r>
      <w:r w:rsidR="00FC02E4" w:rsidRPr="00234CDC">
        <w:rPr>
          <w:rFonts w:ascii="Arial" w:hAnsi="Arial" w:cs="Arial"/>
          <w:sz w:val="24"/>
          <w:szCs w:val="24"/>
        </w:rPr>
        <w:t>sera recruté pour cette mission. Il four</w:t>
      </w:r>
      <w:r w:rsidRPr="00234CDC">
        <w:rPr>
          <w:rFonts w:ascii="Arial" w:hAnsi="Arial" w:cs="Arial"/>
          <w:sz w:val="24"/>
          <w:szCs w:val="24"/>
        </w:rPr>
        <w:t>nira des cadres dirigeants (4 personnes) aux postes clés de direction qui seront présents dès la 1</w:t>
      </w:r>
      <w:r w:rsidRPr="00234CDC">
        <w:rPr>
          <w:rFonts w:ascii="Arial" w:hAnsi="Arial" w:cs="Arial"/>
          <w:sz w:val="24"/>
          <w:szCs w:val="24"/>
          <w:vertAlign w:val="superscript"/>
        </w:rPr>
        <w:t>ère</w:t>
      </w:r>
      <w:r w:rsidRPr="00234CDC">
        <w:rPr>
          <w:rFonts w:ascii="Arial" w:hAnsi="Arial" w:cs="Arial"/>
          <w:sz w:val="24"/>
          <w:szCs w:val="24"/>
        </w:rPr>
        <w:t xml:space="preserve"> année </w:t>
      </w:r>
      <w:r w:rsidR="00BE6DA9" w:rsidRPr="00234CDC">
        <w:rPr>
          <w:rFonts w:ascii="Arial" w:hAnsi="Arial" w:cs="Arial"/>
          <w:sz w:val="24"/>
          <w:szCs w:val="24"/>
        </w:rPr>
        <w:t xml:space="preserve">(2019) </w:t>
      </w:r>
      <w:r w:rsidRPr="00234CDC">
        <w:rPr>
          <w:rFonts w:ascii="Arial" w:hAnsi="Arial" w:cs="Arial"/>
          <w:sz w:val="24"/>
          <w:szCs w:val="24"/>
        </w:rPr>
        <w:t>et dont l</w:t>
      </w:r>
      <w:r w:rsidR="00BE6DA9" w:rsidRPr="00234CDC">
        <w:rPr>
          <w:rFonts w:ascii="Arial" w:hAnsi="Arial" w:cs="Arial"/>
          <w:sz w:val="24"/>
          <w:szCs w:val="24"/>
        </w:rPr>
        <w:t xml:space="preserve">es prestations </w:t>
      </w:r>
      <w:r w:rsidRPr="00234CDC">
        <w:rPr>
          <w:rFonts w:ascii="Arial" w:hAnsi="Arial" w:cs="Arial"/>
          <w:sz w:val="24"/>
          <w:szCs w:val="24"/>
        </w:rPr>
        <w:t xml:space="preserve">devraient </w:t>
      </w:r>
      <w:r w:rsidR="00BE6DA9" w:rsidRPr="00234CDC">
        <w:rPr>
          <w:rFonts w:ascii="Arial" w:hAnsi="Arial" w:cs="Arial"/>
          <w:sz w:val="24"/>
          <w:szCs w:val="24"/>
        </w:rPr>
        <w:t>se poursuivre</w:t>
      </w:r>
      <w:r w:rsidRPr="00234CDC">
        <w:rPr>
          <w:rFonts w:ascii="Arial" w:hAnsi="Arial" w:cs="Arial"/>
          <w:sz w:val="24"/>
          <w:szCs w:val="24"/>
        </w:rPr>
        <w:t xml:space="preserve"> jusqu’en 2023/2024. L’opérateur aura également dans le cadre de son contrat en sus du personnel d’encadrement à mobiliser des experts pour des missions d’appui, et </w:t>
      </w:r>
      <w:r w:rsidR="00B31363" w:rsidRPr="00234CDC">
        <w:rPr>
          <w:rFonts w:ascii="Arial" w:hAnsi="Arial" w:cs="Arial"/>
          <w:sz w:val="24"/>
          <w:szCs w:val="24"/>
        </w:rPr>
        <w:t>notamment pour des missions de formation.</w:t>
      </w:r>
    </w:p>
    <w:p w:rsidR="00B31363" w:rsidRPr="00234CDC" w:rsidRDefault="00B31363" w:rsidP="000A0A4D">
      <w:pPr>
        <w:rPr>
          <w:rFonts w:ascii="Arial" w:hAnsi="Arial" w:cs="Arial"/>
          <w:b/>
          <w:sz w:val="24"/>
          <w:szCs w:val="24"/>
        </w:rPr>
      </w:pPr>
      <w:r w:rsidRPr="00234CDC">
        <w:rPr>
          <w:rFonts w:ascii="Arial" w:hAnsi="Arial" w:cs="Arial"/>
          <w:b/>
          <w:sz w:val="24"/>
          <w:szCs w:val="24"/>
        </w:rPr>
        <w:t>Charges de personnel</w:t>
      </w:r>
    </w:p>
    <w:p w:rsidR="00370F45" w:rsidRPr="00234CDC" w:rsidRDefault="00B31363" w:rsidP="000A0A4D">
      <w:pPr>
        <w:rPr>
          <w:rFonts w:ascii="Arial" w:hAnsi="Arial" w:cs="Arial"/>
          <w:sz w:val="24"/>
          <w:szCs w:val="24"/>
        </w:rPr>
      </w:pPr>
      <w:r w:rsidRPr="00234CDC">
        <w:rPr>
          <w:rFonts w:ascii="Arial" w:hAnsi="Arial" w:cs="Arial"/>
          <w:sz w:val="24"/>
          <w:szCs w:val="24"/>
        </w:rPr>
        <w:t xml:space="preserve">Une des tâches importantes </w:t>
      </w:r>
      <w:r w:rsidR="00BE6DA9" w:rsidRPr="00234CDC">
        <w:rPr>
          <w:rFonts w:ascii="Arial" w:hAnsi="Arial" w:cs="Arial"/>
          <w:sz w:val="24"/>
          <w:szCs w:val="24"/>
        </w:rPr>
        <w:t xml:space="preserve">du Consultant </w:t>
      </w:r>
      <w:r w:rsidRPr="00234CDC">
        <w:rPr>
          <w:rFonts w:ascii="Arial" w:hAnsi="Arial" w:cs="Arial"/>
          <w:sz w:val="24"/>
          <w:szCs w:val="24"/>
        </w:rPr>
        <w:t xml:space="preserve">sera d’évaluer le personnel et de définir les mesures à prendre pour disposer d’un effectif compétent et efficient. </w:t>
      </w:r>
    </w:p>
    <w:p w:rsidR="00B31363" w:rsidRPr="00234CDC" w:rsidRDefault="00B31363" w:rsidP="000A0A4D">
      <w:pPr>
        <w:rPr>
          <w:rFonts w:ascii="Arial" w:hAnsi="Arial" w:cs="Arial"/>
          <w:sz w:val="24"/>
          <w:szCs w:val="24"/>
        </w:rPr>
      </w:pPr>
      <w:r w:rsidRPr="00234CDC">
        <w:rPr>
          <w:rFonts w:ascii="Arial" w:hAnsi="Arial" w:cs="Arial"/>
          <w:sz w:val="24"/>
          <w:szCs w:val="24"/>
        </w:rPr>
        <w:t>Cela suppose à la fois de faciliter le départ d</w:t>
      </w:r>
      <w:r w:rsidR="00FF3570" w:rsidRPr="00234CDC">
        <w:rPr>
          <w:rFonts w:ascii="Arial" w:hAnsi="Arial" w:cs="Arial"/>
          <w:sz w:val="24"/>
          <w:szCs w:val="24"/>
        </w:rPr>
        <w:t xml:space="preserve">es </w:t>
      </w:r>
      <w:r w:rsidRPr="00234CDC">
        <w:rPr>
          <w:rFonts w:ascii="Arial" w:hAnsi="Arial" w:cs="Arial"/>
          <w:sz w:val="24"/>
          <w:szCs w:val="24"/>
        </w:rPr>
        <w:t xml:space="preserve">agents qui le souhaitent pour des raisons d’âge </w:t>
      </w:r>
      <w:r w:rsidR="00370F45" w:rsidRPr="00234CDC">
        <w:rPr>
          <w:rFonts w:ascii="Arial" w:hAnsi="Arial" w:cs="Arial"/>
          <w:sz w:val="24"/>
          <w:szCs w:val="24"/>
        </w:rPr>
        <w:t>par exemple</w:t>
      </w:r>
      <w:r w:rsidR="00FF3570" w:rsidRPr="00234CDC">
        <w:rPr>
          <w:rFonts w:ascii="Arial" w:hAnsi="Arial" w:cs="Arial"/>
          <w:sz w:val="24"/>
          <w:szCs w:val="24"/>
        </w:rPr>
        <w:t>,</w:t>
      </w:r>
      <w:r w:rsidR="00370F45" w:rsidRPr="00234CDC">
        <w:rPr>
          <w:rFonts w:ascii="Arial" w:hAnsi="Arial" w:cs="Arial"/>
          <w:sz w:val="24"/>
          <w:szCs w:val="24"/>
        </w:rPr>
        <w:t xml:space="preserve"> </w:t>
      </w:r>
      <w:r w:rsidRPr="00234CDC">
        <w:rPr>
          <w:rFonts w:ascii="Arial" w:hAnsi="Arial" w:cs="Arial"/>
          <w:sz w:val="24"/>
          <w:szCs w:val="24"/>
        </w:rPr>
        <w:t xml:space="preserve">de se séparer d’agents </w:t>
      </w:r>
      <w:r w:rsidR="00370F45" w:rsidRPr="00234CDC">
        <w:rPr>
          <w:rFonts w:ascii="Arial" w:hAnsi="Arial" w:cs="Arial"/>
          <w:sz w:val="24"/>
          <w:szCs w:val="24"/>
        </w:rPr>
        <w:t>dont les capacités sont insuffisantes, et de recruter de nouveaux agents aux compétences adaptées.</w:t>
      </w:r>
    </w:p>
    <w:p w:rsidR="00370F45" w:rsidRPr="00234CDC" w:rsidRDefault="00370F45" w:rsidP="000A0A4D">
      <w:pPr>
        <w:rPr>
          <w:rFonts w:ascii="Arial" w:hAnsi="Arial" w:cs="Arial"/>
          <w:sz w:val="24"/>
          <w:szCs w:val="24"/>
        </w:rPr>
      </w:pPr>
      <w:r w:rsidRPr="00234CDC">
        <w:rPr>
          <w:rFonts w:ascii="Arial" w:hAnsi="Arial" w:cs="Arial"/>
          <w:sz w:val="24"/>
          <w:szCs w:val="24"/>
        </w:rPr>
        <w:t>Une provision a été budgétée pour mettre en place un plan social destiné à réduire l’effectif actuel.</w:t>
      </w:r>
    </w:p>
    <w:p w:rsidR="00370F45" w:rsidRPr="00234CDC" w:rsidRDefault="00370F45" w:rsidP="000A0A4D">
      <w:pPr>
        <w:rPr>
          <w:rFonts w:ascii="Arial" w:hAnsi="Arial" w:cs="Arial"/>
          <w:sz w:val="24"/>
          <w:szCs w:val="24"/>
        </w:rPr>
      </w:pPr>
      <w:r w:rsidRPr="00234CDC">
        <w:rPr>
          <w:rFonts w:ascii="Arial" w:hAnsi="Arial" w:cs="Arial"/>
          <w:sz w:val="24"/>
          <w:szCs w:val="24"/>
        </w:rPr>
        <w:t xml:space="preserve">Quant aux recrutements, les besoins sont importants ; le nombre d’agents </w:t>
      </w:r>
      <w:r w:rsidR="00880D84" w:rsidRPr="00234CDC">
        <w:rPr>
          <w:rFonts w:ascii="Arial" w:hAnsi="Arial" w:cs="Arial"/>
          <w:sz w:val="24"/>
          <w:szCs w:val="24"/>
        </w:rPr>
        <w:t xml:space="preserve">du CTE </w:t>
      </w:r>
      <w:r w:rsidRPr="00234CDC">
        <w:rPr>
          <w:rFonts w:ascii="Arial" w:hAnsi="Arial" w:cs="Arial"/>
          <w:sz w:val="24"/>
          <w:szCs w:val="24"/>
        </w:rPr>
        <w:t xml:space="preserve">devrait passer de </w:t>
      </w:r>
      <w:r w:rsidR="00882F7E" w:rsidRPr="00234CDC">
        <w:rPr>
          <w:rFonts w:ascii="Arial" w:hAnsi="Arial" w:cs="Arial"/>
          <w:sz w:val="24"/>
          <w:szCs w:val="24"/>
        </w:rPr>
        <w:t>18 en 2019 à 64 en 2025, ce qui suppose</w:t>
      </w:r>
      <w:r w:rsidR="00BE6DA9" w:rsidRPr="00234CDC">
        <w:rPr>
          <w:rFonts w:ascii="Arial" w:hAnsi="Arial" w:cs="Arial"/>
          <w:sz w:val="24"/>
          <w:szCs w:val="24"/>
        </w:rPr>
        <w:t>,</w:t>
      </w:r>
      <w:r w:rsidR="00882F7E" w:rsidRPr="00234CDC">
        <w:rPr>
          <w:rFonts w:ascii="Arial" w:hAnsi="Arial" w:cs="Arial"/>
          <w:sz w:val="24"/>
          <w:szCs w:val="24"/>
        </w:rPr>
        <w:t xml:space="preserve"> compte tenu des départs, le recrutement de 59 agents sur la période. L’évolution du nombre d’agents traduit une rationalisation des effectifs associée à une amélioration de la productivité, comme le montre ratio (nombre d’agents/1000 branchements) qui baisse régulièrement passant de 11 en 2019 à 4 en 2025.</w:t>
      </w:r>
    </w:p>
    <w:p w:rsidR="00882F7E" w:rsidRPr="00234CDC" w:rsidRDefault="00882F7E" w:rsidP="000A0A4D">
      <w:pPr>
        <w:rPr>
          <w:rFonts w:ascii="Arial" w:hAnsi="Arial" w:cs="Arial"/>
          <w:sz w:val="24"/>
          <w:szCs w:val="24"/>
        </w:rPr>
      </w:pPr>
      <w:r w:rsidRPr="00234CDC">
        <w:rPr>
          <w:rFonts w:ascii="Arial" w:hAnsi="Arial" w:cs="Arial"/>
          <w:sz w:val="24"/>
          <w:szCs w:val="24"/>
        </w:rPr>
        <w:t>Le coût des charges de personnel a été calculé en distinguant :</w:t>
      </w:r>
    </w:p>
    <w:p w:rsidR="00882F7E" w:rsidRPr="00234CDC" w:rsidRDefault="00DB7A46" w:rsidP="000A0A4D">
      <w:pPr>
        <w:pStyle w:val="ListParagraph"/>
        <w:numPr>
          <w:ilvl w:val="0"/>
          <w:numId w:val="1"/>
        </w:numPr>
        <w:rPr>
          <w:rFonts w:ascii="Arial" w:hAnsi="Arial" w:cs="Arial"/>
          <w:sz w:val="24"/>
          <w:szCs w:val="24"/>
        </w:rPr>
      </w:pPr>
      <w:r w:rsidRPr="00234CDC">
        <w:rPr>
          <w:rFonts w:ascii="Arial" w:hAnsi="Arial" w:cs="Arial"/>
          <w:sz w:val="24"/>
          <w:szCs w:val="24"/>
        </w:rPr>
        <w:t>Le</w:t>
      </w:r>
      <w:r w:rsidR="00882F7E" w:rsidRPr="00234CDC">
        <w:rPr>
          <w:rFonts w:ascii="Arial" w:hAnsi="Arial" w:cs="Arial"/>
          <w:sz w:val="24"/>
          <w:szCs w:val="24"/>
        </w:rPr>
        <w:t xml:space="preserve"> coût de recrutement de nouveaux cadres </w:t>
      </w:r>
      <w:r w:rsidR="00AE315A" w:rsidRPr="00234CDC">
        <w:rPr>
          <w:rFonts w:ascii="Arial" w:hAnsi="Arial" w:cs="Arial"/>
          <w:sz w:val="24"/>
          <w:szCs w:val="24"/>
        </w:rPr>
        <w:t xml:space="preserve">locaux </w:t>
      </w:r>
      <w:r w:rsidR="00882F7E" w:rsidRPr="00234CDC">
        <w:rPr>
          <w:rFonts w:ascii="Arial" w:hAnsi="Arial" w:cs="Arial"/>
          <w:sz w:val="24"/>
          <w:szCs w:val="24"/>
        </w:rPr>
        <w:t>ayant vocation à devenir de futurs cadre</w:t>
      </w:r>
      <w:r w:rsidR="00AE315A" w:rsidRPr="00234CDC">
        <w:rPr>
          <w:rFonts w:ascii="Arial" w:hAnsi="Arial" w:cs="Arial"/>
          <w:sz w:val="24"/>
          <w:szCs w:val="24"/>
        </w:rPr>
        <w:t>s</w:t>
      </w:r>
      <w:r w:rsidR="00882F7E" w:rsidRPr="00234CDC">
        <w:rPr>
          <w:rFonts w:ascii="Arial" w:hAnsi="Arial" w:cs="Arial"/>
          <w:sz w:val="24"/>
          <w:szCs w:val="24"/>
        </w:rPr>
        <w:t xml:space="preserve"> de direction et à prendre le relai </w:t>
      </w:r>
      <w:r w:rsidR="00BE6DA9" w:rsidRPr="00234CDC">
        <w:rPr>
          <w:rFonts w:ascii="Arial" w:hAnsi="Arial" w:cs="Arial"/>
          <w:sz w:val="24"/>
          <w:szCs w:val="24"/>
        </w:rPr>
        <w:t>du Consultant</w:t>
      </w:r>
      <w:r w:rsidR="009D3142" w:rsidRPr="00234CDC">
        <w:rPr>
          <w:rFonts w:ascii="Arial" w:hAnsi="Arial" w:cs="Arial"/>
          <w:sz w:val="24"/>
          <w:szCs w:val="24"/>
        </w:rPr>
        <w:t xml:space="preserve"> après une période </w:t>
      </w:r>
      <w:r w:rsidR="009D3142" w:rsidRPr="00234CDC">
        <w:rPr>
          <w:rFonts w:ascii="Arial" w:hAnsi="Arial" w:cs="Arial"/>
          <w:sz w:val="24"/>
          <w:szCs w:val="24"/>
        </w:rPr>
        <w:lastRenderedPageBreak/>
        <w:t>de probation</w:t>
      </w:r>
      <w:r w:rsidR="00AE315A" w:rsidRPr="00234CDC">
        <w:rPr>
          <w:rFonts w:ascii="Arial" w:hAnsi="Arial" w:cs="Arial"/>
          <w:sz w:val="24"/>
          <w:szCs w:val="24"/>
        </w:rPr>
        <w:t>. Ces cadre</w:t>
      </w:r>
      <w:r w:rsidR="00880D84" w:rsidRPr="00234CDC">
        <w:rPr>
          <w:rFonts w:ascii="Arial" w:hAnsi="Arial" w:cs="Arial"/>
          <w:sz w:val="24"/>
          <w:szCs w:val="24"/>
        </w:rPr>
        <w:t>s</w:t>
      </w:r>
      <w:r w:rsidR="00AE315A" w:rsidRPr="00234CDC">
        <w:rPr>
          <w:rFonts w:ascii="Arial" w:hAnsi="Arial" w:cs="Arial"/>
          <w:sz w:val="24"/>
          <w:szCs w:val="24"/>
        </w:rPr>
        <w:t xml:space="preserve"> seront recrutés par </w:t>
      </w:r>
      <w:r w:rsidR="00BE6DA9" w:rsidRPr="00234CDC">
        <w:rPr>
          <w:rFonts w:ascii="Arial" w:hAnsi="Arial" w:cs="Arial"/>
          <w:sz w:val="24"/>
          <w:szCs w:val="24"/>
        </w:rPr>
        <w:t>le Consultant</w:t>
      </w:r>
      <w:r w:rsidR="00AE315A" w:rsidRPr="00234CDC">
        <w:rPr>
          <w:rFonts w:ascii="Arial" w:hAnsi="Arial" w:cs="Arial"/>
          <w:sz w:val="24"/>
          <w:szCs w:val="24"/>
        </w:rPr>
        <w:t xml:space="preserve"> et </w:t>
      </w:r>
      <w:r w:rsidR="009D3142" w:rsidRPr="00234CDC">
        <w:rPr>
          <w:rFonts w:ascii="Arial" w:hAnsi="Arial" w:cs="Arial"/>
          <w:sz w:val="24"/>
          <w:szCs w:val="24"/>
        </w:rPr>
        <w:t>travailleront en tant qu’homologues dans les fonctions de direction</w:t>
      </w:r>
      <w:r w:rsidR="00AE315A" w:rsidRPr="00234CDC">
        <w:rPr>
          <w:rFonts w:ascii="Arial" w:hAnsi="Arial" w:cs="Arial"/>
          <w:sz w:val="24"/>
          <w:szCs w:val="24"/>
        </w:rPr>
        <w:t>.</w:t>
      </w:r>
    </w:p>
    <w:p w:rsidR="00AE315A" w:rsidRPr="00234CDC" w:rsidRDefault="00AE315A" w:rsidP="000A0A4D">
      <w:pPr>
        <w:rPr>
          <w:rFonts w:ascii="Arial" w:hAnsi="Arial" w:cs="Arial"/>
          <w:sz w:val="24"/>
          <w:szCs w:val="24"/>
        </w:rPr>
      </w:pPr>
      <w:r w:rsidRPr="00234CDC">
        <w:rPr>
          <w:rFonts w:ascii="Arial" w:hAnsi="Arial" w:cs="Arial"/>
          <w:sz w:val="24"/>
          <w:szCs w:val="24"/>
        </w:rPr>
        <w:t>Il s’agira de recruter d</w:t>
      </w:r>
      <w:r w:rsidR="0089087C" w:rsidRPr="00234CDC">
        <w:rPr>
          <w:rFonts w:ascii="Arial" w:hAnsi="Arial" w:cs="Arial"/>
          <w:sz w:val="24"/>
          <w:szCs w:val="24"/>
        </w:rPr>
        <w:t>es spécialistes</w:t>
      </w:r>
      <w:r w:rsidRPr="00234CDC">
        <w:rPr>
          <w:rFonts w:ascii="Arial" w:hAnsi="Arial" w:cs="Arial"/>
          <w:sz w:val="24"/>
          <w:szCs w:val="24"/>
        </w:rPr>
        <w:t xml:space="preserve"> de bon niveau à fort potentiel</w:t>
      </w:r>
      <w:r w:rsidR="009D3142" w:rsidRPr="00234CDC">
        <w:rPr>
          <w:rFonts w:ascii="Arial" w:hAnsi="Arial" w:cs="Arial"/>
          <w:sz w:val="24"/>
          <w:szCs w:val="24"/>
        </w:rPr>
        <w:t>.</w:t>
      </w:r>
      <w:r w:rsidRPr="00234CDC">
        <w:rPr>
          <w:rFonts w:ascii="Arial" w:hAnsi="Arial" w:cs="Arial"/>
          <w:sz w:val="24"/>
          <w:szCs w:val="24"/>
        </w:rPr>
        <w:t xml:space="preserve"> </w:t>
      </w:r>
      <w:r w:rsidR="00BE6DA9" w:rsidRPr="00234CDC">
        <w:rPr>
          <w:rFonts w:ascii="Arial" w:hAnsi="Arial" w:cs="Arial"/>
          <w:sz w:val="24"/>
          <w:szCs w:val="24"/>
        </w:rPr>
        <w:t xml:space="preserve">Compte tenu des exigences </w:t>
      </w:r>
      <w:r w:rsidR="0089087C" w:rsidRPr="00234CDC">
        <w:rPr>
          <w:rFonts w:ascii="Arial" w:hAnsi="Arial" w:cs="Arial"/>
          <w:sz w:val="24"/>
          <w:szCs w:val="24"/>
        </w:rPr>
        <w:t xml:space="preserve">de la fonction </w:t>
      </w:r>
      <w:r w:rsidR="00BE6DA9" w:rsidRPr="00234CDC">
        <w:rPr>
          <w:rFonts w:ascii="Arial" w:hAnsi="Arial" w:cs="Arial"/>
          <w:sz w:val="24"/>
          <w:szCs w:val="24"/>
        </w:rPr>
        <w:t xml:space="preserve">et du niveau de responsabilités </w:t>
      </w:r>
      <w:r w:rsidR="009D3142" w:rsidRPr="00234CDC">
        <w:rPr>
          <w:rFonts w:ascii="Arial" w:hAnsi="Arial" w:cs="Arial"/>
          <w:sz w:val="24"/>
          <w:szCs w:val="24"/>
        </w:rPr>
        <w:t xml:space="preserve">des conditions salariales attractives sont nécessaires. Un salaire </w:t>
      </w:r>
      <w:r w:rsidRPr="00234CDC">
        <w:rPr>
          <w:rFonts w:ascii="Arial" w:hAnsi="Arial" w:cs="Arial"/>
          <w:sz w:val="24"/>
          <w:szCs w:val="24"/>
        </w:rPr>
        <w:t xml:space="preserve">mensuel de </w:t>
      </w:r>
      <w:r w:rsidR="00BD259B" w:rsidRPr="00234CDC">
        <w:rPr>
          <w:rFonts w:ascii="Arial" w:hAnsi="Arial" w:cs="Arial"/>
          <w:sz w:val="24"/>
          <w:szCs w:val="24"/>
        </w:rPr>
        <w:t xml:space="preserve">3000 </w:t>
      </w:r>
      <w:r w:rsidRPr="00234CDC">
        <w:rPr>
          <w:rFonts w:ascii="Arial" w:hAnsi="Arial" w:cs="Arial"/>
          <w:sz w:val="24"/>
          <w:szCs w:val="24"/>
        </w:rPr>
        <w:t>USD a été pris en compte.</w:t>
      </w:r>
    </w:p>
    <w:p w:rsidR="00AE315A" w:rsidRPr="00234CDC" w:rsidRDefault="00AE315A" w:rsidP="000A0A4D">
      <w:pPr>
        <w:pStyle w:val="ListParagraph"/>
        <w:numPr>
          <w:ilvl w:val="0"/>
          <w:numId w:val="1"/>
        </w:numPr>
        <w:rPr>
          <w:rFonts w:ascii="Arial" w:hAnsi="Arial" w:cs="Arial"/>
          <w:sz w:val="24"/>
          <w:szCs w:val="24"/>
        </w:rPr>
      </w:pPr>
      <w:r w:rsidRPr="00234CDC">
        <w:rPr>
          <w:rFonts w:ascii="Arial" w:hAnsi="Arial" w:cs="Arial"/>
          <w:sz w:val="24"/>
          <w:szCs w:val="24"/>
        </w:rPr>
        <w:t xml:space="preserve">Le coût de recrutement des autres agents pour lequel un salaire moyen mensuel de </w:t>
      </w:r>
      <w:r w:rsidR="00BD259B" w:rsidRPr="00234CDC">
        <w:rPr>
          <w:rFonts w:ascii="Arial" w:hAnsi="Arial" w:cs="Arial"/>
          <w:sz w:val="24"/>
          <w:szCs w:val="24"/>
        </w:rPr>
        <w:t>850 </w:t>
      </w:r>
      <w:r w:rsidRPr="00234CDC">
        <w:rPr>
          <w:rFonts w:ascii="Arial" w:hAnsi="Arial" w:cs="Arial"/>
          <w:sz w:val="24"/>
          <w:szCs w:val="24"/>
        </w:rPr>
        <w:t xml:space="preserve">USD </w:t>
      </w:r>
      <w:r w:rsidR="00C35325" w:rsidRPr="00234CDC">
        <w:rPr>
          <w:rFonts w:ascii="Arial" w:hAnsi="Arial" w:cs="Arial"/>
          <w:sz w:val="24"/>
          <w:szCs w:val="24"/>
        </w:rPr>
        <w:t>a été adopté. Ce niveau est sensiblement supérieur au niveau moyen de salaire des agents du CTE de Port au Prince.</w:t>
      </w:r>
    </w:p>
    <w:p w:rsidR="00C35325" w:rsidRPr="00234CDC" w:rsidRDefault="00E1287B" w:rsidP="000A0A4D">
      <w:pPr>
        <w:rPr>
          <w:rFonts w:ascii="Arial" w:hAnsi="Arial" w:cs="Arial"/>
          <w:sz w:val="24"/>
          <w:szCs w:val="24"/>
        </w:rPr>
      </w:pPr>
      <w:r w:rsidRPr="00234CDC">
        <w:rPr>
          <w:rFonts w:ascii="Arial" w:hAnsi="Arial" w:cs="Arial"/>
          <w:sz w:val="24"/>
          <w:szCs w:val="24"/>
        </w:rPr>
        <w:t>Les charges de personnel constituent un poste important des charges d’exploitation dont le pourcentage va en régressant sur la période 2019-2025. Il représente en 2025 3</w:t>
      </w:r>
      <w:r w:rsidR="000E2A55" w:rsidRPr="00234CDC">
        <w:rPr>
          <w:rFonts w:ascii="Arial" w:hAnsi="Arial" w:cs="Arial"/>
          <w:sz w:val="24"/>
          <w:szCs w:val="24"/>
        </w:rPr>
        <w:t>9</w:t>
      </w:r>
      <w:r w:rsidRPr="00234CDC">
        <w:rPr>
          <w:rFonts w:ascii="Arial" w:hAnsi="Arial" w:cs="Arial"/>
          <w:sz w:val="24"/>
          <w:szCs w:val="24"/>
        </w:rPr>
        <w:t>% des charges d’exploitation.</w:t>
      </w:r>
    </w:p>
    <w:p w:rsidR="00E1287B" w:rsidRPr="00234CDC" w:rsidRDefault="00E1287B" w:rsidP="000A0A4D">
      <w:pPr>
        <w:rPr>
          <w:rFonts w:ascii="Arial" w:hAnsi="Arial" w:cs="Arial"/>
          <w:b/>
          <w:sz w:val="24"/>
          <w:szCs w:val="24"/>
        </w:rPr>
      </w:pPr>
      <w:r w:rsidRPr="00234CDC">
        <w:rPr>
          <w:rFonts w:ascii="Arial" w:hAnsi="Arial" w:cs="Arial"/>
          <w:b/>
          <w:sz w:val="24"/>
          <w:szCs w:val="24"/>
        </w:rPr>
        <w:t>L’électricité</w:t>
      </w:r>
    </w:p>
    <w:p w:rsidR="00E1287B" w:rsidRPr="00234CDC" w:rsidRDefault="002A3C15" w:rsidP="000A0A4D">
      <w:pPr>
        <w:rPr>
          <w:rFonts w:ascii="Arial" w:hAnsi="Arial" w:cs="Arial"/>
          <w:sz w:val="24"/>
          <w:szCs w:val="24"/>
        </w:rPr>
      </w:pPr>
      <w:r w:rsidRPr="00234CDC">
        <w:rPr>
          <w:rFonts w:ascii="Arial" w:hAnsi="Arial" w:cs="Arial"/>
          <w:sz w:val="24"/>
          <w:szCs w:val="24"/>
        </w:rPr>
        <w:t>Les charges d’électricité ont été calculées en fonction des caractéristiques techniques du projet en prenant en compte une HMT moyenne de 60 m et un coût du Kwh de 0,3 USD</w:t>
      </w:r>
    </w:p>
    <w:p w:rsidR="002A3C15" w:rsidRPr="00234CDC" w:rsidRDefault="002A3C15" w:rsidP="000A0A4D">
      <w:pPr>
        <w:rPr>
          <w:rFonts w:ascii="Arial" w:hAnsi="Arial" w:cs="Arial"/>
          <w:sz w:val="24"/>
          <w:szCs w:val="24"/>
        </w:rPr>
      </w:pPr>
      <w:r w:rsidRPr="00234CDC">
        <w:rPr>
          <w:rFonts w:ascii="Arial" w:hAnsi="Arial" w:cs="Arial"/>
          <w:sz w:val="24"/>
          <w:szCs w:val="24"/>
        </w:rPr>
        <w:t xml:space="preserve">En 2025, elles représentent </w:t>
      </w:r>
      <w:r w:rsidR="00CE533B" w:rsidRPr="00234CDC">
        <w:rPr>
          <w:rFonts w:ascii="Arial" w:hAnsi="Arial" w:cs="Arial"/>
          <w:sz w:val="24"/>
          <w:szCs w:val="24"/>
        </w:rPr>
        <w:t>2</w:t>
      </w:r>
      <w:r w:rsidR="000E2A55" w:rsidRPr="00234CDC">
        <w:rPr>
          <w:rFonts w:ascii="Arial" w:hAnsi="Arial" w:cs="Arial"/>
          <w:sz w:val="24"/>
          <w:szCs w:val="24"/>
        </w:rPr>
        <w:t>5</w:t>
      </w:r>
      <w:r w:rsidRPr="00234CDC">
        <w:rPr>
          <w:rFonts w:ascii="Arial" w:hAnsi="Arial" w:cs="Arial"/>
          <w:sz w:val="24"/>
          <w:szCs w:val="24"/>
        </w:rPr>
        <w:t>% des charges d’exploitation.</w:t>
      </w:r>
    </w:p>
    <w:p w:rsidR="00834DAB" w:rsidRPr="00234CDC" w:rsidRDefault="00793F81" w:rsidP="000A0A4D">
      <w:pPr>
        <w:rPr>
          <w:rFonts w:ascii="Arial" w:hAnsi="Arial" w:cs="Arial"/>
          <w:sz w:val="24"/>
          <w:szCs w:val="24"/>
        </w:rPr>
      </w:pPr>
      <w:r w:rsidRPr="00234CDC">
        <w:rPr>
          <w:rFonts w:ascii="Arial" w:hAnsi="Arial" w:cs="Arial"/>
          <w:sz w:val="24"/>
          <w:szCs w:val="24"/>
        </w:rPr>
        <w:t xml:space="preserve">L’équipement électrique et électromécanique des forages est inclus dans le financement. L’entreprise en charge des travaux d’équipement devra garantir le bon fonctionnement des installations et </w:t>
      </w:r>
      <w:r w:rsidR="00DB7A46" w:rsidRPr="00234CDC">
        <w:rPr>
          <w:rFonts w:ascii="Arial" w:hAnsi="Arial" w:cs="Arial"/>
          <w:sz w:val="24"/>
          <w:szCs w:val="24"/>
        </w:rPr>
        <w:t>en assurer</w:t>
      </w:r>
      <w:r w:rsidRPr="00234CDC">
        <w:rPr>
          <w:rFonts w:ascii="Arial" w:hAnsi="Arial" w:cs="Arial"/>
          <w:sz w:val="24"/>
          <w:szCs w:val="24"/>
        </w:rPr>
        <w:t xml:space="preserve"> l’exploitation pendant 3 ans après la mise en service. Les coûts d’énergie sur les 3 premières années sont inclus dans le financement.</w:t>
      </w:r>
    </w:p>
    <w:p w:rsidR="002A3C15" w:rsidRPr="00234CDC" w:rsidRDefault="002A3C15" w:rsidP="000A0A4D">
      <w:pPr>
        <w:rPr>
          <w:rFonts w:ascii="Arial" w:hAnsi="Arial" w:cs="Arial"/>
          <w:b/>
          <w:sz w:val="24"/>
          <w:szCs w:val="24"/>
        </w:rPr>
      </w:pPr>
      <w:r w:rsidRPr="00234CDC">
        <w:rPr>
          <w:rFonts w:ascii="Arial" w:hAnsi="Arial" w:cs="Arial"/>
          <w:b/>
          <w:sz w:val="24"/>
          <w:szCs w:val="24"/>
        </w:rPr>
        <w:t>Le traitement</w:t>
      </w:r>
    </w:p>
    <w:p w:rsidR="002A3C15" w:rsidRPr="00234CDC" w:rsidRDefault="002A3C15" w:rsidP="000A0A4D">
      <w:pPr>
        <w:rPr>
          <w:rFonts w:ascii="Arial" w:hAnsi="Arial" w:cs="Arial"/>
          <w:sz w:val="24"/>
          <w:szCs w:val="24"/>
        </w:rPr>
      </w:pPr>
      <w:r w:rsidRPr="00234CDC">
        <w:rPr>
          <w:rFonts w:ascii="Arial" w:hAnsi="Arial" w:cs="Arial"/>
          <w:sz w:val="24"/>
          <w:szCs w:val="24"/>
        </w:rPr>
        <w:t>Les charges de traitement ont été calculées sur la base d’un coût au m3 de 0,00</w:t>
      </w:r>
      <w:r w:rsidR="00793F81" w:rsidRPr="00234CDC">
        <w:rPr>
          <w:rFonts w:ascii="Arial" w:hAnsi="Arial" w:cs="Arial"/>
          <w:sz w:val="24"/>
          <w:szCs w:val="24"/>
        </w:rPr>
        <w:t>5</w:t>
      </w:r>
      <w:r w:rsidRPr="00234CDC">
        <w:rPr>
          <w:rFonts w:ascii="Arial" w:hAnsi="Arial" w:cs="Arial"/>
          <w:sz w:val="24"/>
          <w:szCs w:val="24"/>
        </w:rPr>
        <w:t>USD.</w:t>
      </w:r>
    </w:p>
    <w:p w:rsidR="002A3C15" w:rsidRPr="00234CDC" w:rsidRDefault="002A3C15" w:rsidP="000A0A4D">
      <w:pPr>
        <w:rPr>
          <w:rFonts w:ascii="Arial" w:hAnsi="Arial" w:cs="Arial"/>
          <w:sz w:val="24"/>
          <w:szCs w:val="24"/>
        </w:rPr>
      </w:pPr>
      <w:r w:rsidRPr="00234CDC">
        <w:rPr>
          <w:rFonts w:ascii="Arial" w:hAnsi="Arial" w:cs="Arial"/>
          <w:sz w:val="24"/>
          <w:szCs w:val="24"/>
        </w:rPr>
        <w:t xml:space="preserve">En 2025, elles représentent </w:t>
      </w:r>
      <w:r w:rsidR="001A7B41" w:rsidRPr="00234CDC">
        <w:rPr>
          <w:rFonts w:ascii="Arial" w:hAnsi="Arial" w:cs="Arial"/>
          <w:sz w:val="24"/>
          <w:szCs w:val="24"/>
        </w:rPr>
        <w:t>2</w:t>
      </w:r>
      <w:r w:rsidRPr="00234CDC">
        <w:rPr>
          <w:rFonts w:ascii="Arial" w:hAnsi="Arial" w:cs="Arial"/>
          <w:sz w:val="24"/>
          <w:szCs w:val="24"/>
        </w:rPr>
        <w:t>% des charges d’exploitation.</w:t>
      </w:r>
    </w:p>
    <w:p w:rsidR="002A3C15" w:rsidRPr="00234CDC" w:rsidRDefault="001A7B41" w:rsidP="000A0A4D">
      <w:pPr>
        <w:rPr>
          <w:rFonts w:ascii="Arial" w:hAnsi="Arial" w:cs="Arial"/>
          <w:b/>
          <w:sz w:val="24"/>
          <w:szCs w:val="24"/>
        </w:rPr>
      </w:pPr>
      <w:r w:rsidRPr="00234CDC">
        <w:rPr>
          <w:rFonts w:ascii="Arial" w:hAnsi="Arial" w:cs="Arial"/>
          <w:b/>
          <w:sz w:val="24"/>
          <w:szCs w:val="24"/>
        </w:rPr>
        <w:t>Les autres charges</w:t>
      </w:r>
    </w:p>
    <w:p w:rsidR="001A7B41" w:rsidRPr="00234CDC" w:rsidRDefault="001A7B41" w:rsidP="000A0A4D">
      <w:pPr>
        <w:rPr>
          <w:rFonts w:ascii="Arial" w:hAnsi="Arial" w:cs="Arial"/>
          <w:sz w:val="24"/>
          <w:szCs w:val="24"/>
          <w:u w:val="single"/>
        </w:rPr>
      </w:pPr>
      <w:r w:rsidRPr="00234CDC">
        <w:rPr>
          <w:rFonts w:ascii="Arial" w:hAnsi="Arial" w:cs="Arial"/>
          <w:sz w:val="24"/>
          <w:szCs w:val="24"/>
          <w:u w:val="single"/>
        </w:rPr>
        <w:t>Entretien et maintenance du réseau</w:t>
      </w:r>
      <w:r w:rsidR="00FD3211" w:rsidRPr="00234CDC">
        <w:rPr>
          <w:rFonts w:ascii="Arial" w:hAnsi="Arial" w:cs="Arial"/>
          <w:sz w:val="24"/>
          <w:szCs w:val="24"/>
          <w:u w:val="single"/>
        </w:rPr>
        <w:t xml:space="preserve"> et équipements</w:t>
      </w:r>
    </w:p>
    <w:p w:rsidR="001A7B41" w:rsidRPr="00234CDC" w:rsidRDefault="001A7B41" w:rsidP="000A0A4D">
      <w:pPr>
        <w:rPr>
          <w:rFonts w:ascii="Arial" w:hAnsi="Arial" w:cs="Arial"/>
          <w:sz w:val="24"/>
          <w:szCs w:val="24"/>
        </w:rPr>
      </w:pPr>
      <w:r w:rsidRPr="00234CDC">
        <w:rPr>
          <w:rFonts w:ascii="Arial" w:hAnsi="Arial" w:cs="Arial"/>
          <w:sz w:val="24"/>
          <w:szCs w:val="24"/>
        </w:rPr>
        <w:t xml:space="preserve">Cette rubrique englobe les besoins en pièces et accessoires de réparation des tuyaux et équipements. Ces besoins vont en croissant avec l’âge des réseaux et installations. Ils sont généralement évalués de manière normative comme un pourcentage </w:t>
      </w:r>
      <w:r w:rsidR="00FD3211" w:rsidRPr="00234CDC">
        <w:rPr>
          <w:rFonts w:ascii="Arial" w:hAnsi="Arial" w:cs="Arial"/>
          <w:sz w:val="24"/>
          <w:szCs w:val="24"/>
        </w:rPr>
        <w:t>de l’investissement cumulé, pourcentage croissant avec l’âge</w:t>
      </w:r>
      <w:r w:rsidRPr="00234CDC">
        <w:rPr>
          <w:rFonts w:ascii="Arial" w:hAnsi="Arial" w:cs="Arial"/>
          <w:sz w:val="24"/>
          <w:szCs w:val="24"/>
        </w:rPr>
        <w:t>. S’agissant d’un investissement nouveau ces besoins devraient être limités</w:t>
      </w:r>
      <w:r w:rsidR="000A0A4D" w:rsidRPr="00234CDC">
        <w:rPr>
          <w:rFonts w:ascii="Arial" w:hAnsi="Arial" w:cs="Arial"/>
          <w:sz w:val="24"/>
          <w:szCs w:val="24"/>
        </w:rPr>
        <w:t>.</w:t>
      </w:r>
      <w:r w:rsidR="00FD3211" w:rsidRPr="00234CDC">
        <w:rPr>
          <w:rFonts w:ascii="Arial" w:hAnsi="Arial" w:cs="Arial"/>
          <w:sz w:val="24"/>
          <w:szCs w:val="24"/>
        </w:rPr>
        <w:t xml:space="preserve"> Il a été retenu un pourcentage de 0,</w:t>
      </w:r>
      <w:r w:rsidR="00CE533B" w:rsidRPr="00234CDC">
        <w:rPr>
          <w:rFonts w:ascii="Arial" w:hAnsi="Arial" w:cs="Arial"/>
          <w:sz w:val="24"/>
          <w:szCs w:val="24"/>
        </w:rPr>
        <w:t>8</w:t>
      </w:r>
      <w:r w:rsidR="00FD3211" w:rsidRPr="00234CDC">
        <w:rPr>
          <w:rFonts w:ascii="Arial" w:hAnsi="Arial" w:cs="Arial"/>
          <w:sz w:val="24"/>
          <w:szCs w:val="24"/>
        </w:rPr>
        <w:t>%.</w:t>
      </w:r>
    </w:p>
    <w:p w:rsidR="00FD3211" w:rsidRPr="00234CDC" w:rsidRDefault="00FD3211" w:rsidP="000A0A4D">
      <w:pPr>
        <w:rPr>
          <w:rFonts w:ascii="Arial" w:hAnsi="Arial" w:cs="Arial"/>
          <w:sz w:val="24"/>
          <w:szCs w:val="24"/>
        </w:rPr>
      </w:pPr>
      <w:r w:rsidRPr="00234CDC">
        <w:rPr>
          <w:rFonts w:ascii="Arial" w:hAnsi="Arial" w:cs="Arial"/>
          <w:sz w:val="24"/>
          <w:szCs w:val="24"/>
        </w:rPr>
        <w:t xml:space="preserve">En 2025, </w:t>
      </w:r>
      <w:r w:rsidR="000A0A4D" w:rsidRPr="00234CDC">
        <w:rPr>
          <w:rFonts w:ascii="Arial" w:hAnsi="Arial" w:cs="Arial"/>
          <w:sz w:val="24"/>
          <w:szCs w:val="24"/>
        </w:rPr>
        <w:t>c</w:t>
      </w:r>
      <w:r w:rsidRPr="00234CDC">
        <w:rPr>
          <w:rFonts w:ascii="Arial" w:hAnsi="Arial" w:cs="Arial"/>
          <w:sz w:val="24"/>
          <w:szCs w:val="24"/>
        </w:rPr>
        <w:t xml:space="preserve">es charges représentent </w:t>
      </w:r>
      <w:r w:rsidR="00CE533B" w:rsidRPr="00234CDC">
        <w:rPr>
          <w:rFonts w:ascii="Arial" w:hAnsi="Arial" w:cs="Arial"/>
          <w:sz w:val="24"/>
          <w:szCs w:val="24"/>
        </w:rPr>
        <w:t>1</w:t>
      </w:r>
      <w:r w:rsidR="000E2A55" w:rsidRPr="00234CDC">
        <w:rPr>
          <w:rFonts w:ascii="Arial" w:hAnsi="Arial" w:cs="Arial"/>
          <w:sz w:val="24"/>
          <w:szCs w:val="24"/>
        </w:rPr>
        <w:t>6</w:t>
      </w:r>
      <w:r w:rsidRPr="00234CDC">
        <w:rPr>
          <w:rFonts w:ascii="Arial" w:hAnsi="Arial" w:cs="Arial"/>
          <w:sz w:val="24"/>
          <w:szCs w:val="24"/>
        </w:rPr>
        <w:t>% des charges d’exploitation.</w:t>
      </w:r>
    </w:p>
    <w:p w:rsidR="00FD3211" w:rsidRPr="00234CDC" w:rsidRDefault="00FD3211" w:rsidP="000A0A4D">
      <w:pPr>
        <w:rPr>
          <w:rFonts w:ascii="Arial" w:hAnsi="Arial" w:cs="Arial"/>
          <w:sz w:val="24"/>
          <w:szCs w:val="24"/>
          <w:u w:val="single"/>
        </w:rPr>
      </w:pPr>
      <w:r w:rsidRPr="00234CDC">
        <w:rPr>
          <w:rFonts w:ascii="Arial" w:hAnsi="Arial" w:cs="Arial"/>
          <w:sz w:val="24"/>
          <w:szCs w:val="24"/>
          <w:u w:val="single"/>
        </w:rPr>
        <w:t>Véhicules et engins</w:t>
      </w:r>
    </w:p>
    <w:p w:rsidR="00FD3211" w:rsidRPr="00234CDC" w:rsidRDefault="00FD3211" w:rsidP="000A0A4D">
      <w:pPr>
        <w:rPr>
          <w:rFonts w:ascii="Arial" w:hAnsi="Arial" w:cs="Arial"/>
          <w:sz w:val="24"/>
          <w:szCs w:val="24"/>
        </w:rPr>
      </w:pPr>
      <w:r w:rsidRPr="00234CDC">
        <w:rPr>
          <w:rFonts w:ascii="Arial" w:hAnsi="Arial" w:cs="Arial"/>
          <w:sz w:val="24"/>
          <w:szCs w:val="24"/>
        </w:rPr>
        <w:t>Le CTE étant très démuni en moyen</w:t>
      </w:r>
      <w:r w:rsidR="00880D84" w:rsidRPr="00234CDC">
        <w:rPr>
          <w:rFonts w:ascii="Arial" w:hAnsi="Arial" w:cs="Arial"/>
          <w:sz w:val="24"/>
          <w:szCs w:val="24"/>
        </w:rPr>
        <w:t>s</w:t>
      </w:r>
      <w:r w:rsidRPr="00234CDC">
        <w:rPr>
          <w:rFonts w:ascii="Arial" w:hAnsi="Arial" w:cs="Arial"/>
          <w:sz w:val="24"/>
          <w:szCs w:val="24"/>
        </w:rPr>
        <w:t xml:space="preserve"> de déplacement ou d’intervention, il appartiendra à l’opérateur d’établir un programme d’acquisition de véhicules et engins nécessaires </w:t>
      </w:r>
      <w:r w:rsidR="00F9115C" w:rsidRPr="00234CDC">
        <w:rPr>
          <w:rFonts w:ascii="Arial" w:hAnsi="Arial" w:cs="Arial"/>
          <w:sz w:val="24"/>
          <w:szCs w:val="24"/>
        </w:rPr>
        <w:t>à l’activité d’exploitation.</w:t>
      </w:r>
    </w:p>
    <w:p w:rsidR="007D42B1" w:rsidRPr="00234CDC" w:rsidRDefault="00F9115C" w:rsidP="000A0A4D">
      <w:pPr>
        <w:rPr>
          <w:rFonts w:ascii="Arial" w:hAnsi="Arial" w:cs="Arial"/>
          <w:sz w:val="24"/>
          <w:szCs w:val="24"/>
        </w:rPr>
      </w:pPr>
      <w:r w:rsidRPr="00234CDC">
        <w:rPr>
          <w:rFonts w:ascii="Arial" w:hAnsi="Arial" w:cs="Arial"/>
          <w:sz w:val="24"/>
          <w:szCs w:val="24"/>
        </w:rPr>
        <w:t xml:space="preserve">Les charges prises en compte se basent sur un programme raisonnable d’acquisition. </w:t>
      </w:r>
    </w:p>
    <w:p w:rsidR="007D42B1" w:rsidRPr="00234CDC" w:rsidRDefault="007D42B1" w:rsidP="000A0A4D">
      <w:pPr>
        <w:rPr>
          <w:rFonts w:ascii="Arial" w:hAnsi="Arial" w:cs="Arial"/>
          <w:sz w:val="24"/>
          <w:szCs w:val="24"/>
        </w:rPr>
      </w:pPr>
      <w:r w:rsidRPr="00234CDC">
        <w:rPr>
          <w:rFonts w:ascii="Arial" w:hAnsi="Arial" w:cs="Arial"/>
          <w:sz w:val="24"/>
          <w:szCs w:val="24"/>
        </w:rPr>
        <w:t>Elles intègrent l’ensemble des coûts : amortissement, assurance, carburant, etc.</w:t>
      </w:r>
    </w:p>
    <w:p w:rsidR="00F9115C" w:rsidRPr="00234CDC" w:rsidRDefault="00F9115C" w:rsidP="000A0A4D">
      <w:pPr>
        <w:rPr>
          <w:rFonts w:ascii="Arial" w:hAnsi="Arial" w:cs="Arial"/>
          <w:sz w:val="24"/>
          <w:szCs w:val="24"/>
        </w:rPr>
      </w:pPr>
      <w:r w:rsidRPr="00234CDC">
        <w:rPr>
          <w:rFonts w:ascii="Arial" w:hAnsi="Arial" w:cs="Arial"/>
          <w:sz w:val="24"/>
          <w:szCs w:val="24"/>
        </w:rPr>
        <w:lastRenderedPageBreak/>
        <w:t xml:space="preserve">En 2025, les charges représentent </w:t>
      </w:r>
      <w:r w:rsidR="000E2A55" w:rsidRPr="00234CDC">
        <w:rPr>
          <w:rFonts w:ascii="Arial" w:hAnsi="Arial" w:cs="Arial"/>
          <w:sz w:val="24"/>
          <w:szCs w:val="24"/>
        </w:rPr>
        <w:t>9</w:t>
      </w:r>
      <w:r w:rsidRPr="00234CDC">
        <w:rPr>
          <w:rFonts w:ascii="Arial" w:hAnsi="Arial" w:cs="Arial"/>
          <w:sz w:val="24"/>
          <w:szCs w:val="24"/>
        </w:rPr>
        <w:t>% des charges d’exploitation.</w:t>
      </w:r>
    </w:p>
    <w:p w:rsidR="003F2471" w:rsidRPr="00234CDC" w:rsidRDefault="003F2471" w:rsidP="000A0A4D">
      <w:pPr>
        <w:rPr>
          <w:rFonts w:ascii="Arial" w:hAnsi="Arial" w:cs="Arial"/>
          <w:sz w:val="24"/>
          <w:szCs w:val="24"/>
          <w:u w:val="single"/>
        </w:rPr>
      </w:pPr>
      <w:r w:rsidRPr="00234CDC">
        <w:rPr>
          <w:rFonts w:ascii="Arial" w:hAnsi="Arial" w:cs="Arial"/>
          <w:sz w:val="24"/>
          <w:szCs w:val="24"/>
          <w:u w:val="single"/>
        </w:rPr>
        <w:t>Opérations commerciales sous-traitées</w:t>
      </w:r>
    </w:p>
    <w:p w:rsidR="003F2471" w:rsidRPr="00234CDC" w:rsidRDefault="003F2471" w:rsidP="000A0A4D">
      <w:pPr>
        <w:rPr>
          <w:rFonts w:ascii="Arial" w:hAnsi="Arial" w:cs="Arial"/>
          <w:sz w:val="24"/>
          <w:szCs w:val="24"/>
        </w:rPr>
      </w:pPr>
      <w:r w:rsidRPr="00234CDC">
        <w:rPr>
          <w:rFonts w:ascii="Arial" w:hAnsi="Arial" w:cs="Arial"/>
          <w:sz w:val="24"/>
          <w:szCs w:val="24"/>
        </w:rPr>
        <w:t>Pour l’efficacité du service commercial, il est proposé de sous-traiter les opérations de lecture – facturation sur site.</w:t>
      </w:r>
    </w:p>
    <w:p w:rsidR="003F2471" w:rsidRPr="00234CDC" w:rsidRDefault="008211A4" w:rsidP="000A0A4D">
      <w:pPr>
        <w:rPr>
          <w:rFonts w:ascii="Arial" w:hAnsi="Arial" w:cs="Arial"/>
          <w:sz w:val="24"/>
          <w:szCs w:val="24"/>
        </w:rPr>
      </w:pPr>
      <w:r w:rsidRPr="00234CDC">
        <w:rPr>
          <w:rFonts w:ascii="Arial" w:hAnsi="Arial" w:cs="Arial"/>
          <w:sz w:val="24"/>
          <w:szCs w:val="24"/>
        </w:rPr>
        <w:t>Dans de nombreuses compagnies c</w:t>
      </w:r>
      <w:r w:rsidR="003F2471" w:rsidRPr="00234CDC">
        <w:rPr>
          <w:rFonts w:ascii="Arial" w:hAnsi="Arial" w:cs="Arial"/>
          <w:sz w:val="24"/>
          <w:szCs w:val="24"/>
        </w:rPr>
        <w:t xml:space="preserve">e travail est </w:t>
      </w:r>
      <w:r w:rsidRPr="00234CDC">
        <w:rPr>
          <w:rFonts w:ascii="Arial" w:hAnsi="Arial" w:cs="Arial"/>
          <w:sz w:val="24"/>
          <w:szCs w:val="24"/>
        </w:rPr>
        <w:t xml:space="preserve">souvent </w:t>
      </w:r>
      <w:r w:rsidR="00855CDB" w:rsidRPr="00234CDC">
        <w:rPr>
          <w:rFonts w:ascii="Arial" w:hAnsi="Arial" w:cs="Arial"/>
          <w:sz w:val="24"/>
          <w:szCs w:val="24"/>
        </w:rPr>
        <w:t>confié</w:t>
      </w:r>
      <w:r w:rsidRPr="00234CDC">
        <w:rPr>
          <w:rFonts w:ascii="Arial" w:hAnsi="Arial" w:cs="Arial"/>
          <w:sz w:val="24"/>
          <w:szCs w:val="24"/>
        </w:rPr>
        <w:t xml:space="preserve"> à des </w:t>
      </w:r>
      <w:r w:rsidR="003F2471" w:rsidRPr="00234CDC">
        <w:rPr>
          <w:rFonts w:ascii="Arial" w:hAnsi="Arial" w:cs="Arial"/>
          <w:sz w:val="24"/>
          <w:szCs w:val="24"/>
        </w:rPr>
        <w:t xml:space="preserve">sociétés spécialisées </w:t>
      </w:r>
      <w:r w:rsidRPr="00234CDC">
        <w:rPr>
          <w:rFonts w:ascii="Arial" w:hAnsi="Arial" w:cs="Arial"/>
          <w:sz w:val="24"/>
          <w:szCs w:val="24"/>
        </w:rPr>
        <w:t>qui ont acquis aujourd’hui un grand savoir-faire. Cette solution est parfaitement pertinente dans le cas de la Ville de Cap Haiti</w:t>
      </w:r>
      <w:r w:rsidR="00880D84" w:rsidRPr="00234CDC">
        <w:rPr>
          <w:rFonts w:ascii="Arial" w:hAnsi="Arial" w:cs="Arial"/>
          <w:sz w:val="24"/>
          <w:szCs w:val="24"/>
        </w:rPr>
        <w:t>en</w:t>
      </w:r>
      <w:r w:rsidR="009B6623" w:rsidRPr="00234CDC">
        <w:rPr>
          <w:rFonts w:ascii="Arial" w:hAnsi="Arial" w:cs="Arial"/>
          <w:sz w:val="24"/>
          <w:szCs w:val="24"/>
        </w:rPr>
        <w:t>, pour laquelle la totalité des branchements seront équipés de compteurs d’eau.</w:t>
      </w:r>
    </w:p>
    <w:p w:rsidR="008211A4" w:rsidRPr="00234CDC" w:rsidRDefault="008211A4" w:rsidP="000A0A4D">
      <w:pPr>
        <w:rPr>
          <w:rFonts w:ascii="Arial" w:hAnsi="Arial" w:cs="Arial"/>
          <w:sz w:val="24"/>
          <w:szCs w:val="24"/>
        </w:rPr>
      </w:pPr>
      <w:r w:rsidRPr="00234CDC">
        <w:rPr>
          <w:rFonts w:ascii="Arial" w:hAnsi="Arial" w:cs="Arial"/>
          <w:sz w:val="24"/>
          <w:szCs w:val="24"/>
        </w:rPr>
        <w:t>Les charges ont été calculé</w:t>
      </w:r>
      <w:r w:rsidR="00880D84" w:rsidRPr="00234CDC">
        <w:rPr>
          <w:rFonts w:ascii="Arial" w:hAnsi="Arial" w:cs="Arial"/>
          <w:sz w:val="24"/>
          <w:szCs w:val="24"/>
        </w:rPr>
        <w:t>es</w:t>
      </w:r>
      <w:r w:rsidRPr="00234CDC">
        <w:rPr>
          <w:rFonts w:ascii="Arial" w:hAnsi="Arial" w:cs="Arial"/>
          <w:sz w:val="24"/>
          <w:szCs w:val="24"/>
        </w:rPr>
        <w:t xml:space="preserve"> sur la base de 1 USD par facture. Elles représentent </w:t>
      </w:r>
      <w:r w:rsidR="000E2A55" w:rsidRPr="00234CDC">
        <w:rPr>
          <w:rFonts w:ascii="Arial" w:hAnsi="Arial" w:cs="Arial"/>
          <w:sz w:val="24"/>
          <w:szCs w:val="24"/>
        </w:rPr>
        <w:t>9</w:t>
      </w:r>
      <w:r w:rsidRPr="00234CDC">
        <w:rPr>
          <w:rFonts w:ascii="Arial" w:hAnsi="Arial" w:cs="Arial"/>
          <w:sz w:val="24"/>
          <w:szCs w:val="24"/>
        </w:rPr>
        <w:t>% des charges d’exploitation en 2025</w:t>
      </w:r>
    </w:p>
    <w:p w:rsidR="008211A4" w:rsidRPr="00234CDC" w:rsidRDefault="008D701C" w:rsidP="000A0A4D">
      <w:pPr>
        <w:rPr>
          <w:rFonts w:ascii="Arial" w:hAnsi="Arial" w:cs="Arial"/>
          <w:b/>
          <w:sz w:val="24"/>
          <w:szCs w:val="24"/>
        </w:rPr>
      </w:pPr>
      <w:r w:rsidRPr="00234CDC">
        <w:rPr>
          <w:rFonts w:ascii="Arial" w:hAnsi="Arial" w:cs="Arial"/>
          <w:b/>
          <w:sz w:val="24"/>
          <w:szCs w:val="24"/>
        </w:rPr>
        <w:t>C</w:t>
      </w:r>
      <w:r w:rsidR="00A82B90" w:rsidRPr="00234CDC">
        <w:rPr>
          <w:rFonts w:ascii="Arial" w:hAnsi="Arial" w:cs="Arial"/>
          <w:b/>
          <w:sz w:val="24"/>
          <w:szCs w:val="24"/>
        </w:rPr>
        <w:t>harges d’exploitation</w:t>
      </w:r>
      <w:r w:rsidRPr="00234CDC">
        <w:rPr>
          <w:rFonts w:ascii="Arial" w:hAnsi="Arial" w:cs="Arial"/>
          <w:b/>
          <w:sz w:val="24"/>
          <w:szCs w:val="24"/>
        </w:rPr>
        <w:t xml:space="preserve"> / m3 distribués</w:t>
      </w:r>
    </w:p>
    <w:p w:rsidR="003F2471" w:rsidRPr="00234CDC" w:rsidRDefault="008211A4" w:rsidP="000A0A4D">
      <w:pPr>
        <w:rPr>
          <w:rFonts w:ascii="Arial" w:hAnsi="Arial" w:cs="Arial"/>
          <w:b/>
          <w:sz w:val="24"/>
          <w:szCs w:val="24"/>
        </w:rPr>
      </w:pPr>
      <w:r w:rsidRPr="00234CDC">
        <w:rPr>
          <w:rFonts w:ascii="Arial" w:hAnsi="Arial" w:cs="Arial"/>
          <w:sz w:val="24"/>
          <w:szCs w:val="24"/>
        </w:rPr>
        <w:t xml:space="preserve">Ramenées au m3 distribué les charges d’exploitation représentent un montant décroissant sur la période </w:t>
      </w:r>
      <w:r w:rsidR="00A82B90" w:rsidRPr="00234CDC">
        <w:rPr>
          <w:rFonts w:ascii="Arial" w:hAnsi="Arial" w:cs="Arial"/>
          <w:sz w:val="24"/>
          <w:szCs w:val="24"/>
        </w:rPr>
        <w:t xml:space="preserve">2019 – </w:t>
      </w:r>
      <w:r w:rsidR="00DB7A46" w:rsidRPr="00234CDC">
        <w:rPr>
          <w:rFonts w:ascii="Arial" w:hAnsi="Arial" w:cs="Arial"/>
          <w:sz w:val="24"/>
          <w:szCs w:val="24"/>
        </w:rPr>
        <w:t>2025,</w:t>
      </w:r>
      <w:r w:rsidR="00A82B90" w:rsidRPr="00234CDC">
        <w:rPr>
          <w:rFonts w:ascii="Arial" w:hAnsi="Arial" w:cs="Arial"/>
          <w:sz w:val="24"/>
          <w:szCs w:val="24"/>
        </w:rPr>
        <w:t xml:space="preserve"> de 0,</w:t>
      </w:r>
      <w:r w:rsidR="005E4203" w:rsidRPr="00234CDC">
        <w:rPr>
          <w:rFonts w:ascii="Arial" w:hAnsi="Arial" w:cs="Arial"/>
          <w:sz w:val="24"/>
          <w:szCs w:val="24"/>
        </w:rPr>
        <w:t>5</w:t>
      </w:r>
      <w:r w:rsidR="000E2A55" w:rsidRPr="00234CDC">
        <w:rPr>
          <w:rFonts w:ascii="Arial" w:hAnsi="Arial" w:cs="Arial"/>
          <w:sz w:val="24"/>
          <w:szCs w:val="24"/>
        </w:rPr>
        <w:t>5</w:t>
      </w:r>
      <w:r w:rsidR="00A82B90" w:rsidRPr="00234CDC">
        <w:rPr>
          <w:rFonts w:ascii="Arial" w:hAnsi="Arial" w:cs="Arial"/>
          <w:sz w:val="24"/>
          <w:szCs w:val="24"/>
        </w:rPr>
        <w:t xml:space="preserve"> USD à 0,</w:t>
      </w:r>
      <w:r w:rsidR="005E4203" w:rsidRPr="00234CDC">
        <w:rPr>
          <w:rFonts w:ascii="Arial" w:hAnsi="Arial" w:cs="Arial"/>
          <w:sz w:val="24"/>
          <w:szCs w:val="24"/>
        </w:rPr>
        <w:t>3</w:t>
      </w:r>
      <w:r w:rsidR="000E2A55" w:rsidRPr="00234CDC">
        <w:rPr>
          <w:rFonts w:ascii="Arial" w:hAnsi="Arial" w:cs="Arial"/>
          <w:sz w:val="24"/>
          <w:szCs w:val="24"/>
        </w:rPr>
        <w:t>4</w:t>
      </w:r>
      <w:r w:rsidR="00A82B90" w:rsidRPr="00234CDC">
        <w:rPr>
          <w:rFonts w:ascii="Arial" w:hAnsi="Arial" w:cs="Arial"/>
          <w:sz w:val="24"/>
          <w:szCs w:val="24"/>
        </w:rPr>
        <w:t xml:space="preserve"> USD. La moyenne sur la période s’établit à </w:t>
      </w:r>
      <w:r w:rsidR="00A82B90" w:rsidRPr="00234CDC">
        <w:rPr>
          <w:rFonts w:ascii="Arial" w:hAnsi="Arial" w:cs="Arial"/>
          <w:b/>
          <w:sz w:val="24"/>
          <w:szCs w:val="24"/>
        </w:rPr>
        <w:t>0,3</w:t>
      </w:r>
      <w:r w:rsidR="000E2A55" w:rsidRPr="00234CDC">
        <w:rPr>
          <w:rFonts w:ascii="Arial" w:hAnsi="Arial" w:cs="Arial"/>
          <w:b/>
          <w:sz w:val="24"/>
          <w:szCs w:val="24"/>
        </w:rPr>
        <w:t>9</w:t>
      </w:r>
      <w:r w:rsidR="00A82B90" w:rsidRPr="00234CDC">
        <w:rPr>
          <w:rFonts w:ascii="Arial" w:hAnsi="Arial" w:cs="Arial"/>
          <w:b/>
          <w:sz w:val="24"/>
          <w:szCs w:val="24"/>
        </w:rPr>
        <w:t xml:space="preserve"> USD</w:t>
      </w:r>
      <w:r w:rsidR="008D7F9A" w:rsidRPr="00234CDC">
        <w:rPr>
          <w:rFonts w:ascii="Arial" w:hAnsi="Arial" w:cs="Arial"/>
          <w:b/>
          <w:sz w:val="24"/>
          <w:szCs w:val="24"/>
        </w:rPr>
        <w:t>.</w:t>
      </w:r>
    </w:p>
    <w:p w:rsidR="008D7F9A" w:rsidRPr="00C1160F" w:rsidRDefault="008D7F9A" w:rsidP="00C1160F">
      <w:pPr>
        <w:pStyle w:val="ListParagraph"/>
        <w:numPr>
          <w:ilvl w:val="0"/>
          <w:numId w:val="14"/>
        </w:numPr>
        <w:rPr>
          <w:rFonts w:ascii="Arial" w:hAnsi="Arial" w:cs="Arial"/>
          <w:b/>
          <w:sz w:val="28"/>
          <w:szCs w:val="28"/>
        </w:rPr>
      </w:pPr>
      <w:r w:rsidRPr="00C1160F">
        <w:rPr>
          <w:rFonts w:ascii="Arial" w:hAnsi="Arial" w:cs="Arial"/>
          <w:b/>
          <w:sz w:val="28"/>
          <w:szCs w:val="28"/>
        </w:rPr>
        <w:t>ANALYSE DES ASPPECTS FINANCIERS – GRILLE TARIFAIRE</w:t>
      </w:r>
    </w:p>
    <w:p w:rsidR="006558EE" w:rsidRPr="00B15721" w:rsidRDefault="006558EE" w:rsidP="006558EE">
      <w:pPr>
        <w:pStyle w:val="HTMLPreformatted"/>
        <w:shd w:val="clear" w:color="auto" w:fill="FFFFFF"/>
        <w:jc w:val="both"/>
        <w:rPr>
          <w:rFonts w:ascii="Arial" w:hAnsi="Arial" w:cs="Arial"/>
          <w:sz w:val="24"/>
          <w:szCs w:val="24"/>
        </w:rPr>
      </w:pPr>
      <w:r w:rsidRPr="000D7EA7">
        <w:rPr>
          <w:rFonts w:ascii="Arial" w:hAnsi="Arial" w:cs="Arial"/>
          <w:sz w:val="24"/>
          <w:szCs w:val="24"/>
        </w:rPr>
        <w:t>La plupart des CTE pratique un tarif de l’eau au forfait dont le montant est exprimé en Gourdes par mois. Ce tarif de l’eau, acquitté par les abonnés disposant d’un branchement, varie en fonction de la catégorie d’usagers.</w:t>
      </w:r>
    </w:p>
    <w:p w:rsidR="00D65A6B" w:rsidRDefault="00D65A6B" w:rsidP="000A0A4D">
      <w:pPr>
        <w:rPr>
          <w:rFonts w:ascii="Arial" w:hAnsi="Arial" w:cs="Arial"/>
          <w:sz w:val="24"/>
          <w:szCs w:val="24"/>
        </w:rPr>
      </w:pPr>
    </w:p>
    <w:p w:rsidR="00E276BC" w:rsidRPr="00CA44D1" w:rsidRDefault="005E4203" w:rsidP="000A0A4D">
      <w:pPr>
        <w:rPr>
          <w:rFonts w:ascii="Arial" w:hAnsi="Arial" w:cs="Arial"/>
          <w:sz w:val="24"/>
          <w:szCs w:val="24"/>
        </w:rPr>
      </w:pPr>
      <w:r w:rsidRPr="00CA44D1">
        <w:rPr>
          <w:rFonts w:ascii="Arial" w:hAnsi="Arial" w:cs="Arial"/>
          <w:sz w:val="24"/>
          <w:szCs w:val="24"/>
        </w:rPr>
        <w:t xml:space="preserve">La structure tarifaire doit permettre </w:t>
      </w:r>
      <w:r w:rsidR="004A002A" w:rsidRPr="00CA44D1">
        <w:rPr>
          <w:rFonts w:ascii="Arial" w:hAnsi="Arial" w:cs="Arial"/>
          <w:sz w:val="24"/>
          <w:szCs w:val="24"/>
        </w:rPr>
        <w:t>au minimum</w:t>
      </w:r>
      <w:r w:rsidRPr="00CA44D1">
        <w:rPr>
          <w:rFonts w:ascii="Arial" w:hAnsi="Arial" w:cs="Arial"/>
          <w:sz w:val="24"/>
          <w:szCs w:val="24"/>
        </w:rPr>
        <w:t xml:space="preserve"> de couvrir les charges d’exploitation </w:t>
      </w:r>
      <w:r w:rsidR="004A002A" w:rsidRPr="00CA44D1">
        <w:rPr>
          <w:rFonts w:ascii="Arial" w:hAnsi="Arial" w:cs="Arial"/>
          <w:sz w:val="24"/>
          <w:szCs w:val="24"/>
        </w:rPr>
        <w:t xml:space="preserve">sur la période </w:t>
      </w:r>
      <w:r w:rsidRPr="00CA44D1">
        <w:rPr>
          <w:rFonts w:ascii="Arial" w:hAnsi="Arial" w:cs="Arial"/>
          <w:sz w:val="24"/>
          <w:szCs w:val="24"/>
        </w:rPr>
        <w:t xml:space="preserve">(petit équilibre). Il est souhaitable qu’elle aille au-delà afin d’offrir des marges d’action au CTE pour gérer le développement du secteur de l’eau et </w:t>
      </w:r>
      <w:r w:rsidR="004A002A" w:rsidRPr="00CA44D1">
        <w:rPr>
          <w:rFonts w:ascii="Arial" w:hAnsi="Arial" w:cs="Arial"/>
          <w:sz w:val="24"/>
          <w:szCs w:val="24"/>
        </w:rPr>
        <w:t>répondre à d’autres besoins prioritaires notamment en matière d’assainissement. Elle doit également prendre en compte certaines taxes (TCA, redevance OREPA)</w:t>
      </w:r>
    </w:p>
    <w:p w:rsidR="00E276BC" w:rsidRPr="00CA44D1" w:rsidRDefault="00803E30" w:rsidP="000A0A4D">
      <w:pPr>
        <w:rPr>
          <w:rFonts w:ascii="Arial" w:hAnsi="Arial" w:cs="Arial"/>
          <w:sz w:val="24"/>
          <w:szCs w:val="24"/>
        </w:rPr>
      </w:pPr>
      <w:r w:rsidRPr="00CA44D1">
        <w:rPr>
          <w:rFonts w:ascii="Arial" w:hAnsi="Arial" w:cs="Arial"/>
          <w:sz w:val="24"/>
          <w:szCs w:val="24"/>
        </w:rPr>
        <w:t>La structure tarifaire proposée vise à :</w:t>
      </w:r>
    </w:p>
    <w:p w:rsidR="00803E30" w:rsidRPr="00CA44D1" w:rsidRDefault="005E0F06" w:rsidP="000A0A4D">
      <w:pPr>
        <w:pStyle w:val="ListParagraph"/>
        <w:numPr>
          <w:ilvl w:val="0"/>
          <w:numId w:val="1"/>
        </w:numPr>
        <w:rPr>
          <w:rFonts w:ascii="Arial" w:hAnsi="Arial" w:cs="Arial"/>
          <w:sz w:val="24"/>
          <w:szCs w:val="24"/>
        </w:rPr>
      </w:pPr>
      <w:r w:rsidRPr="00CA44D1">
        <w:rPr>
          <w:rFonts w:ascii="Arial" w:hAnsi="Arial" w:cs="Arial"/>
          <w:sz w:val="24"/>
          <w:szCs w:val="24"/>
        </w:rPr>
        <w:t xml:space="preserve">Assurer </w:t>
      </w:r>
      <w:r w:rsidR="00FB1705" w:rsidRPr="00CA44D1">
        <w:rPr>
          <w:rFonts w:ascii="Arial" w:hAnsi="Arial" w:cs="Arial"/>
          <w:sz w:val="24"/>
          <w:szCs w:val="24"/>
        </w:rPr>
        <w:t>l’équilibre financier du CTE au cours des prochaines années compte tenu des conditions de financement apportées par les partenaires</w:t>
      </w:r>
      <w:r w:rsidR="002D3A21" w:rsidRPr="00CA44D1">
        <w:rPr>
          <w:rFonts w:ascii="Arial" w:hAnsi="Arial" w:cs="Arial"/>
          <w:sz w:val="24"/>
          <w:szCs w:val="24"/>
        </w:rPr>
        <w:t xml:space="preserve"> </w:t>
      </w:r>
      <w:r w:rsidR="008D7F9A" w:rsidRPr="00CA44D1">
        <w:rPr>
          <w:rFonts w:ascii="Arial" w:hAnsi="Arial" w:cs="Arial"/>
          <w:sz w:val="24"/>
          <w:szCs w:val="24"/>
        </w:rPr>
        <w:t>financiers (BID principalement) ;</w:t>
      </w:r>
    </w:p>
    <w:p w:rsidR="008D7F9A" w:rsidRPr="00CA44D1" w:rsidRDefault="00F93235" w:rsidP="000A0A4D">
      <w:pPr>
        <w:pStyle w:val="ListParagraph"/>
        <w:numPr>
          <w:ilvl w:val="0"/>
          <w:numId w:val="1"/>
        </w:numPr>
        <w:rPr>
          <w:rFonts w:ascii="Arial" w:hAnsi="Arial" w:cs="Arial"/>
          <w:sz w:val="24"/>
          <w:szCs w:val="24"/>
        </w:rPr>
      </w:pPr>
      <w:r w:rsidRPr="00CA44D1">
        <w:rPr>
          <w:rFonts w:ascii="Arial" w:hAnsi="Arial" w:cs="Arial"/>
          <w:sz w:val="24"/>
          <w:szCs w:val="24"/>
        </w:rPr>
        <w:t>Mettre le CTE sur une trajectoire vertueuse d’amélioration de son autonomie</w:t>
      </w:r>
      <w:r w:rsidR="00D442F1" w:rsidRPr="00CA44D1">
        <w:rPr>
          <w:rFonts w:ascii="Arial" w:hAnsi="Arial" w:cs="Arial"/>
          <w:sz w:val="24"/>
          <w:szCs w:val="24"/>
        </w:rPr>
        <w:t xml:space="preserve"> en lui permettant de dégager des marges de manœuvre pour développer le système. Il faut qu’au fil du temps </w:t>
      </w:r>
      <w:r w:rsidR="006729C0" w:rsidRPr="00CA44D1">
        <w:rPr>
          <w:rFonts w:ascii="Arial" w:hAnsi="Arial" w:cs="Arial"/>
          <w:sz w:val="24"/>
          <w:szCs w:val="24"/>
        </w:rPr>
        <w:t xml:space="preserve">le CTE </w:t>
      </w:r>
      <w:r w:rsidR="00D442F1" w:rsidRPr="00CA44D1">
        <w:rPr>
          <w:rFonts w:ascii="Arial" w:hAnsi="Arial" w:cs="Arial"/>
          <w:sz w:val="24"/>
          <w:szCs w:val="24"/>
        </w:rPr>
        <w:t>dispose de capacités d’autofinancement pour mener à bien des actions ciblé</w:t>
      </w:r>
      <w:r w:rsidR="00906616" w:rsidRPr="00CA44D1">
        <w:rPr>
          <w:rFonts w:ascii="Arial" w:hAnsi="Arial" w:cs="Arial"/>
          <w:sz w:val="24"/>
          <w:szCs w:val="24"/>
        </w:rPr>
        <w:t>e</w:t>
      </w:r>
      <w:r w:rsidR="00D442F1" w:rsidRPr="00CA44D1">
        <w:rPr>
          <w:rFonts w:ascii="Arial" w:hAnsi="Arial" w:cs="Arial"/>
          <w:sz w:val="24"/>
          <w:szCs w:val="24"/>
        </w:rPr>
        <w:t>s et mieux répondre aux urgences, par exemple développer les branchements sociaux, réaliser de petites extensions</w:t>
      </w:r>
      <w:r w:rsidR="00906616" w:rsidRPr="00CA44D1">
        <w:rPr>
          <w:rFonts w:ascii="Arial" w:hAnsi="Arial" w:cs="Arial"/>
          <w:sz w:val="24"/>
          <w:szCs w:val="24"/>
        </w:rPr>
        <w:t>.</w:t>
      </w:r>
    </w:p>
    <w:p w:rsidR="00906616" w:rsidRPr="00CA44D1" w:rsidRDefault="00906616" w:rsidP="000A0A4D">
      <w:pPr>
        <w:rPr>
          <w:rFonts w:ascii="Arial" w:hAnsi="Arial" w:cs="Arial"/>
          <w:sz w:val="24"/>
          <w:szCs w:val="24"/>
        </w:rPr>
      </w:pPr>
      <w:r w:rsidRPr="00CA44D1">
        <w:rPr>
          <w:rFonts w:ascii="Arial" w:hAnsi="Arial" w:cs="Arial"/>
          <w:sz w:val="24"/>
          <w:szCs w:val="24"/>
        </w:rPr>
        <w:t xml:space="preserve">La structure tarifaire doit également permettre de dégager des ressources pour accompagner les projets de développement </w:t>
      </w:r>
      <w:r w:rsidR="00DB7A46" w:rsidRPr="00CA44D1">
        <w:rPr>
          <w:rFonts w:ascii="Arial" w:hAnsi="Arial" w:cs="Arial"/>
          <w:sz w:val="24"/>
          <w:szCs w:val="24"/>
        </w:rPr>
        <w:t>de l’assainissement</w:t>
      </w:r>
      <w:r w:rsidRPr="00CA44D1">
        <w:rPr>
          <w:rFonts w:ascii="Arial" w:hAnsi="Arial" w:cs="Arial"/>
          <w:sz w:val="24"/>
          <w:szCs w:val="24"/>
        </w:rPr>
        <w:t>.</w:t>
      </w:r>
    </w:p>
    <w:p w:rsidR="00906616" w:rsidRPr="00CA44D1" w:rsidRDefault="00906616" w:rsidP="000A0A4D">
      <w:pPr>
        <w:rPr>
          <w:rFonts w:ascii="Arial" w:hAnsi="Arial" w:cs="Arial"/>
          <w:sz w:val="24"/>
          <w:szCs w:val="24"/>
        </w:rPr>
      </w:pPr>
      <w:r w:rsidRPr="00CA44D1">
        <w:rPr>
          <w:rFonts w:ascii="Arial" w:hAnsi="Arial" w:cs="Arial"/>
          <w:sz w:val="24"/>
          <w:szCs w:val="24"/>
        </w:rPr>
        <w:t xml:space="preserve">Ces considérations amènent à compléter la </w:t>
      </w:r>
      <w:r w:rsidR="00DB7A46" w:rsidRPr="00CA44D1">
        <w:rPr>
          <w:rFonts w:ascii="Arial" w:hAnsi="Arial" w:cs="Arial"/>
          <w:sz w:val="24"/>
          <w:szCs w:val="24"/>
        </w:rPr>
        <w:t>structure tarifaire</w:t>
      </w:r>
      <w:r w:rsidRPr="00CA44D1">
        <w:rPr>
          <w:rFonts w:ascii="Arial" w:hAnsi="Arial" w:cs="Arial"/>
          <w:sz w:val="24"/>
          <w:szCs w:val="24"/>
        </w:rPr>
        <w:t xml:space="preserve"> prévue pour couvrir les charges d’exploitation du système d’AEP par </w:t>
      </w:r>
      <w:r w:rsidR="00572D44" w:rsidRPr="00CA44D1">
        <w:rPr>
          <w:rFonts w:ascii="Arial" w:hAnsi="Arial" w:cs="Arial"/>
          <w:sz w:val="24"/>
          <w:szCs w:val="24"/>
        </w:rPr>
        <w:t xml:space="preserve">la création de 2 </w:t>
      </w:r>
      <w:r w:rsidR="00DB7A46" w:rsidRPr="00CA44D1">
        <w:rPr>
          <w:rFonts w:ascii="Arial" w:hAnsi="Arial" w:cs="Arial"/>
          <w:sz w:val="24"/>
          <w:szCs w:val="24"/>
        </w:rPr>
        <w:t>fonds,</w:t>
      </w:r>
      <w:r w:rsidRPr="00CA44D1">
        <w:rPr>
          <w:rFonts w:ascii="Arial" w:hAnsi="Arial" w:cs="Arial"/>
          <w:sz w:val="24"/>
          <w:szCs w:val="24"/>
        </w:rPr>
        <w:t xml:space="preserve"> un fonds de développement de l’eau, </w:t>
      </w:r>
      <w:r w:rsidR="00572D44" w:rsidRPr="00CA44D1">
        <w:rPr>
          <w:rFonts w:ascii="Arial" w:hAnsi="Arial" w:cs="Arial"/>
          <w:sz w:val="24"/>
          <w:szCs w:val="24"/>
        </w:rPr>
        <w:t>et</w:t>
      </w:r>
      <w:r w:rsidRPr="00CA44D1">
        <w:rPr>
          <w:rFonts w:ascii="Arial" w:hAnsi="Arial" w:cs="Arial"/>
          <w:sz w:val="24"/>
          <w:szCs w:val="24"/>
        </w:rPr>
        <w:t xml:space="preserve"> </w:t>
      </w:r>
      <w:r w:rsidR="00371039" w:rsidRPr="00CA44D1">
        <w:rPr>
          <w:rFonts w:ascii="Arial" w:hAnsi="Arial" w:cs="Arial"/>
          <w:sz w:val="24"/>
          <w:szCs w:val="24"/>
        </w:rPr>
        <w:t xml:space="preserve">un fonds </w:t>
      </w:r>
      <w:r w:rsidRPr="00CA44D1">
        <w:rPr>
          <w:rFonts w:ascii="Arial" w:hAnsi="Arial" w:cs="Arial"/>
          <w:sz w:val="24"/>
          <w:szCs w:val="24"/>
        </w:rPr>
        <w:t>pour l’assainissement.</w:t>
      </w:r>
      <w:r w:rsidR="009B6623" w:rsidRPr="00CA44D1">
        <w:rPr>
          <w:rFonts w:ascii="Arial" w:hAnsi="Arial" w:cs="Arial"/>
          <w:sz w:val="24"/>
          <w:szCs w:val="24"/>
        </w:rPr>
        <w:t xml:space="preserve"> Enfin</w:t>
      </w:r>
      <w:r w:rsidR="004F33FF" w:rsidRPr="00CA44D1">
        <w:rPr>
          <w:rFonts w:ascii="Arial" w:hAnsi="Arial" w:cs="Arial"/>
          <w:sz w:val="24"/>
          <w:szCs w:val="24"/>
        </w:rPr>
        <w:t>,</w:t>
      </w:r>
      <w:r w:rsidR="009B6623" w:rsidRPr="00CA44D1">
        <w:rPr>
          <w:rFonts w:ascii="Arial" w:hAnsi="Arial" w:cs="Arial"/>
          <w:sz w:val="24"/>
          <w:szCs w:val="24"/>
        </w:rPr>
        <w:t xml:space="preserve"> </w:t>
      </w:r>
      <w:r w:rsidR="004F33FF" w:rsidRPr="00CA44D1">
        <w:rPr>
          <w:rFonts w:ascii="Arial" w:hAnsi="Arial" w:cs="Arial"/>
          <w:sz w:val="24"/>
          <w:szCs w:val="24"/>
        </w:rPr>
        <w:t xml:space="preserve">la structure tarifaire prend en compte </w:t>
      </w:r>
      <w:r w:rsidR="009B6623" w:rsidRPr="00CA44D1">
        <w:rPr>
          <w:rFonts w:ascii="Arial" w:hAnsi="Arial" w:cs="Arial"/>
          <w:sz w:val="24"/>
          <w:szCs w:val="24"/>
        </w:rPr>
        <w:t>la T</w:t>
      </w:r>
      <w:r w:rsidR="005E4203" w:rsidRPr="00CA44D1">
        <w:rPr>
          <w:rFonts w:ascii="Arial" w:hAnsi="Arial" w:cs="Arial"/>
          <w:sz w:val="24"/>
          <w:szCs w:val="24"/>
        </w:rPr>
        <w:t>CA</w:t>
      </w:r>
      <w:r w:rsidR="009B6623" w:rsidRPr="00CA44D1">
        <w:rPr>
          <w:rFonts w:ascii="Arial" w:hAnsi="Arial" w:cs="Arial"/>
          <w:sz w:val="24"/>
          <w:szCs w:val="24"/>
        </w:rPr>
        <w:t xml:space="preserve"> au taux de 10% (ce qui permet à l’entreprise de récupérer la T</w:t>
      </w:r>
      <w:r w:rsidR="004F33FF" w:rsidRPr="00CA44D1">
        <w:rPr>
          <w:rFonts w:ascii="Arial" w:hAnsi="Arial" w:cs="Arial"/>
          <w:sz w:val="24"/>
          <w:szCs w:val="24"/>
        </w:rPr>
        <w:t>C</w:t>
      </w:r>
      <w:r w:rsidR="009B6623" w:rsidRPr="00CA44D1">
        <w:rPr>
          <w:rFonts w:ascii="Arial" w:hAnsi="Arial" w:cs="Arial"/>
          <w:sz w:val="24"/>
          <w:szCs w:val="24"/>
        </w:rPr>
        <w:t>A sur les achats)</w:t>
      </w:r>
      <w:r w:rsidR="004F33FF" w:rsidRPr="00CA44D1">
        <w:rPr>
          <w:rFonts w:ascii="Arial" w:hAnsi="Arial" w:cs="Arial"/>
          <w:sz w:val="24"/>
          <w:szCs w:val="24"/>
        </w:rPr>
        <w:t xml:space="preserve"> et la taxe OREPA au taux de 4%</w:t>
      </w:r>
      <w:r w:rsidR="009B6623" w:rsidRPr="00CA44D1">
        <w:rPr>
          <w:rFonts w:ascii="Arial" w:hAnsi="Arial" w:cs="Arial"/>
          <w:sz w:val="24"/>
          <w:szCs w:val="24"/>
        </w:rPr>
        <w:t>.</w:t>
      </w:r>
      <w:r w:rsidR="004F33FF" w:rsidRPr="00CA44D1">
        <w:rPr>
          <w:rFonts w:ascii="Arial" w:hAnsi="Arial" w:cs="Arial"/>
          <w:sz w:val="24"/>
          <w:szCs w:val="24"/>
        </w:rPr>
        <w:t xml:space="preserve"> </w:t>
      </w:r>
    </w:p>
    <w:p w:rsidR="00371039" w:rsidRPr="00CA44D1" w:rsidRDefault="00371039" w:rsidP="000A0A4D">
      <w:pPr>
        <w:pStyle w:val="ListParagraph"/>
        <w:numPr>
          <w:ilvl w:val="0"/>
          <w:numId w:val="1"/>
        </w:numPr>
        <w:rPr>
          <w:rFonts w:ascii="Arial" w:hAnsi="Arial" w:cs="Arial"/>
          <w:sz w:val="24"/>
          <w:szCs w:val="24"/>
        </w:rPr>
      </w:pPr>
      <w:r w:rsidRPr="00CA44D1">
        <w:rPr>
          <w:rFonts w:ascii="Arial" w:hAnsi="Arial" w:cs="Arial"/>
          <w:sz w:val="24"/>
          <w:szCs w:val="24"/>
        </w:rPr>
        <w:lastRenderedPageBreak/>
        <w:t>Enfin la structure tarifaire doit être supportable par les usagers.</w:t>
      </w:r>
    </w:p>
    <w:p w:rsidR="00906616" w:rsidRPr="00CA44D1" w:rsidRDefault="00371039" w:rsidP="000A0A4D">
      <w:pPr>
        <w:rPr>
          <w:rFonts w:ascii="Arial" w:hAnsi="Arial" w:cs="Arial"/>
          <w:b/>
          <w:sz w:val="24"/>
          <w:szCs w:val="24"/>
        </w:rPr>
      </w:pPr>
      <w:r w:rsidRPr="00CA44D1">
        <w:rPr>
          <w:rFonts w:ascii="Arial" w:hAnsi="Arial" w:cs="Arial"/>
          <w:b/>
          <w:sz w:val="24"/>
          <w:szCs w:val="24"/>
        </w:rPr>
        <w:t>Catégories d’usagers et tranches de tarification</w:t>
      </w:r>
    </w:p>
    <w:p w:rsidR="00371039" w:rsidRPr="00CA44D1" w:rsidRDefault="00371039" w:rsidP="000A0A4D">
      <w:pPr>
        <w:rPr>
          <w:rFonts w:ascii="Arial" w:hAnsi="Arial" w:cs="Arial"/>
          <w:sz w:val="24"/>
          <w:szCs w:val="24"/>
        </w:rPr>
      </w:pPr>
      <w:r w:rsidRPr="00CA44D1">
        <w:rPr>
          <w:rFonts w:ascii="Arial" w:hAnsi="Arial" w:cs="Arial"/>
          <w:sz w:val="24"/>
          <w:szCs w:val="24"/>
        </w:rPr>
        <w:t xml:space="preserve">Il a été distingué les catégories d’usagers </w:t>
      </w:r>
      <w:r w:rsidR="00DE73AF" w:rsidRPr="00CA44D1">
        <w:rPr>
          <w:rFonts w:ascii="Arial" w:hAnsi="Arial" w:cs="Arial"/>
          <w:sz w:val="24"/>
          <w:szCs w:val="24"/>
        </w:rPr>
        <w:t>et les principes de création de tranches suivants</w:t>
      </w:r>
    </w:p>
    <w:tbl>
      <w:tblPr>
        <w:tblStyle w:val="TableGrid"/>
        <w:tblW w:w="0" w:type="auto"/>
        <w:tblLook w:val="04A0" w:firstRow="1" w:lastRow="0" w:firstColumn="1" w:lastColumn="0" w:noHBand="0" w:noVBand="1"/>
      </w:tblPr>
      <w:tblGrid>
        <w:gridCol w:w="3539"/>
        <w:gridCol w:w="2693"/>
      </w:tblGrid>
      <w:tr w:rsidR="00B52953" w:rsidRPr="00CA44D1" w:rsidTr="00B52953">
        <w:tc>
          <w:tcPr>
            <w:tcW w:w="3539" w:type="dxa"/>
            <w:tcBorders>
              <w:top w:val="single" w:sz="4" w:space="0" w:color="auto"/>
              <w:bottom w:val="nil"/>
            </w:tcBorders>
          </w:tcPr>
          <w:p w:rsidR="00B52953" w:rsidRPr="00CA44D1" w:rsidRDefault="00B52953" w:rsidP="000A0A4D">
            <w:pPr>
              <w:rPr>
                <w:rFonts w:ascii="Arial" w:hAnsi="Arial" w:cs="Arial"/>
                <w:sz w:val="24"/>
                <w:szCs w:val="24"/>
              </w:rPr>
            </w:pPr>
            <w:r w:rsidRPr="00CA44D1">
              <w:rPr>
                <w:rFonts w:ascii="Arial" w:hAnsi="Arial" w:cs="Arial"/>
                <w:sz w:val="24"/>
                <w:szCs w:val="24"/>
              </w:rPr>
              <w:t>Usagers domestiques</w:t>
            </w:r>
          </w:p>
        </w:tc>
        <w:tc>
          <w:tcPr>
            <w:tcW w:w="2693" w:type="dxa"/>
            <w:tcBorders>
              <w:top w:val="single" w:sz="4" w:space="0" w:color="auto"/>
              <w:bottom w:val="nil"/>
            </w:tcBorders>
          </w:tcPr>
          <w:p w:rsidR="00B52953" w:rsidRPr="00CA44D1" w:rsidRDefault="00B52953" w:rsidP="000A0A4D">
            <w:pPr>
              <w:rPr>
                <w:rFonts w:ascii="Arial" w:hAnsi="Arial" w:cs="Arial"/>
                <w:sz w:val="24"/>
                <w:szCs w:val="24"/>
              </w:rPr>
            </w:pPr>
          </w:p>
        </w:tc>
      </w:tr>
      <w:tr w:rsidR="00B52953" w:rsidRPr="00CA44D1" w:rsidTr="00B52953">
        <w:tc>
          <w:tcPr>
            <w:tcW w:w="3539" w:type="dxa"/>
            <w:tcBorders>
              <w:top w:val="nil"/>
              <w:bottom w:val="nil"/>
            </w:tcBorders>
          </w:tcPr>
          <w:p w:rsidR="00B52953" w:rsidRPr="00CA44D1" w:rsidRDefault="00B52953" w:rsidP="000A0A4D">
            <w:pPr>
              <w:rPr>
                <w:rFonts w:ascii="Arial" w:hAnsi="Arial" w:cs="Arial"/>
                <w:sz w:val="24"/>
                <w:szCs w:val="24"/>
              </w:rPr>
            </w:pPr>
          </w:p>
          <w:p w:rsidR="00B52953" w:rsidRPr="00CA44D1" w:rsidRDefault="00B52953" w:rsidP="000A0A4D">
            <w:pPr>
              <w:rPr>
                <w:rFonts w:ascii="Arial" w:hAnsi="Arial" w:cs="Arial"/>
                <w:sz w:val="24"/>
                <w:szCs w:val="24"/>
              </w:rPr>
            </w:pPr>
            <w:r w:rsidRPr="00CA44D1">
              <w:rPr>
                <w:rFonts w:ascii="Arial" w:hAnsi="Arial" w:cs="Arial"/>
                <w:sz w:val="24"/>
                <w:szCs w:val="24"/>
              </w:rPr>
              <w:t xml:space="preserve">    Branchement particulier</w:t>
            </w:r>
          </w:p>
          <w:p w:rsidR="00B52953" w:rsidRPr="00CA44D1" w:rsidRDefault="00B52953" w:rsidP="000A0A4D">
            <w:pPr>
              <w:rPr>
                <w:rFonts w:ascii="Arial" w:hAnsi="Arial" w:cs="Arial"/>
                <w:sz w:val="24"/>
                <w:szCs w:val="24"/>
              </w:rPr>
            </w:pPr>
          </w:p>
        </w:tc>
        <w:tc>
          <w:tcPr>
            <w:tcW w:w="2693" w:type="dxa"/>
            <w:tcBorders>
              <w:top w:val="nil"/>
              <w:bottom w:val="nil"/>
            </w:tcBorders>
          </w:tcPr>
          <w:p w:rsidR="00B52953" w:rsidRPr="00CA44D1" w:rsidRDefault="00B52953" w:rsidP="000A0A4D">
            <w:pPr>
              <w:spacing w:after="0"/>
              <w:rPr>
                <w:rFonts w:ascii="Arial" w:hAnsi="Arial" w:cs="Arial"/>
                <w:sz w:val="24"/>
                <w:szCs w:val="24"/>
              </w:rPr>
            </w:pPr>
            <w:r w:rsidRPr="00CA44D1">
              <w:rPr>
                <w:rFonts w:ascii="Arial" w:hAnsi="Arial" w:cs="Arial"/>
                <w:sz w:val="24"/>
                <w:szCs w:val="24"/>
              </w:rPr>
              <w:t>T1 (≤ 8 m3/mois)</w:t>
            </w:r>
          </w:p>
          <w:p w:rsidR="00B52953" w:rsidRPr="00CA44D1" w:rsidRDefault="00B52953" w:rsidP="000A0A4D">
            <w:pPr>
              <w:spacing w:after="0"/>
              <w:rPr>
                <w:rFonts w:ascii="Arial" w:hAnsi="Arial" w:cs="Arial"/>
                <w:sz w:val="24"/>
                <w:szCs w:val="24"/>
              </w:rPr>
            </w:pPr>
            <w:r w:rsidRPr="00CA44D1">
              <w:rPr>
                <w:rFonts w:ascii="Arial" w:hAnsi="Arial" w:cs="Arial"/>
                <w:sz w:val="24"/>
                <w:szCs w:val="24"/>
              </w:rPr>
              <w:t>T2 (8 &lt; … ≤30 m3/mois)</w:t>
            </w:r>
          </w:p>
          <w:p w:rsidR="00B52953" w:rsidRPr="00CA44D1" w:rsidRDefault="00B52953" w:rsidP="000A0A4D">
            <w:pPr>
              <w:spacing w:after="0"/>
              <w:rPr>
                <w:rFonts w:ascii="Arial" w:hAnsi="Arial" w:cs="Arial"/>
                <w:sz w:val="24"/>
                <w:szCs w:val="24"/>
              </w:rPr>
            </w:pPr>
            <w:r w:rsidRPr="00CA44D1">
              <w:rPr>
                <w:rFonts w:ascii="Arial" w:hAnsi="Arial" w:cs="Arial"/>
                <w:sz w:val="24"/>
                <w:szCs w:val="24"/>
              </w:rPr>
              <w:t>T3 ( &gt; 30 m3/mois)</w:t>
            </w:r>
          </w:p>
        </w:tc>
      </w:tr>
      <w:tr w:rsidR="00B52953" w:rsidRPr="00CA44D1" w:rsidTr="00856D48">
        <w:tc>
          <w:tcPr>
            <w:tcW w:w="3539" w:type="dxa"/>
            <w:tcBorders>
              <w:top w:val="nil"/>
              <w:left w:val="single" w:sz="4" w:space="0" w:color="auto"/>
              <w:bottom w:val="nil"/>
              <w:right w:val="single" w:sz="4" w:space="0" w:color="auto"/>
            </w:tcBorders>
          </w:tcPr>
          <w:p w:rsidR="00B52953" w:rsidRPr="00CA44D1" w:rsidRDefault="00B52953" w:rsidP="000A0A4D">
            <w:pPr>
              <w:rPr>
                <w:rFonts w:ascii="Arial" w:hAnsi="Arial" w:cs="Arial"/>
                <w:sz w:val="24"/>
                <w:szCs w:val="24"/>
              </w:rPr>
            </w:pPr>
            <w:r w:rsidRPr="00CA44D1">
              <w:rPr>
                <w:rFonts w:ascii="Arial" w:hAnsi="Arial" w:cs="Arial"/>
                <w:sz w:val="24"/>
                <w:szCs w:val="24"/>
              </w:rPr>
              <w:t xml:space="preserve">   Systèmes Condominiaux</w:t>
            </w:r>
          </w:p>
        </w:tc>
        <w:tc>
          <w:tcPr>
            <w:tcW w:w="2693" w:type="dxa"/>
            <w:tcBorders>
              <w:top w:val="nil"/>
              <w:left w:val="single" w:sz="4" w:space="0" w:color="auto"/>
              <w:bottom w:val="nil"/>
              <w:right w:val="single" w:sz="4" w:space="0" w:color="auto"/>
            </w:tcBorders>
          </w:tcPr>
          <w:p w:rsidR="00B52953" w:rsidRPr="00CA44D1" w:rsidRDefault="00B52953" w:rsidP="000A0A4D">
            <w:pPr>
              <w:rPr>
                <w:rFonts w:ascii="Arial" w:hAnsi="Arial" w:cs="Arial"/>
                <w:sz w:val="24"/>
                <w:szCs w:val="24"/>
              </w:rPr>
            </w:pPr>
            <w:r w:rsidRPr="00CA44D1">
              <w:rPr>
                <w:rFonts w:ascii="Arial" w:hAnsi="Arial" w:cs="Arial"/>
                <w:sz w:val="24"/>
                <w:szCs w:val="24"/>
              </w:rPr>
              <w:t>Une seule tranche</w:t>
            </w:r>
          </w:p>
        </w:tc>
      </w:tr>
      <w:tr w:rsidR="00B52953" w:rsidRPr="00CA44D1" w:rsidTr="00B52953">
        <w:tc>
          <w:tcPr>
            <w:tcW w:w="3539" w:type="dxa"/>
            <w:tcBorders>
              <w:top w:val="nil"/>
            </w:tcBorders>
          </w:tcPr>
          <w:p w:rsidR="00B52953" w:rsidRPr="00CA44D1" w:rsidRDefault="00B52953" w:rsidP="000A0A4D">
            <w:pPr>
              <w:rPr>
                <w:rFonts w:ascii="Arial" w:hAnsi="Arial" w:cs="Arial"/>
                <w:sz w:val="24"/>
                <w:szCs w:val="24"/>
              </w:rPr>
            </w:pPr>
            <w:r w:rsidRPr="00CA44D1">
              <w:rPr>
                <w:rFonts w:ascii="Arial" w:hAnsi="Arial" w:cs="Arial"/>
                <w:sz w:val="24"/>
                <w:szCs w:val="24"/>
              </w:rPr>
              <w:t xml:space="preserve">   Kiosques</w:t>
            </w:r>
          </w:p>
        </w:tc>
        <w:tc>
          <w:tcPr>
            <w:tcW w:w="2693" w:type="dxa"/>
            <w:tcBorders>
              <w:top w:val="nil"/>
            </w:tcBorders>
          </w:tcPr>
          <w:p w:rsidR="00B52953" w:rsidRPr="00CA44D1" w:rsidRDefault="00B52953" w:rsidP="000A0A4D">
            <w:pPr>
              <w:rPr>
                <w:rFonts w:ascii="Arial" w:hAnsi="Arial" w:cs="Arial"/>
                <w:sz w:val="24"/>
                <w:szCs w:val="24"/>
              </w:rPr>
            </w:pPr>
            <w:r w:rsidRPr="00CA44D1">
              <w:rPr>
                <w:rFonts w:ascii="Arial" w:hAnsi="Arial" w:cs="Arial"/>
                <w:sz w:val="24"/>
                <w:szCs w:val="24"/>
              </w:rPr>
              <w:t>Une seule tranche</w:t>
            </w:r>
          </w:p>
        </w:tc>
      </w:tr>
      <w:tr w:rsidR="00B52953" w:rsidRPr="00CA44D1" w:rsidTr="00DE73AF">
        <w:tc>
          <w:tcPr>
            <w:tcW w:w="3539" w:type="dxa"/>
          </w:tcPr>
          <w:p w:rsidR="00B52953" w:rsidRPr="00CA44D1" w:rsidRDefault="00B52953" w:rsidP="000A0A4D">
            <w:pPr>
              <w:rPr>
                <w:rFonts w:ascii="Arial" w:hAnsi="Arial" w:cs="Arial"/>
                <w:sz w:val="24"/>
                <w:szCs w:val="24"/>
              </w:rPr>
            </w:pPr>
            <w:r w:rsidRPr="00CA44D1">
              <w:rPr>
                <w:rFonts w:ascii="Arial" w:hAnsi="Arial" w:cs="Arial"/>
                <w:sz w:val="24"/>
                <w:szCs w:val="24"/>
              </w:rPr>
              <w:t>Usagers non domestiques</w:t>
            </w:r>
          </w:p>
        </w:tc>
        <w:tc>
          <w:tcPr>
            <w:tcW w:w="2693" w:type="dxa"/>
          </w:tcPr>
          <w:p w:rsidR="00B52953" w:rsidRPr="00CA44D1" w:rsidRDefault="00B52953" w:rsidP="000A0A4D">
            <w:pPr>
              <w:rPr>
                <w:rFonts w:ascii="Arial" w:hAnsi="Arial" w:cs="Arial"/>
                <w:sz w:val="24"/>
                <w:szCs w:val="24"/>
              </w:rPr>
            </w:pPr>
            <w:r w:rsidRPr="00CA44D1">
              <w:rPr>
                <w:rFonts w:ascii="Arial" w:hAnsi="Arial" w:cs="Arial"/>
                <w:sz w:val="24"/>
                <w:szCs w:val="24"/>
              </w:rPr>
              <w:t>Une seule tranche</w:t>
            </w:r>
          </w:p>
        </w:tc>
      </w:tr>
    </w:tbl>
    <w:p w:rsidR="00371039" w:rsidRPr="00CA44D1" w:rsidRDefault="00371039" w:rsidP="000A0A4D">
      <w:pPr>
        <w:rPr>
          <w:rFonts w:ascii="Arial" w:hAnsi="Arial" w:cs="Arial"/>
          <w:sz w:val="24"/>
          <w:szCs w:val="24"/>
        </w:rPr>
      </w:pPr>
    </w:p>
    <w:p w:rsidR="00B52953" w:rsidRPr="00CA44D1" w:rsidRDefault="00B52953" w:rsidP="000A0A4D">
      <w:pPr>
        <w:rPr>
          <w:rFonts w:ascii="Arial" w:hAnsi="Arial" w:cs="Arial"/>
          <w:sz w:val="24"/>
          <w:szCs w:val="24"/>
        </w:rPr>
      </w:pPr>
      <w:r w:rsidRPr="00CA44D1">
        <w:rPr>
          <w:rFonts w:ascii="Arial" w:hAnsi="Arial" w:cs="Arial"/>
          <w:sz w:val="24"/>
          <w:szCs w:val="24"/>
        </w:rPr>
        <w:t xml:space="preserve">Pour les usagers </w:t>
      </w:r>
      <w:r w:rsidR="00855CDB" w:rsidRPr="00CA44D1">
        <w:rPr>
          <w:rFonts w:ascii="Arial" w:hAnsi="Arial" w:cs="Arial"/>
          <w:sz w:val="24"/>
          <w:szCs w:val="24"/>
        </w:rPr>
        <w:t xml:space="preserve">domestiques </w:t>
      </w:r>
      <w:r w:rsidRPr="00CA44D1">
        <w:rPr>
          <w:rFonts w:ascii="Arial" w:hAnsi="Arial" w:cs="Arial"/>
          <w:sz w:val="24"/>
          <w:szCs w:val="24"/>
        </w:rPr>
        <w:t>desservis par branchement particulier, la structure des tranches en termes de nombre d’abonnés et</w:t>
      </w:r>
      <w:r w:rsidR="001E4C74" w:rsidRPr="00CA44D1">
        <w:rPr>
          <w:rFonts w:ascii="Arial" w:hAnsi="Arial" w:cs="Arial"/>
          <w:sz w:val="24"/>
          <w:szCs w:val="24"/>
        </w:rPr>
        <w:t xml:space="preserve"> de</w:t>
      </w:r>
      <w:r w:rsidRPr="00CA44D1">
        <w:rPr>
          <w:rFonts w:ascii="Arial" w:hAnsi="Arial" w:cs="Arial"/>
          <w:sz w:val="24"/>
          <w:szCs w:val="24"/>
        </w:rPr>
        <w:t xml:space="preserve"> volumes a été définie </w:t>
      </w:r>
      <w:r w:rsidR="00DB7A46" w:rsidRPr="00CA44D1">
        <w:rPr>
          <w:rFonts w:ascii="Arial" w:hAnsi="Arial" w:cs="Arial"/>
          <w:sz w:val="24"/>
          <w:szCs w:val="24"/>
        </w:rPr>
        <w:t>sur la</w:t>
      </w:r>
      <w:r w:rsidRPr="00CA44D1">
        <w:rPr>
          <w:rFonts w:ascii="Arial" w:hAnsi="Arial" w:cs="Arial"/>
          <w:sz w:val="24"/>
          <w:szCs w:val="24"/>
        </w:rPr>
        <w:t xml:space="preserve"> base des hypothèses suivantes :</w:t>
      </w:r>
    </w:p>
    <w:p w:rsidR="00B52953" w:rsidRPr="00CA44D1" w:rsidRDefault="00B52953" w:rsidP="000A0A4D">
      <w:pPr>
        <w:pStyle w:val="ListParagraph"/>
        <w:numPr>
          <w:ilvl w:val="0"/>
          <w:numId w:val="1"/>
        </w:numPr>
        <w:rPr>
          <w:rFonts w:ascii="Arial" w:hAnsi="Arial" w:cs="Arial"/>
          <w:sz w:val="24"/>
          <w:szCs w:val="24"/>
        </w:rPr>
      </w:pPr>
      <w:r w:rsidRPr="00CA44D1">
        <w:rPr>
          <w:rFonts w:ascii="Arial" w:hAnsi="Arial" w:cs="Arial"/>
          <w:sz w:val="24"/>
          <w:szCs w:val="24"/>
        </w:rPr>
        <w:t>Valeur moyenne des consommations : 22 m3/mois par branchement</w:t>
      </w:r>
    </w:p>
    <w:p w:rsidR="00B52953" w:rsidRPr="00CA44D1" w:rsidRDefault="00B52953" w:rsidP="000A0A4D">
      <w:pPr>
        <w:pStyle w:val="ListParagraph"/>
        <w:numPr>
          <w:ilvl w:val="0"/>
          <w:numId w:val="1"/>
        </w:numPr>
        <w:rPr>
          <w:rFonts w:ascii="Arial" w:hAnsi="Arial" w:cs="Arial"/>
          <w:sz w:val="24"/>
          <w:szCs w:val="24"/>
        </w:rPr>
      </w:pPr>
      <w:r w:rsidRPr="00CA44D1">
        <w:rPr>
          <w:rFonts w:ascii="Arial" w:hAnsi="Arial" w:cs="Arial"/>
          <w:sz w:val="24"/>
          <w:szCs w:val="24"/>
        </w:rPr>
        <w:t>Distribution statistique</w:t>
      </w:r>
      <w:r w:rsidR="00856D48" w:rsidRPr="00CA44D1">
        <w:rPr>
          <w:rFonts w:ascii="Arial" w:hAnsi="Arial" w:cs="Arial"/>
          <w:sz w:val="24"/>
          <w:szCs w:val="24"/>
        </w:rPr>
        <w:t xml:space="preserve"> des branchements suivant une loi normale (moyenne : 22 m3/mois ; écart type : 10 m3/mois)</w:t>
      </w:r>
    </w:p>
    <w:p w:rsidR="00371039" w:rsidRPr="00CA44D1" w:rsidRDefault="00856D48" w:rsidP="000A0A4D">
      <w:pPr>
        <w:rPr>
          <w:rFonts w:ascii="Arial" w:hAnsi="Arial" w:cs="Arial"/>
          <w:sz w:val="24"/>
          <w:szCs w:val="24"/>
        </w:rPr>
      </w:pPr>
      <w:r w:rsidRPr="00CA44D1">
        <w:rPr>
          <w:rFonts w:ascii="Arial" w:hAnsi="Arial" w:cs="Arial"/>
          <w:sz w:val="24"/>
          <w:szCs w:val="24"/>
        </w:rPr>
        <w:t>Il ressort de l’analyse que :</w:t>
      </w:r>
    </w:p>
    <w:p w:rsidR="00856D48" w:rsidRPr="00CA44D1" w:rsidRDefault="00856D48" w:rsidP="000A0A4D">
      <w:pPr>
        <w:pStyle w:val="ListParagraph"/>
        <w:numPr>
          <w:ilvl w:val="0"/>
          <w:numId w:val="1"/>
        </w:numPr>
        <w:rPr>
          <w:rFonts w:ascii="Arial" w:hAnsi="Arial" w:cs="Arial"/>
          <w:sz w:val="24"/>
          <w:szCs w:val="24"/>
        </w:rPr>
      </w:pPr>
      <w:r w:rsidRPr="00CA44D1">
        <w:rPr>
          <w:rFonts w:ascii="Arial" w:hAnsi="Arial" w:cs="Arial"/>
          <w:sz w:val="24"/>
          <w:szCs w:val="24"/>
        </w:rPr>
        <w:t>7,7% des abonnés ont une consommation inférieure à 8 m3/mois ;</w:t>
      </w:r>
    </w:p>
    <w:p w:rsidR="00856D48" w:rsidRPr="00CA44D1" w:rsidRDefault="00856D48" w:rsidP="000A0A4D">
      <w:pPr>
        <w:pStyle w:val="ListParagraph"/>
        <w:numPr>
          <w:ilvl w:val="0"/>
          <w:numId w:val="1"/>
        </w:numPr>
        <w:rPr>
          <w:rFonts w:ascii="Arial" w:hAnsi="Arial" w:cs="Arial"/>
          <w:sz w:val="24"/>
          <w:szCs w:val="24"/>
        </w:rPr>
      </w:pPr>
      <w:r w:rsidRPr="00CA44D1">
        <w:rPr>
          <w:rFonts w:ascii="Arial" w:hAnsi="Arial" w:cs="Arial"/>
          <w:sz w:val="24"/>
          <w:szCs w:val="24"/>
        </w:rPr>
        <w:t>70,5</w:t>
      </w:r>
      <w:r w:rsidR="001E4C74" w:rsidRPr="00CA44D1">
        <w:rPr>
          <w:rFonts w:ascii="Arial" w:hAnsi="Arial" w:cs="Arial"/>
          <w:sz w:val="24"/>
          <w:szCs w:val="24"/>
        </w:rPr>
        <w:t>%</w:t>
      </w:r>
      <w:r w:rsidRPr="00CA44D1">
        <w:rPr>
          <w:rFonts w:ascii="Arial" w:hAnsi="Arial" w:cs="Arial"/>
          <w:sz w:val="24"/>
          <w:szCs w:val="24"/>
        </w:rPr>
        <w:t xml:space="preserve"> ont une consommation comprise entre 8</w:t>
      </w:r>
      <w:r w:rsidR="009C2A08" w:rsidRPr="00CA44D1">
        <w:rPr>
          <w:rFonts w:ascii="Arial" w:hAnsi="Arial" w:cs="Arial"/>
          <w:sz w:val="24"/>
          <w:szCs w:val="24"/>
        </w:rPr>
        <w:t xml:space="preserve"> et 30 m3/mois</w:t>
      </w:r>
    </w:p>
    <w:p w:rsidR="00856D48" w:rsidRPr="00CA44D1" w:rsidRDefault="00856D48" w:rsidP="000A0A4D">
      <w:pPr>
        <w:pStyle w:val="ListParagraph"/>
        <w:numPr>
          <w:ilvl w:val="0"/>
          <w:numId w:val="1"/>
        </w:numPr>
        <w:rPr>
          <w:rFonts w:ascii="Arial" w:hAnsi="Arial" w:cs="Arial"/>
          <w:sz w:val="24"/>
          <w:szCs w:val="24"/>
        </w:rPr>
      </w:pPr>
      <w:r w:rsidRPr="00CA44D1">
        <w:rPr>
          <w:rFonts w:ascii="Arial" w:hAnsi="Arial" w:cs="Arial"/>
          <w:sz w:val="24"/>
          <w:szCs w:val="24"/>
        </w:rPr>
        <w:t>21,8% des abonnés ont une consommation supérieure à 30 m3/mois</w:t>
      </w:r>
    </w:p>
    <w:p w:rsidR="009C2A08" w:rsidRPr="00CA44D1" w:rsidRDefault="009C2A08" w:rsidP="000A0A4D">
      <w:pPr>
        <w:rPr>
          <w:rFonts w:ascii="Arial" w:hAnsi="Arial" w:cs="Arial"/>
          <w:sz w:val="24"/>
          <w:szCs w:val="24"/>
        </w:rPr>
      </w:pPr>
      <w:r w:rsidRPr="00CA44D1">
        <w:rPr>
          <w:rFonts w:ascii="Arial" w:hAnsi="Arial" w:cs="Arial"/>
          <w:sz w:val="24"/>
          <w:szCs w:val="24"/>
        </w:rPr>
        <w:t xml:space="preserve">Cette situation est visualisée sur le graphique ci-après qui montre </w:t>
      </w:r>
      <w:r w:rsidR="00DB7A46" w:rsidRPr="00CA44D1">
        <w:rPr>
          <w:rFonts w:ascii="Arial" w:hAnsi="Arial" w:cs="Arial"/>
          <w:sz w:val="24"/>
          <w:szCs w:val="24"/>
        </w:rPr>
        <w:t>la courbe classée</w:t>
      </w:r>
      <w:r w:rsidRPr="00CA44D1">
        <w:rPr>
          <w:rFonts w:ascii="Arial" w:hAnsi="Arial" w:cs="Arial"/>
          <w:sz w:val="24"/>
          <w:szCs w:val="24"/>
        </w:rPr>
        <w:t xml:space="preserve"> des consommations domestiques mensuelles.</w:t>
      </w:r>
    </w:p>
    <w:p w:rsidR="009C2A08" w:rsidRPr="00CA44D1" w:rsidRDefault="009C2A08" w:rsidP="000A0A4D">
      <w:pPr>
        <w:rPr>
          <w:rFonts w:ascii="Arial" w:hAnsi="Arial" w:cs="Arial"/>
          <w:sz w:val="24"/>
          <w:szCs w:val="24"/>
        </w:rPr>
      </w:pPr>
      <w:r w:rsidRPr="00CA44D1">
        <w:rPr>
          <w:rFonts w:ascii="Arial" w:hAnsi="Arial" w:cs="Arial"/>
          <w:noProof/>
          <w:sz w:val="24"/>
          <w:szCs w:val="24"/>
        </w:rPr>
        <w:drawing>
          <wp:inline distT="0" distB="0" distL="0" distR="0">
            <wp:extent cx="4015409" cy="2868078"/>
            <wp:effectExtent l="19050" t="19050" r="23495" b="279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34935" cy="2882025"/>
                    </a:xfrm>
                    <a:prstGeom prst="rect">
                      <a:avLst/>
                    </a:prstGeom>
                    <a:noFill/>
                    <a:ln w="9525">
                      <a:solidFill>
                        <a:schemeClr val="tx1"/>
                      </a:solidFill>
                    </a:ln>
                  </pic:spPr>
                </pic:pic>
              </a:graphicData>
            </a:graphic>
          </wp:inline>
        </w:drawing>
      </w:r>
    </w:p>
    <w:p w:rsidR="009C2A08" w:rsidRPr="00CA44D1" w:rsidRDefault="00572D44" w:rsidP="000A0A4D">
      <w:pPr>
        <w:rPr>
          <w:rFonts w:ascii="Arial" w:hAnsi="Arial" w:cs="Arial"/>
          <w:sz w:val="24"/>
          <w:szCs w:val="24"/>
        </w:rPr>
      </w:pPr>
      <w:r w:rsidRPr="00CA44D1">
        <w:rPr>
          <w:rFonts w:ascii="Arial" w:hAnsi="Arial" w:cs="Arial"/>
          <w:sz w:val="24"/>
          <w:szCs w:val="24"/>
        </w:rPr>
        <w:t>En termes de pourcentage réel d’eau distribuée, la part de chaque tranche ressort à :</w:t>
      </w:r>
    </w:p>
    <w:p w:rsidR="00572D44" w:rsidRPr="00CA44D1" w:rsidRDefault="00572D44" w:rsidP="000A0A4D">
      <w:pPr>
        <w:pStyle w:val="ListParagraph"/>
        <w:numPr>
          <w:ilvl w:val="0"/>
          <w:numId w:val="1"/>
        </w:numPr>
        <w:rPr>
          <w:rFonts w:ascii="Arial" w:hAnsi="Arial" w:cs="Arial"/>
          <w:sz w:val="24"/>
          <w:szCs w:val="24"/>
        </w:rPr>
      </w:pPr>
      <w:r w:rsidRPr="00CA44D1">
        <w:rPr>
          <w:rFonts w:ascii="Arial" w:hAnsi="Arial" w:cs="Arial"/>
          <w:sz w:val="24"/>
          <w:szCs w:val="24"/>
        </w:rPr>
        <w:lastRenderedPageBreak/>
        <w:t>T1 : 35,9%</w:t>
      </w:r>
    </w:p>
    <w:p w:rsidR="00572D44" w:rsidRPr="00CA44D1" w:rsidRDefault="00572D44" w:rsidP="000A0A4D">
      <w:pPr>
        <w:pStyle w:val="ListParagraph"/>
        <w:numPr>
          <w:ilvl w:val="0"/>
          <w:numId w:val="1"/>
        </w:numPr>
        <w:rPr>
          <w:rFonts w:ascii="Arial" w:hAnsi="Arial" w:cs="Arial"/>
          <w:sz w:val="24"/>
          <w:szCs w:val="24"/>
        </w:rPr>
      </w:pPr>
      <w:r w:rsidRPr="00CA44D1">
        <w:rPr>
          <w:rFonts w:ascii="Arial" w:hAnsi="Arial" w:cs="Arial"/>
          <w:sz w:val="24"/>
          <w:szCs w:val="24"/>
        </w:rPr>
        <w:t>T2 : 56,5%</w:t>
      </w:r>
    </w:p>
    <w:p w:rsidR="00572D44" w:rsidRPr="00CA44D1" w:rsidRDefault="00572D44" w:rsidP="000A0A4D">
      <w:pPr>
        <w:pStyle w:val="ListParagraph"/>
        <w:numPr>
          <w:ilvl w:val="0"/>
          <w:numId w:val="1"/>
        </w:numPr>
        <w:rPr>
          <w:rFonts w:ascii="Arial" w:hAnsi="Arial" w:cs="Arial"/>
          <w:sz w:val="24"/>
          <w:szCs w:val="24"/>
        </w:rPr>
      </w:pPr>
      <w:r w:rsidRPr="00CA44D1">
        <w:rPr>
          <w:rFonts w:ascii="Arial" w:hAnsi="Arial" w:cs="Arial"/>
          <w:sz w:val="24"/>
          <w:szCs w:val="24"/>
        </w:rPr>
        <w:t>T3 :   8,6%</w:t>
      </w:r>
    </w:p>
    <w:p w:rsidR="009C2A08" w:rsidRPr="00CA44D1" w:rsidRDefault="006622CC" w:rsidP="000A0A4D">
      <w:pPr>
        <w:rPr>
          <w:rFonts w:ascii="Arial" w:hAnsi="Arial" w:cs="Arial"/>
          <w:sz w:val="24"/>
          <w:szCs w:val="24"/>
        </w:rPr>
      </w:pPr>
      <w:r w:rsidRPr="00CA44D1">
        <w:rPr>
          <w:rFonts w:ascii="Arial" w:hAnsi="Arial" w:cs="Arial"/>
          <w:sz w:val="24"/>
          <w:szCs w:val="24"/>
        </w:rPr>
        <w:t>La</w:t>
      </w:r>
      <w:r w:rsidR="00900C6B" w:rsidRPr="00CA44D1">
        <w:rPr>
          <w:rFonts w:ascii="Arial" w:hAnsi="Arial" w:cs="Arial"/>
          <w:sz w:val="24"/>
          <w:szCs w:val="24"/>
        </w:rPr>
        <w:t xml:space="preserve"> tarification proposé</w:t>
      </w:r>
      <w:r w:rsidRPr="00CA44D1">
        <w:rPr>
          <w:rFonts w:ascii="Arial" w:hAnsi="Arial" w:cs="Arial"/>
          <w:sz w:val="24"/>
          <w:szCs w:val="24"/>
        </w:rPr>
        <w:t>e</w:t>
      </w:r>
      <w:r w:rsidR="00900C6B" w:rsidRPr="00CA44D1">
        <w:rPr>
          <w:rFonts w:ascii="Arial" w:hAnsi="Arial" w:cs="Arial"/>
          <w:sz w:val="24"/>
          <w:szCs w:val="24"/>
        </w:rPr>
        <w:t xml:space="preserve"> </w:t>
      </w:r>
      <w:r w:rsidRPr="00CA44D1">
        <w:rPr>
          <w:rFonts w:ascii="Arial" w:hAnsi="Arial" w:cs="Arial"/>
          <w:sz w:val="24"/>
          <w:szCs w:val="24"/>
        </w:rPr>
        <w:t>pour la tranche T1 est</w:t>
      </w:r>
      <w:r w:rsidR="00900C6B" w:rsidRPr="00CA44D1">
        <w:rPr>
          <w:rFonts w:ascii="Arial" w:hAnsi="Arial" w:cs="Arial"/>
          <w:sz w:val="24"/>
          <w:szCs w:val="24"/>
        </w:rPr>
        <w:t xml:space="preserve"> </w:t>
      </w:r>
      <w:r w:rsidRPr="00CA44D1">
        <w:rPr>
          <w:rFonts w:ascii="Arial" w:hAnsi="Arial" w:cs="Arial"/>
          <w:sz w:val="24"/>
          <w:szCs w:val="24"/>
        </w:rPr>
        <w:t xml:space="preserve">une tarification au </w:t>
      </w:r>
      <w:r w:rsidR="00900C6B" w:rsidRPr="00CA44D1">
        <w:rPr>
          <w:rFonts w:ascii="Arial" w:hAnsi="Arial" w:cs="Arial"/>
          <w:sz w:val="24"/>
          <w:szCs w:val="24"/>
        </w:rPr>
        <w:t>forfait.</w:t>
      </w:r>
      <w:r w:rsidR="00C51517" w:rsidRPr="00CA44D1">
        <w:rPr>
          <w:rFonts w:ascii="Arial" w:hAnsi="Arial" w:cs="Arial"/>
          <w:sz w:val="24"/>
          <w:szCs w:val="24"/>
        </w:rPr>
        <w:t xml:space="preserve"> </w:t>
      </w:r>
    </w:p>
    <w:p w:rsidR="00900C6B" w:rsidRPr="00CA44D1" w:rsidRDefault="00900C6B" w:rsidP="000A0A4D">
      <w:pPr>
        <w:rPr>
          <w:rFonts w:ascii="Arial" w:hAnsi="Arial" w:cs="Arial"/>
          <w:sz w:val="24"/>
          <w:szCs w:val="24"/>
        </w:rPr>
      </w:pPr>
      <w:r w:rsidRPr="00CA44D1">
        <w:rPr>
          <w:rFonts w:ascii="Arial" w:hAnsi="Arial" w:cs="Arial"/>
          <w:sz w:val="24"/>
          <w:szCs w:val="24"/>
        </w:rPr>
        <w:t>Pour la t</w:t>
      </w:r>
      <w:r w:rsidR="001E4C74" w:rsidRPr="00CA44D1">
        <w:rPr>
          <w:rFonts w:ascii="Arial" w:hAnsi="Arial" w:cs="Arial"/>
          <w:sz w:val="24"/>
          <w:szCs w:val="24"/>
        </w:rPr>
        <w:t>ranche</w:t>
      </w:r>
      <w:r w:rsidRPr="00CA44D1">
        <w:rPr>
          <w:rFonts w:ascii="Arial" w:hAnsi="Arial" w:cs="Arial"/>
          <w:sz w:val="24"/>
          <w:szCs w:val="24"/>
        </w:rPr>
        <w:t xml:space="preserve"> T2, la facturation est </w:t>
      </w:r>
      <w:r w:rsidR="006622CC" w:rsidRPr="00CA44D1">
        <w:rPr>
          <w:rFonts w:ascii="Arial" w:hAnsi="Arial" w:cs="Arial"/>
          <w:sz w:val="24"/>
          <w:szCs w:val="24"/>
        </w:rPr>
        <w:t>à</w:t>
      </w:r>
      <w:r w:rsidRPr="00CA44D1">
        <w:rPr>
          <w:rFonts w:ascii="Arial" w:hAnsi="Arial" w:cs="Arial"/>
          <w:sz w:val="24"/>
          <w:szCs w:val="24"/>
        </w:rPr>
        <w:t xml:space="preserve"> prix unitaire applicable aux quantités comprises entre 8 et 30 m3/mois (zone en bleu sur le graphique)</w:t>
      </w:r>
    </w:p>
    <w:p w:rsidR="00900C6B" w:rsidRPr="00CA44D1" w:rsidRDefault="00900C6B" w:rsidP="000A0A4D">
      <w:pPr>
        <w:rPr>
          <w:rFonts w:ascii="Arial" w:hAnsi="Arial" w:cs="Arial"/>
          <w:sz w:val="24"/>
          <w:szCs w:val="24"/>
        </w:rPr>
      </w:pPr>
      <w:r w:rsidRPr="00CA44D1">
        <w:rPr>
          <w:rFonts w:ascii="Arial" w:hAnsi="Arial" w:cs="Arial"/>
          <w:sz w:val="24"/>
          <w:szCs w:val="24"/>
        </w:rPr>
        <w:t>Le même principe s’applique à la tranche T3 (zone en vert) avec un prix unitaire différent.</w:t>
      </w:r>
    </w:p>
    <w:p w:rsidR="00900C6B" w:rsidRPr="00CA44D1" w:rsidRDefault="00900C6B" w:rsidP="000A0A4D">
      <w:pPr>
        <w:rPr>
          <w:rFonts w:ascii="Arial" w:hAnsi="Arial" w:cs="Arial"/>
          <w:sz w:val="24"/>
          <w:szCs w:val="24"/>
        </w:rPr>
      </w:pPr>
      <w:r w:rsidRPr="00CA44D1">
        <w:rPr>
          <w:rFonts w:ascii="Arial" w:hAnsi="Arial" w:cs="Arial"/>
          <w:sz w:val="24"/>
          <w:szCs w:val="24"/>
        </w:rPr>
        <w:t>Les autres catégories (condominiaux, kiosques, non domestiques) sont facturé</w:t>
      </w:r>
      <w:r w:rsidR="009B6623" w:rsidRPr="00CA44D1">
        <w:rPr>
          <w:rFonts w:ascii="Arial" w:hAnsi="Arial" w:cs="Arial"/>
          <w:sz w:val="24"/>
          <w:szCs w:val="24"/>
        </w:rPr>
        <w:t>e</w:t>
      </w:r>
      <w:r w:rsidRPr="00CA44D1">
        <w:rPr>
          <w:rFonts w:ascii="Arial" w:hAnsi="Arial" w:cs="Arial"/>
          <w:sz w:val="24"/>
          <w:szCs w:val="24"/>
        </w:rPr>
        <w:t>s sur prix unitaires.</w:t>
      </w:r>
    </w:p>
    <w:p w:rsidR="004A002A" w:rsidRPr="00CA44D1" w:rsidRDefault="00617970" w:rsidP="004A002A">
      <w:pPr>
        <w:rPr>
          <w:rFonts w:ascii="Arial" w:hAnsi="Arial" w:cs="Arial"/>
          <w:sz w:val="24"/>
          <w:szCs w:val="24"/>
        </w:rPr>
      </w:pPr>
      <w:r w:rsidRPr="00CA44D1">
        <w:rPr>
          <w:rFonts w:ascii="Arial" w:hAnsi="Arial" w:cs="Arial"/>
          <w:sz w:val="24"/>
          <w:szCs w:val="24"/>
        </w:rPr>
        <w:t>La grille tarifaire proposée est présentée ci-après :</w:t>
      </w:r>
    </w:p>
    <w:p w:rsidR="00E276BC" w:rsidRPr="00CA44D1" w:rsidRDefault="00AE4BEB" w:rsidP="000A0A4D">
      <w:pPr>
        <w:rPr>
          <w:rFonts w:ascii="Arial" w:hAnsi="Arial" w:cs="Arial"/>
          <w:b/>
          <w:sz w:val="24"/>
          <w:szCs w:val="24"/>
        </w:rPr>
      </w:pPr>
      <w:r w:rsidRPr="00CA44D1">
        <w:rPr>
          <w:rFonts w:ascii="Arial" w:hAnsi="Arial" w:cs="Arial"/>
          <w:b/>
          <w:sz w:val="24"/>
          <w:szCs w:val="24"/>
        </w:rPr>
        <w:t>Tableau : Structure tarifaire proposé</w:t>
      </w:r>
      <w:r w:rsidR="006729C0" w:rsidRPr="00CA44D1">
        <w:rPr>
          <w:rFonts w:ascii="Arial" w:hAnsi="Arial" w:cs="Arial"/>
          <w:b/>
          <w:sz w:val="24"/>
          <w:szCs w:val="24"/>
        </w:rPr>
        <w:t>e</w:t>
      </w:r>
      <w:r w:rsidR="008E2EA7" w:rsidRPr="00CA44D1">
        <w:rPr>
          <w:rFonts w:ascii="Arial" w:hAnsi="Arial" w:cs="Arial"/>
          <w:b/>
          <w:sz w:val="24"/>
          <w:szCs w:val="24"/>
        </w:rPr>
        <w:t xml:space="preserve"> (prix en HTG)</w:t>
      </w:r>
    </w:p>
    <w:p w:rsidR="00617970" w:rsidRPr="00CA44D1" w:rsidRDefault="000E2A55" w:rsidP="000A0A4D">
      <w:pPr>
        <w:rPr>
          <w:rFonts w:ascii="Arial" w:hAnsi="Arial" w:cs="Arial"/>
          <w:b/>
          <w:sz w:val="24"/>
          <w:szCs w:val="24"/>
        </w:rPr>
      </w:pPr>
      <w:r w:rsidRPr="00CA44D1">
        <w:rPr>
          <w:rFonts w:ascii="Arial" w:hAnsi="Arial" w:cs="Arial"/>
          <w:b/>
          <w:noProof/>
          <w:sz w:val="24"/>
          <w:szCs w:val="24"/>
        </w:rPr>
        <w:drawing>
          <wp:inline distT="0" distB="0" distL="0" distR="0">
            <wp:extent cx="5760720" cy="2544167"/>
            <wp:effectExtent l="19050" t="19050" r="11430" b="279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544167"/>
                    </a:xfrm>
                    <a:prstGeom prst="rect">
                      <a:avLst/>
                    </a:prstGeom>
                    <a:noFill/>
                    <a:ln>
                      <a:solidFill>
                        <a:schemeClr val="tx1"/>
                      </a:solidFill>
                    </a:ln>
                  </pic:spPr>
                </pic:pic>
              </a:graphicData>
            </a:graphic>
          </wp:inline>
        </w:drawing>
      </w:r>
    </w:p>
    <w:p w:rsidR="009C2A08" w:rsidRPr="00CA44D1" w:rsidRDefault="00CD308F" w:rsidP="000A0A4D">
      <w:pPr>
        <w:rPr>
          <w:rFonts w:ascii="Arial" w:hAnsi="Arial" w:cs="Arial"/>
          <w:sz w:val="24"/>
          <w:szCs w:val="24"/>
        </w:rPr>
      </w:pPr>
      <w:r w:rsidRPr="00CA44D1">
        <w:rPr>
          <w:rFonts w:ascii="Arial" w:hAnsi="Arial" w:cs="Arial"/>
          <w:sz w:val="24"/>
          <w:szCs w:val="24"/>
        </w:rPr>
        <w:t>Sur ces bases ont été calculés les recettes d’exploitation sur la période 2019-2025</w:t>
      </w:r>
      <w:r w:rsidR="006B1363" w:rsidRPr="00CA44D1">
        <w:rPr>
          <w:rFonts w:ascii="Arial" w:hAnsi="Arial" w:cs="Arial"/>
          <w:sz w:val="24"/>
          <w:szCs w:val="24"/>
        </w:rPr>
        <w:t xml:space="preserve">. </w:t>
      </w:r>
    </w:p>
    <w:p w:rsidR="004F33FF" w:rsidRPr="00CA44D1" w:rsidRDefault="006B1363" w:rsidP="000A0A4D">
      <w:pPr>
        <w:rPr>
          <w:rFonts w:ascii="Arial" w:hAnsi="Arial" w:cs="Arial"/>
          <w:sz w:val="24"/>
          <w:szCs w:val="24"/>
        </w:rPr>
      </w:pPr>
      <w:r w:rsidRPr="00CA44D1">
        <w:rPr>
          <w:rFonts w:ascii="Arial" w:hAnsi="Arial" w:cs="Arial"/>
          <w:sz w:val="24"/>
          <w:szCs w:val="24"/>
        </w:rPr>
        <w:t xml:space="preserve">Le calcul a été effectué </w:t>
      </w:r>
      <w:r w:rsidR="001D5331" w:rsidRPr="00CA44D1">
        <w:rPr>
          <w:rFonts w:ascii="Arial" w:hAnsi="Arial" w:cs="Arial"/>
          <w:sz w:val="24"/>
          <w:szCs w:val="24"/>
        </w:rPr>
        <w:t>sur la seule composante « exploitation »</w:t>
      </w:r>
      <w:r w:rsidRPr="00CA44D1">
        <w:rPr>
          <w:rFonts w:ascii="Arial" w:hAnsi="Arial" w:cs="Arial"/>
          <w:sz w:val="24"/>
          <w:szCs w:val="24"/>
        </w:rPr>
        <w:t xml:space="preserve">, les autres composantes étant destinées à alimenter des fonds (FDE, assainissement) ou </w:t>
      </w:r>
      <w:r w:rsidR="004F33FF" w:rsidRPr="00CA44D1">
        <w:rPr>
          <w:rFonts w:ascii="Arial" w:hAnsi="Arial" w:cs="Arial"/>
          <w:sz w:val="24"/>
          <w:szCs w:val="24"/>
        </w:rPr>
        <w:t>des taxes (TCA, Taxe OREPA)</w:t>
      </w:r>
      <w:r w:rsidR="001D5331" w:rsidRPr="00CA44D1">
        <w:rPr>
          <w:rFonts w:ascii="Arial" w:hAnsi="Arial" w:cs="Arial"/>
          <w:sz w:val="24"/>
          <w:szCs w:val="24"/>
        </w:rPr>
        <w:t>.</w:t>
      </w:r>
    </w:p>
    <w:p w:rsidR="001D5331" w:rsidRPr="00CA44D1" w:rsidRDefault="001D5331" w:rsidP="000A0A4D">
      <w:pPr>
        <w:rPr>
          <w:rFonts w:ascii="Arial" w:hAnsi="Arial" w:cs="Arial"/>
          <w:sz w:val="24"/>
          <w:szCs w:val="24"/>
        </w:rPr>
      </w:pPr>
      <w:r w:rsidRPr="00CA44D1">
        <w:rPr>
          <w:rFonts w:ascii="Arial" w:hAnsi="Arial" w:cs="Arial"/>
          <w:sz w:val="24"/>
          <w:szCs w:val="24"/>
        </w:rPr>
        <w:t>Les résultats sur la période 2019-2025</w:t>
      </w:r>
      <w:r w:rsidR="00043532" w:rsidRPr="00CA44D1">
        <w:rPr>
          <w:rFonts w:ascii="Arial" w:hAnsi="Arial" w:cs="Arial"/>
          <w:sz w:val="24"/>
          <w:szCs w:val="24"/>
        </w:rPr>
        <w:t xml:space="preserve"> sont présenté</w:t>
      </w:r>
      <w:r w:rsidR="00DE3A42" w:rsidRPr="00CA44D1">
        <w:rPr>
          <w:rFonts w:ascii="Arial" w:hAnsi="Arial" w:cs="Arial"/>
          <w:sz w:val="24"/>
          <w:szCs w:val="24"/>
        </w:rPr>
        <w:t>s</w:t>
      </w:r>
      <w:r w:rsidR="00043532" w:rsidRPr="00CA44D1">
        <w:rPr>
          <w:rFonts w:ascii="Arial" w:hAnsi="Arial" w:cs="Arial"/>
          <w:sz w:val="24"/>
          <w:szCs w:val="24"/>
        </w:rPr>
        <w:t xml:space="preserve"> au tableau </w:t>
      </w:r>
      <w:r w:rsidR="00DE3A42" w:rsidRPr="00CA44D1">
        <w:rPr>
          <w:rFonts w:ascii="Arial" w:hAnsi="Arial" w:cs="Arial"/>
          <w:sz w:val="24"/>
          <w:szCs w:val="24"/>
        </w:rPr>
        <w:t>de la page qui suit</w:t>
      </w:r>
      <w:r w:rsidR="009739CC" w:rsidRPr="00CA44D1">
        <w:rPr>
          <w:rFonts w:ascii="Arial" w:hAnsi="Arial" w:cs="Arial"/>
          <w:sz w:val="24"/>
          <w:szCs w:val="24"/>
        </w:rPr>
        <w:t>.</w:t>
      </w:r>
    </w:p>
    <w:p w:rsidR="0082415B" w:rsidRPr="00CA44D1" w:rsidRDefault="00DE3A42" w:rsidP="00DE3A42">
      <w:pPr>
        <w:rPr>
          <w:rFonts w:ascii="Arial" w:hAnsi="Arial" w:cs="Arial"/>
          <w:sz w:val="24"/>
          <w:szCs w:val="24"/>
        </w:rPr>
      </w:pPr>
      <w:r w:rsidRPr="00CA44D1">
        <w:rPr>
          <w:rFonts w:ascii="Arial" w:hAnsi="Arial" w:cs="Arial"/>
          <w:sz w:val="24"/>
          <w:szCs w:val="24"/>
        </w:rPr>
        <w:t xml:space="preserve">Les recettes d’exploitation couvrent bien les charges d’exploitation sur la période 2019-2025. </w:t>
      </w:r>
    </w:p>
    <w:p w:rsidR="0082415B" w:rsidRPr="00CA44D1" w:rsidRDefault="0082415B" w:rsidP="00DE3A42">
      <w:pPr>
        <w:rPr>
          <w:rFonts w:ascii="Arial" w:hAnsi="Arial" w:cs="Arial"/>
          <w:sz w:val="24"/>
          <w:szCs w:val="24"/>
        </w:rPr>
      </w:pPr>
      <w:r w:rsidRPr="00CA44D1">
        <w:rPr>
          <w:rFonts w:ascii="Arial" w:hAnsi="Arial" w:cs="Arial"/>
          <w:sz w:val="24"/>
          <w:szCs w:val="24"/>
        </w:rPr>
        <w:t>Le résultat d’exploitation reste négatif au cours des 3 premières années mais progresse rapidement ensuite</w:t>
      </w:r>
      <w:r w:rsidR="009722FC" w:rsidRPr="00CA44D1">
        <w:rPr>
          <w:rFonts w:ascii="Arial" w:hAnsi="Arial" w:cs="Arial"/>
          <w:sz w:val="24"/>
          <w:szCs w:val="24"/>
        </w:rPr>
        <w:t xml:space="preserve">. Les besoins en trésorerie ont été calculés en prenant en compte un besoin en fonds de roulement équivalent à 2 mois de dépenses. </w:t>
      </w:r>
    </w:p>
    <w:p w:rsidR="009722FC" w:rsidRPr="00CA44D1" w:rsidRDefault="009722FC" w:rsidP="00DE3A42">
      <w:pPr>
        <w:rPr>
          <w:rFonts w:ascii="Arial" w:hAnsi="Arial" w:cs="Arial"/>
          <w:sz w:val="24"/>
          <w:szCs w:val="24"/>
        </w:rPr>
      </w:pPr>
      <w:r w:rsidRPr="00CA44D1">
        <w:rPr>
          <w:rFonts w:ascii="Arial" w:hAnsi="Arial" w:cs="Arial"/>
          <w:sz w:val="24"/>
          <w:szCs w:val="24"/>
        </w:rPr>
        <w:t>Pour répondre aux besoins de trésorerie</w:t>
      </w:r>
      <w:r w:rsidR="00BA4A9A" w:rsidRPr="00CA44D1">
        <w:rPr>
          <w:rFonts w:ascii="Arial" w:hAnsi="Arial" w:cs="Arial"/>
          <w:sz w:val="24"/>
          <w:szCs w:val="24"/>
        </w:rPr>
        <w:t>, des subventions de la BID sur les 3 premières années, pour un montant total de 328 000 USD sont nécessaires, sauf à pouvoir compter sur un apport en capital du gouvernement, ce qui semble peu probable.</w:t>
      </w:r>
    </w:p>
    <w:p w:rsidR="00DE3A42" w:rsidRPr="00CA44D1" w:rsidRDefault="00DE3A42" w:rsidP="00DE3A42">
      <w:pPr>
        <w:rPr>
          <w:rFonts w:ascii="Arial" w:hAnsi="Arial" w:cs="Arial"/>
          <w:sz w:val="24"/>
          <w:szCs w:val="24"/>
        </w:rPr>
      </w:pPr>
      <w:r w:rsidRPr="00CA44D1">
        <w:rPr>
          <w:rFonts w:ascii="Arial" w:hAnsi="Arial" w:cs="Arial"/>
          <w:sz w:val="24"/>
          <w:szCs w:val="24"/>
        </w:rPr>
        <w:lastRenderedPageBreak/>
        <w:t>La structure tarifaire permet d’abonder les fonds de développement de l’eau et de l’assainissement à hauteur respectivement de :</w:t>
      </w:r>
    </w:p>
    <w:p w:rsidR="00DE3A42" w:rsidRPr="00CA44D1" w:rsidRDefault="00DE3A42" w:rsidP="00DE3A42">
      <w:pPr>
        <w:pStyle w:val="ListParagraph"/>
        <w:numPr>
          <w:ilvl w:val="0"/>
          <w:numId w:val="1"/>
        </w:numPr>
        <w:rPr>
          <w:rFonts w:ascii="Arial" w:hAnsi="Arial" w:cs="Arial"/>
          <w:sz w:val="24"/>
          <w:szCs w:val="24"/>
        </w:rPr>
      </w:pPr>
      <w:r w:rsidRPr="00CA44D1">
        <w:rPr>
          <w:rFonts w:ascii="Arial" w:hAnsi="Arial" w:cs="Arial"/>
          <w:sz w:val="24"/>
          <w:szCs w:val="24"/>
        </w:rPr>
        <w:t xml:space="preserve">Fonds Eau : </w:t>
      </w:r>
      <w:r w:rsidRPr="00CA44D1">
        <w:rPr>
          <w:rFonts w:ascii="Arial" w:hAnsi="Arial" w:cs="Arial"/>
          <w:sz w:val="24"/>
          <w:szCs w:val="24"/>
        </w:rPr>
        <w:tab/>
        <w:t xml:space="preserve">988 </w:t>
      </w:r>
      <w:r w:rsidR="00DB7A46" w:rsidRPr="00CA44D1">
        <w:rPr>
          <w:rFonts w:ascii="Arial" w:hAnsi="Arial" w:cs="Arial"/>
          <w:sz w:val="24"/>
          <w:szCs w:val="24"/>
        </w:rPr>
        <w:t>000 USD</w:t>
      </w:r>
    </w:p>
    <w:p w:rsidR="00DE3A42" w:rsidRPr="00CA44D1" w:rsidRDefault="00DE3A42" w:rsidP="00DE3A42">
      <w:pPr>
        <w:pStyle w:val="ListParagraph"/>
        <w:numPr>
          <w:ilvl w:val="0"/>
          <w:numId w:val="1"/>
        </w:numPr>
        <w:rPr>
          <w:rFonts w:ascii="Arial" w:hAnsi="Arial" w:cs="Arial"/>
          <w:sz w:val="24"/>
          <w:szCs w:val="24"/>
        </w:rPr>
      </w:pPr>
      <w:r w:rsidRPr="00CA44D1">
        <w:rPr>
          <w:rFonts w:ascii="Arial" w:hAnsi="Arial" w:cs="Arial"/>
          <w:sz w:val="24"/>
          <w:szCs w:val="24"/>
        </w:rPr>
        <w:t xml:space="preserve">Fonds Assainissement : </w:t>
      </w:r>
      <w:r w:rsidRPr="00CA44D1">
        <w:rPr>
          <w:rFonts w:ascii="Arial" w:hAnsi="Arial" w:cs="Arial"/>
          <w:sz w:val="24"/>
          <w:szCs w:val="24"/>
        </w:rPr>
        <w:tab/>
        <w:t>1 383 000 USD</w:t>
      </w:r>
    </w:p>
    <w:p w:rsidR="00DE3A42" w:rsidRPr="00CA44D1" w:rsidRDefault="00DE3A42" w:rsidP="00DE3A42">
      <w:pPr>
        <w:rPr>
          <w:rFonts w:ascii="Arial" w:hAnsi="Arial" w:cs="Arial"/>
          <w:sz w:val="24"/>
          <w:szCs w:val="24"/>
        </w:rPr>
      </w:pPr>
      <w:r w:rsidRPr="00CA44D1">
        <w:rPr>
          <w:rFonts w:ascii="Arial" w:hAnsi="Arial" w:cs="Arial"/>
          <w:sz w:val="24"/>
          <w:szCs w:val="24"/>
        </w:rPr>
        <w:t>Des ressources additionnelles peuvent être récupéré</w:t>
      </w:r>
      <w:r w:rsidR="008E62D3">
        <w:rPr>
          <w:rFonts w:ascii="Arial" w:hAnsi="Arial" w:cs="Arial"/>
          <w:sz w:val="24"/>
          <w:szCs w:val="24"/>
        </w:rPr>
        <w:t>e</w:t>
      </w:r>
      <w:r w:rsidRPr="00CA44D1">
        <w:rPr>
          <w:rFonts w:ascii="Arial" w:hAnsi="Arial" w:cs="Arial"/>
          <w:sz w:val="24"/>
          <w:szCs w:val="24"/>
        </w:rPr>
        <w:t>s de la vente de branchements eau sur la période. Des campagnes de promotion à un tarif social de 20 USD devraient trouver facilement des clients intéressés et rapporter :</w:t>
      </w:r>
    </w:p>
    <w:p w:rsidR="00DE3A42" w:rsidRPr="00CA44D1" w:rsidRDefault="00DE3A42" w:rsidP="00DE3A42">
      <w:pPr>
        <w:pStyle w:val="ListParagraph"/>
        <w:numPr>
          <w:ilvl w:val="0"/>
          <w:numId w:val="1"/>
        </w:numPr>
        <w:rPr>
          <w:rFonts w:ascii="Arial" w:hAnsi="Arial" w:cs="Arial"/>
          <w:sz w:val="24"/>
          <w:szCs w:val="24"/>
        </w:rPr>
      </w:pPr>
      <w:r w:rsidRPr="00CA44D1">
        <w:rPr>
          <w:rFonts w:ascii="Arial" w:hAnsi="Arial" w:cs="Arial"/>
          <w:sz w:val="24"/>
          <w:szCs w:val="24"/>
        </w:rPr>
        <w:t xml:space="preserve">Ventes de branchements : </w:t>
      </w:r>
      <w:r w:rsidRPr="00CA44D1">
        <w:rPr>
          <w:rFonts w:ascii="Arial" w:hAnsi="Arial" w:cs="Arial"/>
          <w:sz w:val="24"/>
          <w:szCs w:val="24"/>
        </w:rPr>
        <w:tab/>
        <w:t>338 000 USD</w:t>
      </w:r>
      <w:r w:rsidRPr="00CA44D1">
        <w:rPr>
          <w:rFonts w:ascii="Arial" w:hAnsi="Arial" w:cs="Arial"/>
          <w:sz w:val="24"/>
          <w:szCs w:val="24"/>
        </w:rPr>
        <w:tab/>
        <w:t>(soit 16 900 x 20)</w:t>
      </w:r>
    </w:p>
    <w:p w:rsidR="00DE3A42" w:rsidRPr="00CA44D1" w:rsidRDefault="00DE3A42" w:rsidP="00DE3A42">
      <w:pPr>
        <w:rPr>
          <w:rFonts w:ascii="Arial" w:hAnsi="Arial" w:cs="Arial"/>
          <w:sz w:val="24"/>
          <w:szCs w:val="24"/>
        </w:rPr>
      </w:pPr>
      <w:r w:rsidRPr="00CA44D1">
        <w:rPr>
          <w:rFonts w:ascii="Arial" w:hAnsi="Arial" w:cs="Arial"/>
          <w:sz w:val="24"/>
          <w:szCs w:val="24"/>
        </w:rPr>
        <w:t xml:space="preserve">Enfin pour les habitants des zones condominiales, à partir du moment ou un réseau d’assainissement serait mis en place le taux de la part assainissement dans la structure passerait de 14% </w:t>
      </w:r>
      <w:r w:rsidR="00DB7A46" w:rsidRPr="00CA44D1">
        <w:rPr>
          <w:rFonts w:ascii="Arial" w:hAnsi="Arial" w:cs="Arial"/>
          <w:sz w:val="24"/>
          <w:szCs w:val="24"/>
        </w:rPr>
        <w:t>à 80</w:t>
      </w:r>
      <w:r w:rsidRPr="00CA44D1">
        <w:rPr>
          <w:rFonts w:ascii="Arial" w:hAnsi="Arial" w:cs="Arial"/>
          <w:sz w:val="24"/>
          <w:szCs w:val="24"/>
        </w:rPr>
        <w:t>%.</w:t>
      </w:r>
    </w:p>
    <w:p w:rsidR="00DE3A42" w:rsidRPr="00CA44D1" w:rsidRDefault="00DE3A42" w:rsidP="00DE3A42">
      <w:pPr>
        <w:rPr>
          <w:rFonts w:ascii="Arial" w:hAnsi="Arial" w:cs="Arial"/>
          <w:sz w:val="24"/>
          <w:szCs w:val="24"/>
        </w:rPr>
      </w:pPr>
      <w:r w:rsidRPr="00CA44D1">
        <w:rPr>
          <w:rFonts w:ascii="Arial" w:hAnsi="Arial" w:cs="Arial"/>
          <w:sz w:val="24"/>
          <w:szCs w:val="24"/>
        </w:rPr>
        <w:t xml:space="preserve">Cela concernerait environ 2000 clients dont la moitié en 2021 et le reste en 2022. </w:t>
      </w:r>
    </w:p>
    <w:p w:rsidR="00DE3A42" w:rsidRPr="00CA44D1" w:rsidRDefault="00DE3A42" w:rsidP="00DE3A42">
      <w:pPr>
        <w:rPr>
          <w:rFonts w:ascii="Arial" w:hAnsi="Arial" w:cs="Arial"/>
          <w:sz w:val="24"/>
          <w:szCs w:val="24"/>
        </w:rPr>
      </w:pPr>
      <w:r w:rsidRPr="00CA44D1">
        <w:rPr>
          <w:rFonts w:ascii="Arial" w:hAnsi="Arial" w:cs="Arial"/>
          <w:sz w:val="24"/>
          <w:szCs w:val="24"/>
        </w:rPr>
        <w:t xml:space="preserve">Le tarif assainissement permettrait de dégager des recettes annuelles estimées de l’ordre de </w:t>
      </w:r>
      <w:r w:rsidR="00283595" w:rsidRPr="00CA44D1">
        <w:rPr>
          <w:rFonts w:ascii="Arial" w:hAnsi="Arial" w:cs="Arial"/>
          <w:sz w:val="24"/>
          <w:szCs w:val="24"/>
        </w:rPr>
        <w:t>63 000</w:t>
      </w:r>
      <w:r w:rsidRPr="00CA44D1">
        <w:rPr>
          <w:rFonts w:ascii="Arial" w:hAnsi="Arial" w:cs="Arial"/>
          <w:sz w:val="24"/>
          <w:szCs w:val="24"/>
        </w:rPr>
        <w:t> USD</w:t>
      </w:r>
      <w:r w:rsidRPr="00CA44D1">
        <w:rPr>
          <w:rStyle w:val="FootnoteReference"/>
          <w:rFonts w:ascii="Arial" w:hAnsi="Arial" w:cs="Arial"/>
          <w:sz w:val="24"/>
          <w:szCs w:val="24"/>
        </w:rPr>
        <w:footnoteReference w:id="9"/>
      </w:r>
      <w:r w:rsidRPr="00CA44D1">
        <w:rPr>
          <w:rFonts w:ascii="Arial" w:hAnsi="Arial" w:cs="Arial"/>
          <w:sz w:val="24"/>
          <w:szCs w:val="24"/>
        </w:rPr>
        <w:t xml:space="preserve"> (pour 2000 clients) qui seraient consacrées à la couverture des charges d’exploitation (vidange des fosses septiques communautaires, entretien du réseau…)</w:t>
      </w:r>
    </w:p>
    <w:p w:rsidR="00DE3A42" w:rsidRPr="00CA44D1" w:rsidRDefault="00DE3A42" w:rsidP="00DE3A42">
      <w:pPr>
        <w:rPr>
          <w:rFonts w:ascii="Arial" w:hAnsi="Arial" w:cs="Arial"/>
          <w:b/>
          <w:sz w:val="24"/>
          <w:szCs w:val="24"/>
        </w:rPr>
      </w:pPr>
      <w:r w:rsidRPr="00CA44D1">
        <w:rPr>
          <w:rFonts w:ascii="Arial" w:hAnsi="Arial" w:cs="Arial"/>
          <w:b/>
          <w:sz w:val="24"/>
          <w:szCs w:val="24"/>
        </w:rPr>
        <w:t>Accessibilité du tarif</w:t>
      </w:r>
    </w:p>
    <w:p w:rsidR="00DE3A42" w:rsidRPr="00CA44D1" w:rsidRDefault="00DE3A42" w:rsidP="00DE3A42">
      <w:pPr>
        <w:rPr>
          <w:rFonts w:ascii="Arial" w:hAnsi="Arial" w:cs="Arial"/>
          <w:sz w:val="24"/>
          <w:szCs w:val="24"/>
        </w:rPr>
      </w:pPr>
      <w:r w:rsidRPr="00CA44D1">
        <w:rPr>
          <w:rFonts w:ascii="Arial" w:hAnsi="Arial" w:cs="Arial"/>
          <w:sz w:val="24"/>
          <w:szCs w:val="24"/>
        </w:rPr>
        <w:t>Il est intéressant de comparer le coût futur de l’eau pour un abonné domestique à celui payé aujourd’hui en l’absence de réseau public.</w:t>
      </w:r>
    </w:p>
    <w:p w:rsidR="00DE3A42" w:rsidRPr="00CA44D1" w:rsidRDefault="00DE3A42" w:rsidP="00DE3A42">
      <w:pPr>
        <w:rPr>
          <w:rFonts w:ascii="Arial" w:hAnsi="Arial" w:cs="Arial"/>
          <w:sz w:val="24"/>
          <w:szCs w:val="24"/>
        </w:rPr>
      </w:pPr>
      <w:r w:rsidRPr="00CA44D1">
        <w:rPr>
          <w:rFonts w:ascii="Arial" w:hAnsi="Arial" w:cs="Arial"/>
          <w:sz w:val="24"/>
          <w:szCs w:val="24"/>
        </w:rPr>
        <w:t xml:space="preserve">Avec la structure tarifaire proposée le coût pour un client domestique consommant une moyenne de 22 m3/mois ressort à 975 HTG. Un client domestique équivalant à 2,1 ménages ; le coût moyen du service s’établit donc à </w:t>
      </w:r>
      <w:r w:rsidRPr="00CA44D1">
        <w:rPr>
          <w:rFonts w:ascii="Arial" w:hAnsi="Arial" w:cs="Arial"/>
          <w:sz w:val="24"/>
          <w:szCs w:val="24"/>
          <w:u w:val="single"/>
        </w:rPr>
        <w:t>464 HTG par ménage</w:t>
      </w:r>
    </w:p>
    <w:p w:rsidR="000E0C01" w:rsidRPr="00CA44D1" w:rsidRDefault="000E0C01" w:rsidP="000E0C01">
      <w:pPr>
        <w:rPr>
          <w:rFonts w:ascii="Arial" w:hAnsi="Arial" w:cs="Arial"/>
          <w:sz w:val="24"/>
          <w:szCs w:val="24"/>
        </w:rPr>
      </w:pPr>
      <w:r w:rsidRPr="00CA44D1">
        <w:rPr>
          <w:rFonts w:ascii="Arial" w:hAnsi="Arial" w:cs="Arial"/>
          <w:sz w:val="24"/>
          <w:szCs w:val="24"/>
        </w:rPr>
        <w:t xml:space="preserve">Ce coût reste inférieur aux dépenses actuelles des ménages selon les résultats de l’enquête sur les conditions d’approvisionnement. </w:t>
      </w:r>
    </w:p>
    <w:p w:rsidR="009739CC" w:rsidRDefault="009739CC" w:rsidP="000A0A4D">
      <w:pPr>
        <w:sectPr w:rsidR="009739CC">
          <w:pgSz w:w="11906" w:h="16838"/>
          <w:pgMar w:top="1417" w:right="1417" w:bottom="1417" w:left="1417" w:header="708" w:footer="708" w:gutter="0"/>
          <w:cols w:space="708"/>
          <w:docGrid w:linePitch="360"/>
        </w:sectPr>
      </w:pPr>
    </w:p>
    <w:p w:rsidR="009739CC" w:rsidRDefault="009739CC" w:rsidP="000A0A4D"/>
    <w:tbl>
      <w:tblPr>
        <w:tblW w:w="14175" w:type="dxa"/>
        <w:tblCellMar>
          <w:left w:w="70" w:type="dxa"/>
          <w:right w:w="70" w:type="dxa"/>
        </w:tblCellMar>
        <w:tblLook w:val="04A0" w:firstRow="1" w:lastRow="0" w:firstColumn="1" w:lastColumn="0" w:noHBand="0" w:noVBand="1"/>
      </w:tblPr>
      <w:tblGrid>
        <w:gridCol w:w="4160"/>
        <w:gridCol w:w="880"/>
        <w:gridCol w:w="1000"/>
        <w:gridCol w:w="1000"/>
        <w:gridCol w:w="1000"/>
        <w:gridCol w:w="1174"/>
        <w:gridCol w:w="1134"/>
        <w:gridCol w:w="1134"/>
        <w:gridCol w:w="1134"/>
        <w:gridCol w:w="284"/>
        <w:gridCol w:w="1275"/>
      </w:tblGrid>
      <w:tr w:rsidR="00537797" w:rsidRPr="00537797" w:rsidTr="00DE3A42">
        <w:trPr>
          <w:trHeight w:val="300"/>
        </w:trPr>
        <w:tc>
          <w:tcPr>
            <w:tcW w:w="4160" w:type="dxa"/>
            <w:tcBorders>
              <w:top w:val="nil"/>
              <w:left w:val="nil"/>
              <w:bottom w:val="nil"/>
              <w:right w:val="nil"/>
            </w:tcBorders>
            <w:shd w:val="clear" w:color="auto" w:fill="auto"/>
            <w:noWrap/>
            <w:vAlign w:val="bottom"/>
            <w:hideMark/>
          </w:tcPr>
          <w:p w:rsidR="00537797" w:rsidRPr="001E646B" w:rsidRDefault="00537797" w:rsidP="00537797">
            <w:pPr>
              <w:spacing w:after="0" w:line="240" w:lineRule="auto"/>
              <w:jc w:val="left"/>
              <w:rPr>
                <w:rFonts w:ascii="Arial" w:eastAsia="Times New Roman" w:hAnsi="Arial" w:cs="Arial"/>
                <w:b/>
                <w:bCs/>
                <w:color w:val="000000"/>
                <w:lang w:eastAsia="fr-FR"/>
              </w:rPr>
            </w:pPr>
            <w:r w:rsidRPr="001E646B">
              <w:rPr>
                <w:rFonts w:ascii="Arial" w:eastAsia="Times New Roman" w:hAnsi="Arial" w:cs="Arial"/>
                <w:b/>
                <w:bCs/>
                <w:color w:val="000000"/>
                <w:lang w:eastAsia="fr-FR"/>
              </w:rPr>
              <w:t>RESULTAT</w:t>
            </w:r>
          </w:p>
        </w:tc>
        <w:tc>
          <w:tcPr>
            <w:tcW w:w="880"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7797" w:rsidRPr="00537797" w:rsidRDefault="00537797" w:rsidP="00537797">
            <w:pPr>
              <w:spacing w:after="0" w:line="240" w:lineRule="auto"/>
              <w:jc w:val="center"/>
              <w:rPr>
                <w:rFonts w:ascii="Calibri" w:eastAsia="Times New Roman" w:hAnsi="Calibri" w:cs="Calibri"/>
                <w:b/>
                <w:bCs/>
                <w:color w:val="000000"/>
                <w:lang w:eastAsia="fr-FR"/>
              </w:rPr>
            </w:pPr>
            <w:r w:rsidRPr="00537797">
              <w:rPr>
                <w:rFonts w:ascii="Calibri" w:eastAsia="Times New Roman" w:hAnsi="Calibri" w:cs="Calibri"/>
                <w:b/>
                <w:bCs/>
                <w:color w:val="000000"/>
                <w:lang w:eastAsia="fr-FR"/>
              </w:rPr>
              <w:t>2019</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537797" w:rsidRPr="00537797" w:rsidRDefault="00537797" w:rsidP="00537797">
            <w:pPr>
              <w:spacing w:after="0" w:line="240" w:lineRule="auto"/>
              <w:jc w:val="center"/>
              <w:rPr>
                <w:rFonts w:ascii="Calibri" w:eastAsia="Times New Roman" w:hAnsi="Calibri" w:cs="Calibri"/>
                <w:b/>
                <w:bCs/>
                <w:color w:val="000000"/>
                <w:lang w:eastAsia="fr-FR"/>
              </w:rPr>
            </w:pPr>
            <w:r w:rsidRPr="00537797">
              <w:rPr>
                <w:rFonts w:ascii="Calibri" w:eastAsia="Times New Roman" w:hAnsi="Calibri" w:cs="Calibri"/>
                <w:b/>
                <w:bCs/>
                <w:color w:val="000000"/>
                <w:lang w:eastAsia="fr-FR"/>
              </w:rPr>
              <w:t>2020</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537797" w:rsidRPr="00537797" w:rsidRDefault="00537797" w:rsidP="00537797">
            <w:pPr>
              <w:spacing w:after="0" w:line="240" w:lineRule="auto"/>
              <w:jc w:val="center"/>
              <w:rPr>
                <w:rFonts w:ascii="Calibri" w:eastAsia="Times New Roman" w:hAnsi="Calibri" w:cs="Calibri"/>
                <w:b/>
                <w:bCs/>
                <w:color w:val="000000"/>
                <w:lang w:eastAsia="fr-FR"/>
              </w:rPr>
            </w:pPr>
            <w:r w:rsidRPr="00537797">
              <w:rPr>
                <w:rFonts w:ascii="Calibri" w:eastAsia="Times New Roman" w:hAnsi="Calibri" w:cs="Calibri"/>
                <w:b/>
                <w:bCs/>
                <w:color w:val="000000"/>
                <w:lang w:eastAsia="fr-FR"/>
              </w:rPr>
              <w:t>2021</w:t>
            </w:r>
          </w:p>
        </w:tc>
        <w:tc>
          <w:tcPr>
            <w:tcW w:w="1174" w:type="dxa"/>
            <w:tcBorders>
              <w:top w:val="single" w:sz="4" w:space="0" w:color="auto"/>
              <w:left w:val="nil"/>
              <w:bottom w:val="single" w:sz="4" w:space="0" w:color="auto"/>
              <w:right w:val="single" w:sz="4" w:space="0" w:color="auto"/>
            </w:tcBorders>
            <w:shd w:val="clear" w:color="auto" w:fill="auto"/>
            <w:noWrap/>
            <w:vAlign w:val="bottom"/>
            <w:hideMark/>
          </w:tcPr>
          <w:p w:rsidR="00537797" w:rsidRPr="00537797" w:rsidRDefault="00537797" w:rsidP="00537797">
            <w:pPr>
              <w:spacing w:after="0" w:line="240" w:lineRule="auto"/>
              <w:jc w:val="center"/>
              <w:rPr>
                <w:rFonts w:ascii="Calibri" w:eastAsia="Times New Roman" w:hAnsi="Calibri" w:cs="Calibri"/>
                <w:b/>
                <w:bCs/>
                <w:color w:val="000000"/>
                <w:lang w:eastAsia="fr-FR"/>
              </w:rPr>
            </w:pPr>
            <w:r w:rsidRPr="00537797">
              <w:rPr>
                <w:rFonts w:ascii="Calibri" w:eastAsia="Times New Roman" w:hAnsi="Calibri" w:cs="Calibri"/>
                <w:b/>
                <w:bCs/>
                <w:color w:val="000000"/>
                <w:lang w:eastAsia="fr-FR"/>
              </w:rPr>
              <w:t>2022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37797" w:rsidRPr="00537797" w:rsidRDefault="00537797" w:rsidP="00537797">
            <w:pPr>
              <w:spacing w:after="0" w:line="240" w:lineRule="auto"/>
              <w:jc w:val="center"/>
              <w:rPr>
                <w:rFonts w:ascii="Calibri" w:eastAsia="Times New Roman" w:hAnsi="Calibri" w:cs="Calibri"/>
                <w:b/>
                <w:bCs/>
                <w:color w:val="000000"/>
                <w:lang w:eastAsia="fr-FR"/>
              </w:rPr>
            </w:pPr>
            <w:r w:rsidRPr="00537797">
              <w:rPr>
                <w:rFonts w:ascii="Calibri" w:eastAsia="Times New Roman" w:hAnsi="Calibri" w:cs="Calibri"/>
                <w:b/>
                <w:bCs/>
                <w:color w:val="000000"/>
                <w:lang w:eastAsia="fr-FR"/>
              </w:rPr>
              <w:t>2023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37797" w:rsidRPr="00537797" w:rsidRDefault="00537797" w:rsidP="00537797">
            <w:pPr>
              <w:spacing w:after="0" w:line="240" w:lineRule="auto"/>
              <w:jc w:val="center"/>
              <w:rPr>
                <w:rFonts w:ascii="Calibri" w:eastAsia="Times New Roman" w:hAnsi="Calibri" w:cs="Calibri"/>
                <w:b/>
                <w:bCs/>
                <w:color w:val="000000"/>
                <w:lang w:eastAsia="fr-FR"/>
              </w:rPr>
            </w:pPr>
            <w:r w:rsidRPr="00537797">
              <w:rPr>
                <w:rFonts w:ascii="Calibri" w:eastAsia="Times New Roman" w:hAnsi="Calibri" w:cs="Calibri"/>
                <w:b/>
                <w:bCs/>
                <w:color w:val="000000"/>
                <w:lang w:eastAsia="fr-FR"/>
              </w:rPr>
              <w:t>2024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37797" w:rsidRPr="00537797" w:rsidRDefault="00537797" w:rsidP="00537797">
            <w:pPr>
              <w:spacing w:after="0" w:line="240" w:lineRule="auto"/>
              <w:jc w:val="center"/>
              <w:rPr>
                <w:rFonts w:ascii="Calibri" w:eastAsia="Times New Roman" w:hAnsi="Calibri" w:cs="Calibri"/>
                <w:b/>
                <w:bCs/>
                <w:color w:val="000000"/>
                <w:lang w:eastAsia="fr-FR"/>
              </w:rPr>
            </w:pPr>
            <w:r w:rsidRPr="00537797">
              <w:rPr>
                <w:rFonts w:ascii="Calibri" w:eastAsia="Times New Roman" w:hAnsi="Calibri" w:cs="Calibri"/>
                <w:b/>
                <w:bCs/>
                <w:color w:val="000000"/>
                <w:lang w:eastAsia="fr-FR"/>
              </w:rPr>
              <w:t>2025</w:t>
            </w:r>
          </w:p>
        </w:tc>
        <w:tc>
          <w:tcPr>
            <w:tcW w:w="284" w:type="dxa"/>
            <w:tcBorders>
              <w:top w:val="single" w:sz="4" w:space="0" w:color="auto"/>
              <w:left w:val="nil"/>
              <w:bottom w:val="single" w:sz="4" w:space="0" w:color="auto"/>
              <w:right w:val="single" w:sz="4" w:space="0" w:color="auto"/>
            </w:tcBorders>
          </w:tcPr>
          <w:p w:rsidR="00537797" w:rsidRPr="00537797" w:rsidRDefault="00537797" w:rsidP="00537797">
            <w:pPr>
              <w:spacing w:after="0" w:line="240" w:lineRule="auto"/>
              <w:jc w:val="center"/>
              <w:rPr>
                <w:rFonts w:ascii="Calibri" w:eastAsia="Times New Roman" w:hAnsi="Calibri" w:cs="Calibri"/>
                <w:b/>
                <w:bCs/>
                <w:color w:val="000000"/>
                <w:lang w:eastAsia="fr-FR"/>
              </w:rPr>
            </w:pPr>
          </w:p>
        </w:tc>
        <w:tc>
          <w:tcPr>
            <w:tcW w:w="1275" w:type="dxa"/>
            <w:tcBorders>
              <w:top w:val="single" w:sz="4" w:space="0" w:color="auto"/>
              <w:left w:val="single" w:sz="4" w:space="0" w:color="auto"/>
              <w:right w:val="single" w:sz="4" w:space="0" w:color="auto"/>
            </w:tcBorders>
          </w:tcPr>
          <w:p w:rsidR="00537797" w:rsidRPr="00537797" w:rsidRDefault="00DE3A42" w:rsidP="00537797">
            <w:pPr>
              <w:spacing w:after="0" w:line="240" w:lineRule="auto"/>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Total</w:t>
            </w:r>
          </w:p>
        </w:tc>
      </w:tr>
      <w:tr w:rsidR="00537797" w:rsidRPr="00537797" w:rsidTr="00DE3A42">
        <w:trPr>
          <w:trHeight w:val="300"/>
        </w:trPr>
        <w:tc>
          <w:tcPr>
            <w:tcW w:w="4160"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center"/>
              <w:rPr>
                <w:rFonts w:ascii="Calibri" w:eastAsia="Times New Roman" w:hAnsi="Calibri" w:cs="Calibri"/>
                <w:b/>
                <w:bCs/>
                <w:color w:val="000000"/>
                <w:lang w:eastAsia="fr-FR"/>
              </w:rPr>
            </w:pPr>
          </w:p>
        </w:tc>
        <w:tc>
          <w:tcPr>
            <w:tcW w:w="880"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174"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134"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134"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134"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284" w:type="dxa"/>
            <w:tcBorders>
              <w:top w:val="nil"/>
              <w:left w:val="nil"/>
              <w:bottom w:val="nil"/>
              <w:right w:val="single" w:sz="4" w:space="0" w:color="auto"/>
            </w:tcBorders>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275" w:type="dxa"/>
            <w:tcBorders>
              <w:top w:val="nil"/>
              <w:left w:val="single" w:sz="4" w:space="0" w:color="auto"/>
              <w:bottom w:val="single" w:sz="4" w:space="0" w:color="auto"/>
              <w:right w:val="single" w:sz="4" w:space="0" w:color="auto"/>
            </w:tcBorders>
          </w:tcPr>
          <w:p w:rsidR="00537797" w:rsidRPr="00DE3A42" w:rsidRDefault="00DE3A42" w:rsidP="00DE3A42">
            <w:pPr>
              <w:spacing w:after="0" w:line="240" w:lineRule="auto"/>
              <w:jc w:val="center"/>
              <w:rPr>
                <w:rFonts w:eastAsia="Times New Roman" w:cstheme="minorHAnsi"/>
                <w:b/>
                <w:lang w:eastAsia="fr-FR"/>
              </w:rPr>
            </w:pPr>
            <w:r w:rsidRPr="00DE3A42">
              <w:rPr>
                <w:rFonts w:eastAsia="Times New Roman" w:cstheme="minorHAnsi"/>
                <w:b/>
                <w:lang w:eastAsia="fr-FR"/>
              </w:rPr>
              <w:t>Période</w:t>
            </w:r>
          </w:p>
        </w:tc>
      </w:tr>
      <w:tr w:rsidR="00537797" w:rsidRPr="00537797" w:rsidTr="00DE3A42">
        <w:trPr>
          <w:trHeight w:val="300"/>
        </w:trPr>
        <w:tc>
          <w:tcPr>
            <w:tcW w:w="4160"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Calibri" w:eastAsia="Times New Roman" w:hAnsi="Calibri" w:cs="Calibri"/>
                <w:b/>
                <w:bCs/>
                <w:color w:val="000000"/>
                <w:lang w:eastAsia="fr-FR"/>
              </w:rPr>
            </w:pPr>
            <w:r w:rsidRPr="00537797">
              <w:rPr>
                <w:rFonts w:ascii="Calibri" w:eastAsia="Times New Roman" w:hAnsi="Calibri" w:cs="Calibri"/>
                <w:b/>
                <w:bCs/>
                <w:color w:val="000000"/>
                <w:lang w:eastAsia="fr-FR"/>
              </w:rPr>
              <w:t>Taux de recouvrement</w:t>
            </w:r>
          </w:p>
        </w:tc>
        <w:tc>
          <w:tcPr>
            <w:tcW w:w="880"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right"/>
              <w:rPr>
                <w:rFonts w:ascii="Calibri" w:eastAsia="Times New Roman" w:hAnsi="Calibri" w:cs="Calibri"/>
                <w:color w:val="000000"/>
                <w:lang w:eastAsia="fr-FR"/>
              </w:rPr>
            </w:pPr>
            <w:r w:rsidRPr="00537797">
              <w:rPr>
                <w:rFonts w:ascii="Calibri" w:eastAsia="Times New Roman" w:hAnsi="Calibri" w:cs="Calibri"/>
                <w:color w:val="000000"/>
                <w:lang w:eastAsia="fr-FR"/>
              </w:rPr>
              <w:t>70%</w:t>
            </w:r>
          </w:p>
        </w:tc>
        <w:tc>
          <w:tcPr>
            <w:tcW w:w="1000"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right"/>
              <w:rPr>
                <w:rFonts w:ascii="Calibri" w:eastAsia="Times New Roman" w:hAnsi="Calibri" w:cs="Calibri"/>
                <w:color w:val="000000"/>
                <w:lang w:eastAsia="fr-FR"/>
              </w:rPr>
            </w:pPr>
            <w:r w:rsidRPr="00537797">
              <w:rPr>
                <w:rFonts w:ascii="Calibri" w:eastAsia="Times New Roman" w:hAnsi="Calibri" w:cs="Calibri"/>
                <w:color w:val="000000"/>
                <w:lang w:eastAsia="fr-FR"/>
              </w:rPr>
              <w:t>80%</w:t>
            </w:r>
          </w:p>
        </w:tc>
        <w:tc>
          <w:tcPr>
            <w:tcW w:w="1000"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right"/>
              <w:rPr>
                <w:rFonts w:ascii="Calibri" w:eastAsia="Times New Roman" w:hAnsi="Calibri" w:cs="Calibri"/>
                <w:color w:val="000000"/>
                <w:lang w:eastAsia="fr-FR"/>
              </w:rPr>
            </w:pPr>
            <w:r w:rsidRPr="00537797">
              <w:rPr>
                <w:rFonts w:ascii="Calibri" w:eastAsia="Times New Roman" w:hAnsi="Calibri" w:cs="Calibri"/>
                <w:color w:val="000000"/>
                <w:lang w:eastAsia="fr-FR"/>
              </w:rPr>
              <w:t>90%</w:t>
            </w:r>
          </w:p>
        </w:tc>
        <w:tc>
          <w:tcPr>
            <w:tcW w:w="1174"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right"/>
              <w:rPr>
                <w:rFonts w:ascii="Calibri" w:eastAsia="Times New Roman" w:hAnsi="Calibri" w:cs="Calibri"/>
                <w:color w:val="000000"/>
                <w:lang w:eastAsia="fr-FR"/>
              </w:rPr>
            </w:pPr>
            <w:r w:rsidRPr="00537797">
              <w:rPr>
                <w:rFonts w:ascii="Calibri" w:eastAsia="Times New Roman" w:hAnsi="Calibri" w:cs="Calibri"/>
                <w:color w:val="000000"/>
                <w:lang w:eastAsia="fr-FR"/>
              </w:rPr>
              <w:t>90%</w:t>
            </w:r>
          </w:p>
        </w:tc>
        <w:tc>
          <w:tcPr>
            <w:tcW w:w="1134"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right"/>
              <w:rPr>
                <w:rFonts w:ascii="Calibri" w:eastAsia="Times New Roman" w:hAnsi="Calibri" w:cs="Calibri"/>
                <w:color w:val="000000"/>
                <w:lang w:eastAsia="fr-FR"/>
              </w:rPr>
            </w:pPr>
            <w:r w:rsidRPr="00537797">
              <w:rPr>
                <w:rFonts w:ascii="Calibri" w:eastAsia="Times New Roman" w:hAnsi="Calibri" w:cs="Calibri"/>
                <w:color w:val="000000"/>
                <w:lang w:eastAsia="fr-FR"/>
              </w:rPr>
              <w:t>90%</w:t>
            </w:r>
          </w:p>
        </w:tc>
        <w:tc>
          <w:tcPr>
            <w:tcW w:w="1134"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right"/>
              <w:rPr>
                <w:rFonts w:ascii="Calibri" w:eastAsia="Times New Roman" w:hAnsi="Calibri" w:cs="Calibri"/>
                <w:color w:val="000000"/>
                <w:lang w:eastAsia="fr-FR"/>
              </w:rPr>
            </w:pPr>
            <w:r w:rsidRPr="00537797">
              <w:rPr>
                <w:rFonts w:ascii="Calibri" w:eastAsia="Times New Roman" w:hAnsi="Calibri" w:cs="Calibri"/>
                <w:color w:val="000000"/>
                <w:lang w:eastAsia="fr-FR"/>
              </w:rPr>
              <w:t>90%</w:t>
            </w:r>
          </w:p>
        </w:tc>
        <w:tc>
          <w:tcPr>
            <w:tcW w:w="1134"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right"/>
              <w:rPr>
                <w:rFonts w:ascii="Calibri" w:eastAsia="Times New Roman" w:hAnsi="Calibri" w:cs="Calibri"/>
                <w:color w:val="000000"/>
                <w:lang w:eastAsia="fr-FR"/>
              </w:rPr>
            </w:pPr>
            <w:r w:rsidRPr="00537797">
              <w:rPr>
                <w:rFonts w:ascii="Calibri" w:eastAsia="Times New Roman" w:hAnsi="Calibri" w:cs="Calibri"/>
                <w:color w:val="000000"/>
                <w:lang w:eastAsia="fr-FR"/>
              </w:rPr>
              <w:t>90%</w:t>
            </w:r>
          </w:p>
        </w:tc>
        <w:tc>
          <w:tcPr>
            <w:tcW w:w="284" w:type="dxa"/>
            <w:tcBorders>
              <w:top w:val="nil"/>
              <w:left w:val="nil"/>
              <w:bottom w:val="nil"/>
              <w:right w:val="nil"/>
            </w:tcBorders>
          </w:tcPr>
          <w:p w:rsidR="00537797" w:rsidRPr="00537797" w:rsidRDefault="00537797" w:rsidP="00537797">
            <w:pPr>
              <w:spacing w:after="0" w:line="240" w:lineRule="auto"/>
              <w:jc w:val="right"/>
              <w:rPr>
                <w:rFonts w:ascii="Calibri" w:eastAsia="Times New Roman" w:hAnsi="Calibri" w:cs="Calibri"/>
                <w:color w:val="000000"/>
                <w:lang w:eastAsia="fr-FR"/>
              </w:rPr>
            </w:pPr>
          </w:p>
        </w:tc>
        <w:tc>
          <w:tcPr>
            <w:tcW w:w="1275" w:type="dxa"/>
            <w:tcBorders>
              <w:top w:val="single" w:sz="4" w:space="0" w:color="auto"/>
              <w:left w:val="nil"/>
              <w:bottom w:val="nil"/>
              <w:right w:val="nil"/>
            </w:tcBorders>
          </w:tcPr>
          <w:p w:rsidR="00537797" w:rsidRPr="00537797" w:rsidRDefault="00537797" w:rsidP="00537797">
            <w:pPr>
              <w:spacing w:after="0" w:line="240" w:lineRule="auto"/>
              <w:jc w:val="right"/>
              <w:rPr>
                <w:rFonts w:ascii="Calibri" w:eastAsia="Times New Roman" w:hAnsi="Calibri" w:cs="Calibri"/>
                <w:color w:val="000000"/>
                <w:lang w:eastAsia="fr-FR"/>
              </w:rPr>
            </w:pPr>
          </w:p>
        </w:tc>
      </w:tr>
      <w:tr w:rsidR="00537797" w:rsidRPr="00537797" w:rsidTr="00DE3A42">
        <w:trPr>
          <w:trHeight w:val="300"/>
        </w:trPr>
        <w:tc>
          <w:tcPr>
            <w:tcW w:w="4160"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right"/>
              <w:rPr>
                <w:rFonts w:ascii="Calibri" w:eastAsia="Times New Roman" w:hAnsi="Calibri" w:cs="Calibri"/>
                <w:color w:val="000000"/>
                <w:lang w:eastAsia="fr-FR"/>
              </w:rPr>
            </w:pPr>
          </w:p>
        </w:tc>
        <w:tc>
          <w:tcPr>
            <w:tcW w:w="880"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center"/>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000"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174"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134"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134"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134" w:type="dxa"/>
            <w:tcBorders>
              <w:top w:val="nil"/>
              <w:left w:val="nil"/>
              <w:bottom w:val="nil"/>
              <w:right w:val="nil"/>
            </w:tcBorders>
            <w:shd w:val="clear" w:color="auto" w:fill="auto"/>
            <w:noWrap/>
            <w:vAlign w:val="bottom"/>
            <w:hideMark/>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284" w:type="dxa"/>
            <w:tcBorders>
              <w:top w:val="nil"/>
              <w:left w:val="nil"/>
              <w:bottom w:val="nil"/>
              <w:right w:val="nil"/>
            </w:tcBorders>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c>
          <w:tcPr>
            <w:tcW w:w="1275" w:type="dxa"/>
            <w:tcBorders>
              <w:top w:val="nil"/>
              <w:left w:val="nil"/>
              <w:bottom w:val="nil"/>
              <w:right w:val="nil"/>
            </w:tcBorders>
          </w:tcPr>
          <w:p w:rsidR="00537797" w:rsidRPr="00537797" w:rsidRDefault="00537797" w:rsidP="00537797">
            <w:pPr>
              <w:spacing w:after="0" w:line="240" w:lineRule="auto"/>
              <w:jc w:val="left"/>
              <w:rPr>
                <w:rFonts w:ascii="Times New Roman" w:eastAsia="Times New Roman" w:hAnsi="Times New Roman" w:cs="Times New Roman"/>
                <w:sz w:val="20"/>
                <w:szCs w:val="20"/>
                <w:lang w:eastAsia="fr-FR"/>
              </w:rPr>
            </w:pPr>
          </w:p>
        </w:tc>
      </w:tr>
      <w:tr w:rsidR="00537797" w:rsidRPr="00DE3A42" w:rsidTr="00DE3A42">
        <w:trPr>
          <w:trHeight w:val="340"/>
        </w:trPr>
        <w:tc>
          <w:tcPr>
            <w:tcW w:w="416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b/>
                <w:bCs/>
                <w:color w:val="000000"/>
                <w:lang w:eastAsia="fr-FR"/>
              </w:rPr>
            </w:pPr>
            <w:r w:rsidRPr="00537797">
              <w:rPr>
                <w:rFonts w:eastAsia="Times New Roman" w:cstheme="minorHAnsi"/>
                <w:b/>
                <w:bCs/>
                <w:color w:val="000000"/>
                <w:lang w:eastAsia="fr-FR"/>
              </w:rPr>
              <w:t>Recette annuelle de Vente d'eau</w:t>
            </w:r>
          </w:p>
        </w:tc>
        <w:tc>
          <w:tcPr>
            <w:tcW w:w="88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center"/>
              <w:rPr>
                <w:rFonts w:eastAsia="Times New Roman" w:cstheme="minorHAnsi"/>
                <w:b/>
                <w:bCs/>
                <w:color w:val="000000"/>
                <w:lang w:eastAsia="fr-FR"/>
              </w:rPr>
            </w:pPr>
            <w:r w:rsidRPr="00537797">
              <w:rPr>
                <w:rFonts w:eastAsia="Times New Roman" w:cstheme="minorHAnsi"/>
                <w:b/>
                <w:bCs/>
                <w:color w:val="000000"/>
                <w:lang w:eastAsia="fr-FR"/>
              </w:rPr>
              <w:t>USD</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b/>
                <w:bCs/>
                <w:color w:val="000000"/>
                <w:lang w:eastAsia="fr-FR"/>
              </w:rPr>
            </w:pPr>
            <w:r w:rsidRPr="00537797">
              <w:rPr>
                <w:rFonts w:eastAsia="Times New Roman" w:cstheme="minorHAnsi"/>
                <w:b/>
                <w:bCs/>
                <w:color w:val="000000"/>
                <w:lang w:eastAsia="fr-FR"/>
              </w:rPr>
              <w:t>238 437</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b/>
                <w:bCs/>
                <w:color w:val="000000"/>
                <w:lang w:eastAsia="fr-FR"/>
              </w:rPr>
            </w:pPr>
            <w:r w:rsidRPr="00537797">
              <w:rPr>
                <w:rFonts w:eastAsia="Times New Roman" w:cstheme="minorHAnsi"/>
                <w:b/>
                <w:bCs/>
                <w:color w:val="000000"/>
                <w:lang w:eastAsia="fr-FR"/>
              </w:rPr>
              <w:t>491 168</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b/>
                <w:bCs/>
                <w:color w:val="000000"/>
                <w:lang w:eastAsia="fr-FR"/>
              </w:rPr>
            </w:pPr>
            <w:r w:rsidRPr="00537797">
              <w:rPr>
                <w:rFonts w:eastAsia="Times New Roman" w:cstheme="minorHAnsi"/>
                <w:b/>
                <w:bCs/>
                <w:color w:val="000000"/>
                <w:lang w:eastAsia="fr-FR"/>
              </w:rPr>
              <w:t>762 217</w:t>
            </w:r>
          </w:p>
        </w:tc>
        <w:tc>
          <w:tcPr>
            <w:tcW w:w="117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b/>
                <w:bCs/>
                <w:color w:val="000000"/>
                <w:lang w:eastAsia="fr-FR"/>
              </w:rPr>
            </w:pPr>
            <w:r w:rsidRPr="00537797">
              <w:rPr>
                <w:rFonts w:eastAsia="Times New Roman" w:cstheme="minorHAnsi"/>
                <w:b/>
                <w:bCs/>
                <w:color w:val="000000"/>
                <w:lang w:eastAsia="fr-FR"/>
              </w:rPr>
              <w:t>1 313 440</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b/>
                <w:bCs/>
                <w:color w:val="000000"/>
                <w:lang w:eastAsia="fr-FR"/>
              </w:rPr>
            </w:pPr>
            <w:r w:rsidRPr="00537797">
              <w:rPr>
                <w:rFonts w:eastAsia="Times New Roman" w:cstheme="minorHAnsi"/>
                <w:b/>
                <w:bCs/>
                <w:color w:val="000000"/>
                <w:lang w:eastAsia="fr-FR"/>
              </w:rPr>
              <w:t>1 772 787</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b/>
                <w:bCs/>
                <w:color w:val="000000"/>
                <w:lang w:eastAsia="fr-FR"/>
              </w:rPr>
            </w:pPr>
            <w:r w:rsidRPr="00537797">
              <w:rPr>
                <w:rFonts w:eastAsia="Times New Roman" w:cstheme="minorHAnsi"/>
                <w:b/>
                <w:bCs/>
                <w:color w:val="000000"/>
                <w:lang w:eastAsia="fr-FR"/>
              </w:rPr>
              <w:t>2 303 739</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b/>
                <w:bCs/>
                <w:color w:val="000000"/>
                <w:lang w:eastAsia="fr-FR"/>
              </w:rPr>
            </w:pPr>
            <w:r w:rsidRPr="00537797">
              <w:rPr>
                <w:rFonts w:eastAsia="Times New Roman" w:cstheme="minorHAnsi"/>
                <w:b/>
                <w:bCs/>
                <w:color w:val="000000"/>
                <w:lang w:eastAsia="fr-FR"/>
              </w:rPr>
              <w:t>2 996 350</w:t>
            </w:r>
          </w:p>
        </w:tc>
        <w:tc>
          <w:tcPr>
            <w:tcW w:w="284"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b/>
                <w:bCs/>
                <w:color w:val="000000"/>
                <w:lang w:eastAsia="fr-FR"/>
              </w:rPr>
            </w:pPr>
          </w:p>
        </w:tc>
        <w:tc>
          <w:tcPr>
            <w:tcW w:w="1275" w:type="dxa"/>
            <w:tcBorders>
              <w:top w:val="nil"/>
              <w:left w:val="nil"/>
              <w:bottom w:val="nil"/>
              <w:right w:val="nil"/>
            </w:tcBorders>
            <w:vAlign w:val="bottom"/>
          </w:tcPr>
          <w:p w:rsidR="00537797" w:rsidRPr="00DE3A42" w:rsidRDefault="00DE3A42" w:rsidP="00DE3A42">
            <w:pPr>
              <w:spacing w:after="0" w:line="240" w:lineRule="auto"/>
              <w:jc w:val="right"/>
              <w:rPr>
                <w:rFonts w:eastAsia="Times New Roman" w:cstheme="minorHAnsi"/>
                <w:b/>
                <w:bCs/>
                <w:color w:val="000000"/>
                <w:lang w:eastAsia="fr-FR"/>
              </w:rPr>
            </w:pPr>
            <w:r>
              <w:rPr>
                <w:rFonts w:eastAsia="Times New Roman" w:cstheme="minorHAnsi"/>
                <w:b/>
                <w:bCs/>
                <w:color w:val="000000"/>
                <w:lang w:eastAsia="fr-FR"/>
              </w:rPr>
              <w:t>9 878 136</w:t>
            </w:r>
          </w:p>
        </w:tc>
      </w:tr>
      <w:tr w:rsidR="00537797" w:rsidRPr="00DE3A42" w:rsidTr="00DE3A42">
        <w:trPr>
          <w:trHeight w:val="340"/>
        </w:trPr>
        <w:tc>
          <w:tcPr>
            <w:tcW w:w="416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color w:val="000000"/>
                <w:lang w:eastAsia="fr-FR"/>
              </w:rPr>
            </w:pPr>
            <w:r w:rsidRPr="00537797">
              <w:rPr>
                <w:rFonts w:eastAsia="Times New Roman" w:cstheme="minorHAnsi"/>
                <w:color w:val="000000"/>
                <w:lang w:eastAsia="fr-FR"/>
              </w:rPr>
              <w:t>Domestique Branchement particulier</w:t>
            </w:r>
          </w:p>
        </w:tc>
        <w:tc>
          <w:tcPr>
            <w:tcW w:w="88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center"/>
              <w:rPr>
                <w:rFonts w:eastAsia="Times New Roman" w:cstheme="minorHAnsi"/>
                <w:color w:val="000000"/>
                <w:lang w:eastAsia="fr-FR"/>
              </w:rPr>
            </w:pPr>
            <w:r w:rsidRPr="00537797">
              <w:rPr>
                <w:rFonts w:eastAsia="Times New Roman" w:cstheme="minorHAnsi"/>
                <w:color w:val="000000"/>
                <w:lang w:eastAsia="fr-FR"/>
              </w:rPr>
              <w:t>USD</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151 978</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325 667</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488 500</w:t>
            </w:r>
          </w:p>
        </w:tc>
        <w:tc>
          <w:tcPr>
            <w:tcW w:w="117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854 875</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1 099 125</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1 465 500</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1 983 066</w:t>
            </w:r>
          </w:p>
        </w:tc>
        <w:tc>
          <w:tcPr>
            <w:tcW w:w="284"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color w:val="000000"/>
                <w:lang w:eastAsia="fr-FR"/>
              </w:rPr>
            </w:pPr>
          </w:p>
        </w:tc>
        <w:tc>
          <w:tcPr>
            <w:tcW w:w="1275"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color w:val="000000"/>
                <w:lang w:eastAsia="fr-FR"/>
              </w:rPr>
            </w:pPr>
          </w:p>
        </w:tc>
      </w:tr>
      <w:tr w:rsidR="00537797" w:rsidRPr="00DE3A42" w:rsidTr="00DE3A42">
        <w:trPr>
          <w:trHeight w:val="340"/>
        </w:trPr>
        <w:tc>
          <w:tcPr>
            <w:tcW w:w="416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i/>
                <w:iCs/>
                <w:color w:val="000000"/>
                <w:lang w:eastAsia="fr-FR"/>
              </w:rPr>
            </w:pPr>
            <w:r w:rsidRPr="00537797">
              <w:rPr>
                <w:rFonts w:eastAsia="Times New Roman" w:cstheme="minorHAnsi"/>
                <w:i/>
                <w:iCs/>
                <w:color w:val="000000"/>
                <w:lang w:eastAsia="fr-FR"/>
              </w:rPr>
              <w:t>- T1 (de 0 à 8 m3/mois)</w:t>
            </w:r>
          </w:p>
        </w:tc>
        <w:tc>
          <w:tcPr>
            <w:tcW w:w="88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center"/>
              <w:rPr>
                <w:rFonts w:eastAsia="Times New Roman" w:cstheme="minorHAnsi"/>
                <w:color w:val="000000"/>
                <w:lang w:eastAsia="fr-FR"/>
              </w:rPr>
            </w:pPr>
            <w:r w:rsidRPr="00537797">
              <w:rPr>
                <w:rFonts w:eastAsia="Times New Roman" w:cstheme="minorHAnsi"/>
                <w:color w:val="000000"/>
                <w:lang w:eastAsia="fr-FR"/>
              </w:rPr>
              <w:t>USD</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40 320</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86 400</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129 600</w:t>
            </w:r>
          </w:p>
        </w:tc>
        <w:tc>
          <w:tcPr>
            <w:tcW w:w="117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226 800</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291 600</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388 800</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526 111</w:t>
            </w:r>
          </w:p>
        </w:tc>
        <w:tc>
          <w:tcPr>
            <w:tcW w:w="284"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i/>
                <w:iCs/>
                <w:color w:val="000000"/>
                <w:lang w:eastAsia="fr-FR"/>
              </w:rPr>
            </w:pPr>
          </w:p>
        </w:tc>
        <w:tc>
          <w:tcPr>
            <w:tcW w:w="1275"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i/>
                <w:iCs/>
                <w:color w:val="000000"/>
                <w:lang w:eastAsia="fr-FR"/>
              </w:rPr>
            </w:pPr>
          </w:p>
        </w:tc>
      </w:tr>
      <w:tr w:rsidR="00537797" w:rsidRPr="00DE3A42" w:rsidTr="00DE3A42">
        <w:trPr>
          <w:trHeight w:val="340"/>
        </w:trPr>
        <w:tc>
          <w:tcPr>
            <w:tcW w:w="416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i/>
                <w:iCs/>
                <w:color w:val="000000"/>
                <w:lang w:eastAsia="fr-FR"/>
              </w:rPr>
            </w:pPr>
            <w:r w:rsidRPr="00537797">
              <w:rPr>
                <w:rFonts w:eastAsia="Times New Roman" w:cstheme="minorHAnsi"/>
                <w:i/>
                <w:iCs/>
                <w:color w:val="000000"/>
                <w:lang w:eastAsia="fr-FR"/>
              </w:rPr>
              <w:t>- T2 (de 8 à 30 m3/mois)</w:t>
            </w:r>
          </w:p>
        </w:tc>
        <w:tc>
          <w:tcPr>
            <w:tcW w:w="88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center"/>
              <w:rPr>
                <w:rFonts w:eastAsia="Times New Roman" w:cstheme="minorHAnsi"/>
                <w:color w:val="000000"/>
                <w:lang w:eastAsia="fr-FR"/>
              </w:rPr>
            </w:pPr>
            <w:r w:rsidRPr="00537797">
              <w:rPr>
                <w:rFonts w:eastAsia="Times New Roman" w:cstheme="minorHAnsi"/>
                <w:color w:val="000000"/>
                <w:lang w:eastAsia="fr-FR"/>
              </w:rPr>
              <w:t>USD</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88 560</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189 771</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284 657</w:t>
            </w:r>
          </w:p>
        </w:tc>
        <w:tc>
          <w:tcPr>
            <w:tcW w:w="117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498 149</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640 478</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853 970</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1 155 564</w:t>
            </w:r>
          </w:p>
        </w:tc>
        <w:tc>
          <w:tcPr>
            <w:tcW w:w="284"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i/>
                <w:iCs/>
                <w:color w:val="000000"/>
                <w:lang w:eastAsia="fr-FR"/>
              </w:rPr>
            </w:pPr>
          </w:p>
        </w:tc>
        <w:tc>
          <w:tcPr>
            <w:tcW w:w="1275"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i/>
                <w:iCs/>
                <w:color w:val="000000"/>
                <w:lang w:eastAsia="fr-FR"/>
              </w:rPr>
            </w:pPr>
          </w:p>
        </w:tc>
      </w:tr>
      <w:tr w:rsidR="00537797" w:rsidRPr="00DE3A42" w:rsidTr="00DE3A42">
        <w:trPr>
          <w:trHeight w:val="340"/>
        </w:trPr>
        <w:tc>
          <w:tcPr>
            <w:tcW w:w="416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i/>
                <w:iCs/>
                <w:color w:val="000000"/>
                <w:lang w:eastAsia="fr-FR"/>
              </w:rPr>
            </w:pPr>
            <w:r w:rsidRPr="00537797">
              <w:rPr>
                <w:rFonts w:eastAsia="Times New Roman" w:cstheme="minorHAnsi"/>
                <w:i/>
                <w:iCs/>
                <w:color w:val="000000"/>
                <w:lang w:eastAsia="fr-FR"/>
              </w:rPr>
              <w:t>- T3 (&gt; 30 m3/mois)</w:t>
            </w:r>
          </w:p>
        </w:tc>
        <w:tc>
          <w:tcPr>
            <w:tcW w:w="88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center"/>
              <w:rPr>
                <w:rFonts w:eastAsia="Times New Roman" w:cstheme="minorHAnsi"/>
                <w:color w:val="000000"/>
                <w:lang w:eastAsia="fr-FR"/>
              </w:rPr>
            </w:pPr>
            <w:r w:rsidRPr="00537797">
              <w:rPr>
                <w:rFonts w:eastAsia="Times New Roman" w:cstheme="minorHAnsi"/>
                <w:color w:val="000000"/>
                <w:lang w:eastAsia="fr-FR"/>
              </w:rPr>
              <w:t>USD</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23 098</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49 496</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74 243</w:t>
            </w:r>
          </w:p>
        </w:tc>
        <w:tc>
          <w:tcPr>
            <w:tcW w:w="117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129 926</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167 047</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222 730</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301 391</w:t>
            </w:r>
          </w:p>
        </w:tc>
        <w:tc>
          <w:tcPr>
            <w:tcW w:w="284"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i/>
                <w:iCs/>
                <w:color w:val="000000"/>
                <w:lang w:eastAsia="fr-FR"/>
              </w:rPr>
            </w:pPr>
          </w:p>
        </w:tc>
        <w:tc>
          <w:tcPr>
            <w:tcW w:w="1275"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i/>
                <w:iCs/>
                <w:color w:val="000000"/>
                <w:lang w:eastAsia="fr-FR"/>
              </w:rPr>
            </w:pPr>
          </w:p>
        </w:tc>
      </w:tr>
      <w:tr w:rsidR="00537797" w:rsidRPr="00DE3A42" w:rsidTr="00DE3A42">
        <w:trPr>
          <w:trHeight w:val="340"/>
        </w:trPr>
        <w:tc>
          <w:tcPr>
            <w:tcW w:w="416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color w:val="000000"/>
                <w:lang w:eastAsia="fr-FR"/>
              </w:rPr>
            </w:pPr>
            <w:r w:rsidRPr="00537797">
              <w:rPr>
                <w:rFonts w:eastAsia="Times New Roman" w:cstheme="minorHAnsi"/>
                <w:color w:val="000000"/>
                <w:lang w:eastAsia="fr-FR"/>
              </w:rPr>
              <w:t>Domestique Condominial</w:t>
            </w:r>
          </w:p>
        </w:tc>
        <w:tc>
          <w:tcPr>
            <w:tcW w:w="88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center"/>
              <w:rPr>
                <w:rFonts w:eastAsia="Times New Roman" w:cstheme="minorHAnsi"/>
                <w:color w:val="000000"/>
                <w:lang w:eastAsia="fr-FR"/>
              </w:rPr>
            </w:pPr>
            <w:r w:rsidRPr="00537797">
              <w:rPr>
                <w:rFonts w:eastAsia="Times New Roman" w:cstheme="minorHAnsi"/>
                <w:color w:val="000000"/>
                <w:lang w:eastAsia="fr-FR"/>
              </w:rPr>
              <w:t>USD</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0</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0</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33 261</w:t>
            </w:r>
          </w:p>
        </w:tc>
        <w:tc>
          <w:tcPr>
            <w:tcW w:w="117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83 152</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171 847</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199 564</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227 281</w:t>
            </w:r>
          </w:p>
        </w:tc>
        <w:tc>
          <w:tcPr>
            <w:tcW w:w="284"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color w:val="000000"/>
                <w:lang w:eastAsia="fr-FR"/>
              </w:rPr>
            </w:pPr>
          </w:p>
        </w:tc>
        <w:tc>
          <w:tcPr>
            <w:tcW w:w="1275"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color w:val="000000"/>
                <w:lang w:eastAsia="fr-FR"/>
              </w:rPr>
            </w:pPr>
          </w:p>
        </w:tc>
      </w:tr>
      <w:tr w:rsidR="00537797" w:rsidRPr="00DE3A42" w:rsidTr="00DE3A42">
        <w:trPr>
          <w:trHeight w:val="340"/>
        </w:trPr>
        <w:tc>
          <w:tcPr>
            <w:tcW w:w="416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color w:val="000000"/>
                <w:lang w:eastAsia="fr-FR"/>
              </w:rPr>
            </w:pPr>
            <w:r w:rsidRPr="00537797">
              <w:rPr>
                <w:rFonts w:eastAsia="Times New Roman" w:cstheme="minorHAnsi"/>
                <w:color w:val="000000"/>
                <w:lang w:eastAsia="fr-FR"/>
              </w:rPr>
              <w:t>Domestique Kiosque</w:t>
            </w:r>
          </w:p>
        </w:tc>
        <w:tc>
          <w:tcPr>
            <w:tcW w:w="88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center"/>
              <w:rPr>
                <w:rFonts w:eastAsia="Times New Roman" w:cstheme="minorHAnsi"/>
                <w:color w:val="000000"/>
                <w:lang w:eastAsia="fr-FR"/>
              </w:rPr>
            </w:pPr>
            <w:r w:rsidRPr="00537797">
              <w:rPr>
                <w:rFonts w:eastAsia="Times New Roman" w:cstheme="minorHAnsi"/>
                <w:color w:val="000000"/>
                <w:lang w:eastAsia="fr-FR"/>
              </w:rPr>
              <w:t>USD</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33 918</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58 145</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72 681</w:t>
            </w:r>
          </w:p>
        </w:tc>
        <w:tc>
          <w:tcPr>
            <w:tcW w:w="117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87 217</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109 021</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130 825</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130 825</w:t>
            </w:r>
          </w:p>
        </w:tc>
        <w:tc>
          <w:tcPr>
            <w:tcW w:w="284"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color w:val="000000"/>
                <w:lang w:eastAsia="fr-FR"/>
              </w:rPr>
            </w:pPr>
          </w:p>
        </w:tc>
        <w:tc>
          <w:tcPr>
            <w:tcW w:w="1275"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color w:val="000000"/>
                <w:lang w:eastAsia="fr-FR"/>
              </w:rPr>
            </w:pPr>
          </w:p>
        </w:tc>
      </w:tr>
      <w:tr w:rsidR="00537797" w:rsidRPr="00DE3A42" w:rsidTr="00DE3A42">
        <w:trPr>
          <w:trHeight w:val="340"/>
        </w:trPr>
        <w:tc>
          <w:tcPr>
            <w:tcW w:w="416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color w:val="000000"/>
                <w:lang w:eastAsia="fr-FR"/>
              </w:rPr>
            </w:pPr>
            <w:r w:rsidRPr="00537797">
              <w:rPr>
                <w:rFonts w:eastAsia="Times New Roman" w:cstheme="minorHAnsi"/>
                <w:color w:val="000000"/>
                <w:lang w:eastAsia="fr-FR"/>
              </w:rPr>
              <w:t>Non domestique</w:t>
            </w:r>
          </w:p>
        </w:tc>
        <w:tc>
          <w:tcPr>
            <w:tcW w:w="88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center"/>
              <w:rPr>
                <w:rFonts w:eastAsia="Times New Roman" w:cstheme="minorHAnsi"/>
                <w:color w:val="000000"/>
                <w:lang w:eastAsia="fr-FR"/>
              </w:rPr>
            </w:pPr>
            <w:r w:rsidRPr="00537797">
              <w:rPr>
                <w:rFonts w:eastAsia="Times New Roman" w:cstheme="minorHAnsi"/>
                <w:color w:val="000000"/>
                <w:lang w:eastAsia="fr-FR"/>
              </w:rPr>
              <w:t>USD</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52 542</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107 356</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167 775</w:t>
            </w:r>
          </w:p>
        </w:tc>
        <w:tc>
          <w:tcPr>
            <w:tcW w:w="117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288 197</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392 795</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507 850</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655 178</w:t>
            </w:r>
          </w:p>
        </w:tc>
        <w:tc>
          <w:tcPr>
            <w:tcW w:w="284"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color w:val="000000"/>
                <w:lang w:eastAsia="fr-FR"/>
              </w:rPr>
            </w:pPr>
          </w:p>
        </w:tc>
        <w:tc>
          <w:tcPr>
            <w:tcW w:w="1275"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color w:val="000000"/>
                <w:lang w:eastAsia="fr-FR"/>
              </w:rPr>
            </w:pPr>
          </w:p>
        </w:tc>
      </w:tr>
      <w:tr w:rsidR="00537797" w:rsidRPr="00DE3A42" w:rsidTr="00DE3A42">
        <w:trPr>
          <w:trHeight w:val="340"/>
        </w:trPr>
        <w:tc>
          <w:tcPr>
            <w:tcW w:w="416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p>
        </w:tc>
        <w:tc>
          <w:tcPr>
            <w:tcW w:w="88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lang w:eastAsia="fr-FR"/>
              </w:rPr>
            </w:pP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lang w:eastAsia="fr-FR"/>
              </w:rPr>
            </w:pP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lang w:eastAsia="fr-FR"/>
              </w:rPr>
            </w:pP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lang w:eastAsia="fr-FR"/>
              </w:rPr>
            </w:pPr>
          </w:p>
        </w:tc>
        <w:tc>
          <w:tcPr>
            <w:tcW w:w="117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lang w:eastAsia="fr-FR"/>
              </w:rPr>
            </w:pP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lang w:eastAsia="fr-FR"/>
              </w:rPr>
            </w:pP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lang w:eastAsia="fr-FR"/>
              </w:rPr>
            </w:pP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lang w:eastAsia="fr-FR"/>
              </w:rPr>
            </w:pPr>
          </w:p>
        </w:tc>
        <w:tc>
          <w:tcPr>
            <w:tcW w:w="284" w:type="dxa"/>
            <w:tcBorders>
              <w:top w:val="nil"/>
              <w:left w:val="nil"/>
              <w:bottom w:val="nil"/>
              <w:right w:val="nil"/>
            </w:tcBorders>
            <w:vAlign w:val="bottom"/>
          </w:tcPr>
          <w:p w:rsidR="00537797" w:rsidRPr="00DE3A42" w:rsidRDefault="00537797" w:rsidP="00DE3A42">
            <w:pPr>
              <w:spacing w:after="0" w:line="240" w:lineRule="auto"/>
              <w:jc w:val="left"/>
              <w:rPr>
                <w:rFonts w:eastAsia="Times New Roman" w:cstheme="minorHAnsi"/>
                <w:lang w:eastAsia="fr-FR"/>
              </w:rPr>
            </w:pPr>
          </w:p>
        </w:tc>
        <w:tc>
          <w:tcPr>
            <w:tcW w:w="1275" w:type="dxa"/>
            <w:tcBorders>
              <w:top w:val="nil"/>
              <w:left w:val="nil"/>
              <w:bottom w:val="nil"/>
              <w:right w:val="nil"/>
            </w:tcBorders>
            <w:vAlign w:val="bottom"/>
          </w:tcPr>
          <w:p w:rsidR="00537797" w:rsidRPr="00DE3A42" w:rsidRDefault="00537797" w:rsidP="00DE3A42">
            <w:pPr>
              <w:spacing w:after="0" w:line="240" w:lineRule="auto"/>
              <w:jc w:val="left"/>
              <w:rPr>
                <w:rFonts w:eastAsia="Times New Roman" w:cstheme="minorHAnsi"/>
                <w:lang w:eastAsia="fr-FR"/>
              </w:rPr>
            </w:pPr>
          </w:p>
        </w:tc>
      </w:tr>
      <w:tr w:rsidR="00537797" w:rsidRPr="00DE3A42" w:rsidTr="00DE3A42">
        <w:trPr>
          <w:trHeight w:val="340"/>
        </w:trPr>
        <w:tc>
          <w:tcPr>
            <w:tcW w:w="416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b/>
                <w:bCs/>
                <w:color w:val="000000"/>
                <w:lang w:eastAsia="fr-FR"/>
              </w:rPr>
            </w:pPr>
            <w:r w:rsidRPr="00537797">
              <w:rPr>
                <w:rFonts w:eastAsia="Times New Roman" w:cstheme="minorHAnsi"/>
                <w:b/>
                <w:bCs/>
                <w:color w:val="000000"/>
                <w:lang w:eastAsia="fr-FR"/>
              </w:rPr>
              <w:t>Résultat d'exploitation annuel</w:t>
            </w:r>
          </w:p>
        </w:tc>
        <w:tc>
          <w:tcPr>
            <w:tcW w:w="88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center"/>
              <w:rPr>
                <w:rFonts w:eastAsia="Times New Roman" w:cstheme="minorHAnsi"/>
                <w:b/>
                <w:bCs/>
                <w:color w:val="000000"/>
                <w:lang w:eastAsia="fr-FR"/>
              </w:rPr>
            </w:pPr>
            <w:r w:rsidRPr="00537797">
              <w:rPr>
                <w:rFonts w:eastAsia="Times New Roman" w:cstheme="minorHAnsi"/>
                <w:b/>
                <w:bCs/>
                <w:color w:val="000000"/>
                <w:lang w:eastAsia="fr-FR"/>
              </w:rPr>
              <w:t>USD</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b/>
                <w:bCs/>
                <w:color w:val="000000"/>
                <w:lang w:eastAsia="fr-FR"/>
              </w:rPr>
            </w:pPr>
            <w:r w:rsidRPr="00537797">
              <w:rPr>
                <w:rFonts w:eastAsia="Times New Roman" w:cstheme="minorHAnsi"/>
                <w:b/>
                <w:bCs/>
                <w:color w:val="000000"/>
                <w:lang w:eastAsia="fr-FR"/>
              </w:rPr>
              <w:t>-110 727</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b/>
                <w:bCs/>
                <w:color w:val="000000"/>
                <w:lang w:eastAsia="fr-FR"/>
              </w:rPr>
            </w:pPr>
            <w:r w:rsidRPr="00537797">
              <w:rPr>
                <w:rFonts w:eastAsia="Times New Roman" w:cstheme="minorHAnsi"/>
                <w:b/>
                <w:bCs/>
                <w:color w:val="000000"/>
                <w:lang w:eastAsia="fr-FR"/>
              </w:rPr>
              <w:t>-85 341</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b/>
                <w:bCs/>
                <w:color w:val="000000"/>
                <w:lang w:eastAsia="fr-FR"/>
              </w:rPr>
            </w:pPr>
            <w:r w:rsidRPr="00537797">
              <w:rPr>
                <w:rFonts w:eastAsia="Times New Roman" w:cstheme="minorHAnsi"/>
                <w:b/>
                <w:bCs/>
                <w:color w:val="000000"/>
                <w:lang w:eastAsia="fr-FR"/>
              </w:rPr>
              <w:t>-3 783</w:t>
            </w:r>
          </w:p>
        </w:tc>
        <w:tc>
          <w:tcPr>
            <w:tcW w:w="117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b/>
                <w:bCs/>
                <w:color w:val="000000"/>
                <w:lang w:eastAsia="fr-FR"/>
              </w:rPr>
            </w:pPr>
            <w:r w:rsidRPr="00537797">
              <w:rPr>
                <w:rFonts w:eastAsia="Times New Roman" w:cstheme="minorHAnsi"/>
                <w:b/>
                <w:bCs/>
                <w:color w:val="000000"/>
                <w:lang w:eastAsia="fr-FR"/>
              </w:rPr>
              <w:t>137 481</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b/>
                <w:bCs/>
                <w:color w:val="000000"/>
                <w:lang w:eastAsia="fr-FR"/>
              </w:rPr>
            </w:pPr>
            <w:r w:rsidRPr="00537797">
              <w:rPr>
                <w:rFonts w:eastAsia="Times New Roman" w:cstheme="minorHAnsi"/>
                <w:b/>
                <w:bCs/>
                <w:color w:val="000000"/>
                <w:lang w:eastAsia="fr-FR"/>
              </w:rPr>
              <w:t>317 467</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b/>
                <w:bCs/>
                <w:color w:val="000000"/>
                <w:lang w:eastAsia="fr-FR"/>
              </w:rPr>
            </w:pPr>
            <w:r w:rsidRPr="00537797">
              <w:rPr>
                <w:rFonts w:eastAsia="Times New Roman" w:cstheme="minorHAnsi"/>
                <w:b/>
                <w:bCs/>
                <w:color w:val="000000"/>
                <w:lang w:eastAsia="fr-FR"/>
              </w:rPr>
              <w:t>528 044</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b/>
                <w:bCs/>
                <w:color w:val="000000"/>
                <w:lang w:eastAsia="fr-FR"/>
              </w:rPr>
            </w:pPr>
            <w:r w:rsidRPr="00537797">
              <w:rPr>
                <w:rFonts w:eastAsia="Times New Roman" w:cstheme="minorHAnsi"/>
                <w:b/>
                <w:bCs/>
                <w:color w:val="000000"/>
                <w:lang w:eastAsia="fr-FR"/>
              </w:rPr>
              <w:t>877 828</w:t>
            </w:r>
          </w:p>
        </w:tc>
        <w:tc>
          <w:tcPr>
            <w:tcW w:w="284"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b/>
                <w:bCs/>
                <w:color w:val="000000"/>
                <w:lang w:eastAsia="fr-FR"/>
              </w:rPr>
            </w:pPr>
          </w:p>
        </w:tc>
        <w:tc>
          <w:tcPr>
            <w:tcW w:w="1275" w:type="dxa"/>
            <w:tcBorders>
              <w:top w:val="nil"/>
              <w:left w:val="nil"/>
              <w:bottom w:val="nil"/>
              <w:right w:val="nil"/>
            </w:tcBorders>
            <w:vAlign w:val="bottom"/>
          </w:tcPr>
          <w:p w:rsidR="00537797" w:rsidRPr="00DE3A42" w:rsidRDefault="00DE3A42" w:rsidP="00DE3A42">
            <w:pPr>
              <w:spacing w:after="0" w:line="240" w:lineRule="auto"/>
              <w:jc w:val="right"/>
              <w:rPr>
                <w:rFonts w:eastAsia="Times New Roman" w:cstheme="minorHAnsi"/>
                <w:b/>
                <w:bCs/>
                <w:color w:val="000000"/>
                <w:lang w:eastAsia="fr-FR"/>
              </w:rPr>
            </w:pPr>
            <w:r>
              <w:rPr>
                <w:rFonts w:eastAsia="Times New Roman" w:cstheme="minorHAnsi"/>
                <w:b/>
                <w:bCs/>
                <w:color w:val="000000"/>
                <w:lang w:eastAsia="fr-FR"/>
              </w:rPr>
              <w:t>1 660 968</w:t>
            </w:r>
          </w:p>
        </w:tc>
      </w:tr>
      <w:tr w:rsidR="00537797" w:rsidRPr="00DE3A42" w:rsidTr="00DE3A42">
        <w:trPr>
          <w:trHeight w:val="340"/>
        </w:trPr>
        <w:tc>
          <w:tcPr>
            <w:tcW w:w="416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color w:val="000000"/>
                <w:lang w:eastAsia="fr-FR"/>
              </w:rPr>
            </w:pPr>
            <w:r w:rsidRPr="00537797">
              <w:rPr>
                <w:rFonts w:eastAsia="Times New Roman" w:cstheme="minorHAnsi"/>
                <w:color w:val="000000"/>
                <w:lang w:eastAsia="fr-FR"/>
              </w:rPr>
              <w:t>BFR (2 mois de dépenses)</w:t>
            </w:r>
          </w:p>
        </w:tc>
        <w:tc>
          <w:tcPr>
            <w:tcW w:w="88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center"/>
              <w:rPr>
                <w:rFonts w:eastAsia="Times New Roman" w:cstheme="minorHAnsi"/>
                <w:color w:val="000000"/>
                <w:lang w:eastAsia="fr-FR"/>
              </w:rPr>
            </w:pPr>
            <w:r w:rsidRPr="00537797">
              <w:rPr>
                <w:rFonts w:eastAsia="Times New Roman" w:cstheme="minorHAnsi"/>
                <w:color w:val="000000"/>
                <w:lang w:eastAsia="fr-FR"/>
              </w:rPr>
              <w:t>USD</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58 194</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96 085</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127 667</w:t>
            </w:r>
          </w:p>
        </w:tc>
        <w:tc>
          <w:tcPr>
            <w:tcW w:w="117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195 993</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242 553</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295 949</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353 087</w:t>
            </w:r>
          </w:p>
        </w:tc>
        <w:tc>
          <w:tcPr>
            <w:tcW w:w="284"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color w:val="000000"/>
                <w:lang w:eastAsia="fr-FR"/>
              </w:rPr>
            </w:pPr>
          </w:p>
        </w:tc>
        <w:tc>
          <w:tcPr>
            <w:tcW w:w="1275"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color w:val="000000"/>
                <w:lang w:eastAsia="fr-FR"/>
              </w:rPr>
            </w:pPr>
          </w:p>
        </w:tc>
      </w:tr>
      <w:tr w:rsidR="00537797" w:rsidRPr="00DE3A42" w:rsidTr="00DE3A42">
        <w:trPr>
          <w:trHeight w:val="340"/>
        </w:trPr>
        <w:tc>
          <w:tcPr>
            <w:tcW w:w="416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color w:val="000000"/>
                <w:lang w:eastAsia="fr-FR"/>
              </w:rPr>
            </w:pPr>
            <w:r w:rsidRPr="00537797">
              <w:rPr>
                <w:rFonts w:eastAsia="Times New Roman" w:cstheme="minorHAnsi"/>
                <w:color w:val="000000"/>
                <w:lang w:eastAsia="fr-FR"/>
              </w:rPr>
              <w:t>Besoin en trésorerie cumulé (en négatif)</w:t>
            </w:r>
          </w:p>
        </w:tc>
        <w:tc>
          <w:tcPr>
            <w:tcW w:w="88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center"/>
              <w:rPr>
                <w:rFonts w:eastAsia="Times New Roman" w:cstheme="minorHAnsi"/>
                <w:color w:val="000000"/>
                <w:lang w:eastAsia="fr-FR"/>
              </w:rPr>
            </w:pPr>
            <w:r w:rsidRPr="00537797">
              <w:rPr>
                <w:rFonts w:eastAsia="Times New Roman" w:cstheme="minorHAnsi"/>
                <w:color w:val="000000"/>
                <w:lang w:eastAsia="fr-FR"/>
              </w:rPr>
              <w:t>USD</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-168 921</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-292 153</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-327 519</w:t>
            </w:r>
          </w:p>
        </w:tc>
        <w:tc>
          <w:tcPr>
            <w:tcW w:w="117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-258 364</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12 543</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487 191</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1 307 881</w:t>
            </w:r>
          </w:p>
        </w:tc>
        <w:tc>
          <w:tcPr>
            <w:tcW w:w="284"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color w:val="000000"/>
                <w:lang w:eastAsia="fr-FR"/>
              </w:rPr>
            </w:pPr>
          </w:p>
        </w:tc>
        <w:tc>
          <w:tcPr>
            <w:tcW w:w="1275"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color w:val="000000"/>
                <w:lang w:eastAsia="fr-FR"/>
              </w:rPr>
            </w:pPr>
          </w:p>
        </w:tc>
      </w:tr>
      <w:tr w:rsidR="00537797" w:rsidRPr="00DE3A42" w:rsidTr="00DE3A42">
        <w:trPr>
          <w:trHeight w:val="340"/>
        </w:trPr>
        <w:tc>
          <w:tcPr>
            <w:tcW w:w="416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color w:val="000000"/>
                <w:lang w:eastAsia="fr-FR"/>
              </w:rPr>
            </w:pPr>
            <w:r w:rsidRPr="00537797">
              <w:rPr>
                <w:rFonts w:eastAsia="Times New Roman" w:cstheme="minorHAnsi"/>
                <w:color w:val="000000"/>
                <w:lang w:eastAsia="fr-FR"/>
              </w:rPr>
              <w:t>Subvention BID (ou apport en capital)</w:t>
            </w:r>
          </w:p>
        </w:tc>
        <w:tc>
          <w:tcPr>
            <w:tcW w:w="88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center"/>
              <w:rPr>
                <w:rFonts w:eastAsia="Times New Roman" w:cstheme="minorHAnsi"/>
                <w:color w:val="000000"/>
                <w:lang w:eastAsia="fr-FR"/>
              </w:rPr>
            </w:pPr>
            <w:r w:rsidRPr="00537797">
              <w:rPr>
                <w:rFonts w:eastAsia="Times New Roman" w:cstheme="minorHAnsi"/>
                <w:color w:val="000000"/>
                <w:lang w:eastAsia="fr-FR"/>
              </w:rPr>
              <w:t>USD</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168 921</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123 232</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35 365</w:t>
            </w:r>
          </w:p>
        </w:tc>
        <w:tc>
          <w:tcPr>
            <w:tcW w:w="117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0</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0</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0</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0</w:t>
            </w:r>
          </w:p>
        </w:tc>
        <w:tc>
          <w:tcPr>
            <w:tcW w:w="284"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color w:val="000000"/>
                <w:lang w:eastAsia="fr-FR"/>
              </w:rPr>
            </w:pPr>
          </w:p>
        </w:tc>
        <w:tc>
          <w:tcPr>
            <w:tcW w:w="1275"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color w:val="000000"/>
                <w:lang w:eastAsia="fr-FR"/>
              </w:rPr>
            </w:pPr>
          </w:p>
        </w:tc>
      </w:tr>
      <w:tr w:rsidR="00537797" w:rsidRPr="00DE3A42" w:rsidTr="00DE3A42">
        <w:trPr>
          <w:trHeight w:val="340"/>
        </w:trPr>
        <w:tc>
          <w:tcPr>
            <w:tcW w:w="416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i/>
                <w:iCs/>
                <w:color w:val="000000"/>
                <w:lang w:eastAsia="fr-FR"/>
              </w:rPr>
            </w:pPr>
            <w:r w:rsidRPr="00537797">
              <w:rPr>
                <w:rFonts w:eastAsia="Times New Roman" w:cstheme="minorHAnsi"/>
                <w:i/>
                <w:iCs/>
                <w:color w:val="000000"/>
                <w:lang w:eastAsia="fr-FR"/>
              </w:rPr>
              <w:t xml:space="preserve">      En % des charges d'exploitation</w:t>
            </w:r>
          </w:p>
        </w:tc>
        <w:tc>
          <w:tcPr>
            <w:tcW w:w="88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lang w:eastAsia="fr-FR"/>
              </w:rPr>
            </w:pP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48%</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21%</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5%</w:t>
            </w:r>
          </w:p>
        </w:tc>
        <w:tc>
          <w:tcPr>
            <w:tcW w:w="117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0%</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0%</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0%</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i/>
                <w:iCs/>
                <w:color w:val="000000"/>
                <w:lang w:eastAsia="fr-FR"/>
              </w:rPr>
            </w:pPr>
            <w:r w:rsidRPr="00537797">
              <w:rPr>
                <w:rFonts w:eastAsia="Times New Roman" w:cstheme="minorHAnsi"/>
                <w:i/>
                <w:iCs/>
                <w:color w:val="000000"/>
                <w:lang w:eastAsia="fr-FR"/>
              </w:rPr>
              <w:t>0%</w:t>
            </w:r>
          </w:p>
        </w:tc>
        <w:tc>
          <w:tcPr>
            <w:tcW w:w="284"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i/>
                <w:iCs/>
                <w:color w:val="000000"/>
                <w:lang w:eastAsia="fr-FR"/>
              </w:rPr>
            </w:pPr>
          </w:p>
        </w:tc>
        <w:tc>
          <w:tcPr>
            <w:tcW w:w="1275"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i/>
                <w:iCs/>
                <w:color w:val="000000"/>
                <w:lang w:eastAsia="fr-FR"/>
              </w:rPr>
            </w:pPr>
          </w:p>
        </w:tc>
      </w:tr>
      <w:tr w:rsidR="00537797" w:rsidRPr="00DE3A42" w:rsidTr="00DE3A42">
        <w:trPr>
          <w:trHeight w:val="340"/>
        </w:trPr>
        <w:tc>
          <w:tcPr>
            <w:tcW w:w="416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left"/>
              <w:rPr>
                <w:rFonts w:eastAsia="Times New Roman" w:cstheme="minorHAnsi"/>
                <w:color w:val="000000"/>
                <w:lang w:eastAsia="fr-FR"/>
              </w:rPr>
            </w:pPr>
            <w:r w:rsidRPr="00537797">
              <w:rPr>
                <w:rFonts w:eastAsia="Times New Roman" w:cstheme="minorHAnsi"/>
                <w:color w:val="000000"/>
                <w:lang w:eastAsia="fr-FR"/>
              </w:rPr>
              <w:t>Cash</w:t>
            </w:r>
            <w:r w:rsidR="00DE3A42">
              <w:rPr>
                <w:rFonts w:eastAsia="Times New Roman" w:cstheme="minorHAnsi"/>
                <w:color w:val="000000"/>
                <w:lang w:eastAsia="fr-FR"/>
              </w:rPr>
              <w:t>-</w:t>
            </w:r>
            <w:r w:rsidRPr="00537797">
              <w:rPr>
                <w:rFonts w:eastAsia="Times New Roman" w:cstheme="minorHAnsi"/>
                <w:color w:val="000000"/>
                <w:lang w:eastAsia="fr-FR"/>
              </w:rPr>
              <w:t>Flow cumulé</w:t>
            </w:r>
          </w:p>
        </w:tc>
        <w:tc>
          <w:tcPr>
            <w:tcW w:w="88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center"/>
              <w:rPr>
                <w:rFonts w:eastAsia="Times New Roman" w:cstheme="minorHAnsi"/>
                <w:color w:val="000000"/>
                <w:lang w:eastAsia="fr-FR"/>
              </w:rPr>
            </w:pPr>
            <w:r w:rsidRPr="00537797">
              <w:rPr>
                <w:rFonts w:eastAsia="Times New Roman" w:cstheme="minorHAnsi"/>
                <w:color w:val="000000"/>
                <w:lang w:eastAsia="fr-FR"/>
              </w:rPr>
              <w:t>USD</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0</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0</w:t>
            </w:r>
          </w:p>
        </w:tc>
        <w:tc>
          <w:tcPr>
            <w:tcW w:w="1000"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0</w:t>
            </w:r>
          </w:p>
        </w:tc>
        <w:tc>
          <w:tcPr>
            <w:tcW w:w="117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69 155</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270 907</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474 648</w:t>
            </w:r>
          </w:p>
        </w:tc>
        <w:tc>
          <w:tcPr>
            <w:tcW w:w="1134" w:type="dxa"/>
            <w:tcBorders>
              <w:top w:val="nil"/>
              <w:left w:val="nil"/>
              <w:bottom w:val="nil"/>
              <w:right w:val="nil"/>
            </w:tcBorders>
            <w:shd w:val="clear" w:color="auto" w:fill="auto"/>
            <w:noWrap/>
            <w:vAlign w:val="bottom"/>
            <w:hideMark/>
          </w:tcPr>
          <w:p w:rsidR="00537797" w:rsidRPr="00537797" w:rsidRDefault="00537797" w:rsidP="00DE3A42">
            <w:pPr>
              <w:spacing w:after="0" w:line="240" w:lineRule="auto"/>
              <w:jc w:val="right"/>
              <w:rPr>
                <w:rFonts w:eastAsia="Times New Roman" w:cstheme="minorHAnsi"/>
                <w:color w:val="000000"/>
                <w:lang w:eastAsia="fr-FR"/>
              </w:rPr>
            </w:pPr>
            <w:r w:rsidRPr="00537797">
              <w:rPr>
                <w:rFonts w:eastAsia="Times New Roman" w:cstheme="minorHAnsi"/>
                <w:color w:val="000000"/>
                <w:lang w:eastAsia="fr-FR"/>
              </w:rPr>
              <w:t>820 690</w:t>
            </w:r>
          </w:p>
        </w:tc>
        <w:tc>
          <w:tcPr>
            <w:tcW w:w="284"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color w:val="000000"/>
                <w:lang w:eastAsia="fr-FR"/>
              </w:rPr>
            </w:pPr>
          </w:p>
        </w:tc>
        <w:tc>
          <w:tcPr>
            <w:tcW w:w="1275" w:type="dxa"/>
            <w:tcBorders>
              <w:top w:val="nil"/>
              <w:left w:val="nil"/>
              <w:bottom w:val="nil"/>
              <w:right w:val="nil"/>
            </w:tcBorders>
            <w:vAlign w:val="bottom"/>
          </w:tcPr>
          <w:p w:rsidR="00537797" w:rsidRPr="00DE3A42" w:rsidRDefault="00537797" w:rsidP="00DE3A42">
            <w:pPr>
              <w:spacing w:after="0" w:line="240" w:lineRule="auto"/>
              <w:jc w:val="right"/>
              <w:rPr>
                <w:rFonts w:eastAsia="Times New Roman" w:cstheme="minorHAnsi"/>
                <w:color w:val="000000"/>
                <w:lang w:eastAsia="fr-FR"/>
              </w:rPr>
            </w:pPr>
          </w:p>
        </w:tc>
      </w:tr>
    </w:tbl>
    <w:p w:rsidR="009B01ED" w:rsidRDefault="009B01ED" w:rsidP="000A0A4D"/>
    <w:p w:rsidR="009B01ED" w:rsidRDefault="009B01ED" w:rsidP="000A0A4D"/>
    <w:p w:rsidR="009739CC" w:rsidRDefault="009739CC" w:rsidP="000A0A4D"/>
    <w:p w:rsidR="009739CC" w:rsidRDefault="009739CC" w:rsidP="000A0A4D">
      <w:pPr>
        <w:sectPr w:rsidR="009739CC" w:rsidSect="009739CC">
          <w:pgSz w:w="16838" w:h="11906" w:orient="landscape"/>
          <w:pgMar w:top="1417" w:right="1417" w:bottom="1417" w:left="1417" w:header="708" w:footer="708" w:gutter="0"/>
          <w:cols w:space="708"/>
          <w:docGrid w:linePitch="360"/>
        </w:sectPr>
      </w:pPr>
    </w:p>
    <w:p w:rsidR="00BA4A9A" w:rsidRPr="00D213E8" w:rsidRDefault="00BA4A9A" w:rsidP="00BA4A9A">
      <w:pPr>
        <w:rPr>
          <w:rFonts w:ascii="Arial" w:hAnsi="Arial" w:cs="Arial"/>
          <w:sz w:val="24"/>
          <w:szCs w:val="24"/>
        </w:rPr>
      </w:pPr>
      <w:r w:rsidRPr="00D213E8">
        <w:rPr>
          <w:rFonts w:ascii="Arial" w:hAnsi="Arial" w:cs="Arial"/>
          <w:sz w:val="24"/>
          <w:szCs w:val="24"/>
        </w:rPr>
        <w:lastRenderedPageBreak/>
        <w:t xml:space="preserve">Le coût du service pour les futurs clients alimentés par branchement particulier apparait d’autant plus accessible que le service apporte une amélioration tout à fait appréciable </w:t>
      </w:r>
      <w:r w:rsidR="00DB7A46" w:rsidRPr="00D213E8">
        <w:rPr>
          <w:rFonts w:ascii="Arial" w:hAnsi="Arial" w:cs="Arial"/>
          <w:sz w:val="24"/>
          <w:szCs w:val="24"/>
        </w:rPr>
        <w:t>en termes de</w:t>
      </w:r>
      <w:r w:rsidRPr="00D213E8">
        <w:rPr>
          <w:rFonts w:ascii="Arial" w:hAnsi="Arial" w:cs="Arial"/>
          <w:sz w:val="24"/>
          <w:szCs w:val="24"/>
        </w:rPr>
        <w:t xml:space="preserve"> confort et de qualité.</w:t>
      </w:r>
    </w:p>
    <w:p w:rsidR="001634B1" w:rsidRPr="00D213E8" w:rsidRDefault="001634B1" w:rsidP="000A0A4D">
      <w:pPr>
        <w:rPr>
          <w:rFonts w:ascii="Arial" w:hAnsi="Arial" w:cs="Arial"/>
          <w:b/>
          <w:sz w:val="24"/>
          <w:szCs w:val="24"/>
        </w:rPr>
      </w:pPr>
      <w:r w:rsidRPr="00D213E8">
        <w:rPr>
          <w:rFonts w:ascii="Arial" w:hAnsi="Arial" w:cs="Arial"/>
          <w:b/>
          <w:sz w:val="24"/>
          <w:szCs w:val="24"/>
        </w:rPr>
        <w:t>Révisions tarifaires</w:t>
      </w:r>
    </w:p>
    <w:p w:rsidR="001634B1" w:rsidRPr="00D213E8" w:rsidRDefault="001634B1" w:rsidP="000A0A4D">
      <w:pPr>
        <w:rPr>
          <w:rFonts w:ascii="Arial" w:hAnsi="Arial" w:cs="Arial"/>
          <w:sz w:val="24"/>
          <w:szCs w:val="24"/>
        </w:rPr>
      </w:pPr>
      <w:r w:rsidRPr="00D213E8">
        <w:rPr>
          <w:rFonts w:ascii="Arial" w:hAnsi="Arial" w:cs="Arial"/>
          <w:sz w:val="24"/>
          <w:szCs w:val="24"/>
        </w:rPr>
        <w:t>En l’absence de données d’exploitation, les propositions de tarifs comportent des hypothèses, qui devront être validées d’après les données réelles de l’exploitation sur les premières années.</w:t>
      </w:r>
    </w:p>
    <w:p w:rsidR="001634B1" w:rsidRPr="00D213E8" w:rsidRDefault="001634B1" w:rsidP="000A0A4D">
      <w:pPr>
        <w:rPr>
          <w:rFonts w:ascii="Arial" w:hAnsi="Arial" w:cs="Arial"/>
          <w:sz w:val="24"/>
          <w:szCs w:val="24"/>
        </w:rPr>
      </w:pPr>
      <w:r w:rsidRPr="00D213E8">
        <w:rPr>
          <w:rFonts w:ascii="Arial" w:hAnsi="Arial" w:cs="Arial"/>
          <w:sz w:val="24"/>
          <w:szCs w:val="24"/>
        </w:rPr>
        <w:t>Nous recommandons donc de prévoir :</w:t>
      </w:r>
    </w:p>
    <w:p w:rsidR="001634B1" w:rsidRPr="00D213E8" w:rsidRDefault="001634B1" w:rsidP="001634B1">
      <w:pPr>
        <w:pStyle w:val="ListParagraph"/>
        <w:numPr>
          <w:ilvl w:val="0"/>
          <w:numId w:val="1"/>
        </w:numPr>
        <w:rPr>
          <w:rFonts w:ascii="Arial" w:hAnsi="Arial" w:cs="Arial"/>
          <w:sz w:val="24"/>
          <w:szCs w:val="24"/>
        </w:rPr>
      </w:pPr>
      <w:r w:rsidRPr="00D213E8">
        <w:rPr>
          <w:rFonts w:ascii="Arial" w:hAnsi="Arial" w:cs="Arial"/>
          <w:sz w:val="24"/>
          <w:szCs w:val="24"/>
        </w:rPr>
        <w:t>Une actualisation des tarifs en 2021, après deux années d’exploitation ; « actualisation </w:t>
      </w:r>
      <w:r w:rsidR="00DB7A46" w:rsidRPr="00D213E8">
        <w:rPr>
          <w:rFonts w:ascii="Arial" w:hAnsi="Arial" w:cs="Arial"/>
          <w:sz w:val="24"/>
          <w:szCs w:val="24"/>
        </w:rPr>
        <w:t>» signifiant</w:t>
      </w:r>
      <w:r w:rsidRPr="00D213E8">
        <w:rPr>
          <w:rFonts w:ascii="Arial" w:hAnsi="Arial" w:cs="Arial"/>
          <w:sz w:val="24"/>
          <w:szCs w:val="24"/>
        </w:rPr>
        <w:t xml:space="preserve"> mise à jour des données, sans remise en cause de la structure tarifaire (trois tranches domestiques, autres tarifs en % de la tranche 2 domestique) ; cette mise à jour pourra impliquer une actualisation des prix facturés aux clients ;</w:t>
      </w:r>
    </w:p>
    <w:p w:rsidR="001634B1" w:rsidRPr="00D213E8" w:rsidRDefault="001634B1" w:rsidP="001634B1">
      <w:pPr>
        <w:pStyle w:val="ListParagraph"/>
        <w:numPr>
          <w:ilvl w:val="0"/>
          <w:numId w:val="1"/>
        </w:numPr>
        <w:rPr>
          <w:rFonts w:ascii="Arial" w:hAnsi="Arial" w:cs="Arial"/>
          <w:sz w:val="24"/>
          <w:szCs w:val="24"/>
        </w:rPr>
      </w:pPr>
      <w:r w:rsidRPr="00D213E8">
        <w:rPr>
          <w:rFonts w:ascii="Arial" w:hAnsi="Arial" w:cs="Arial"/>
          <w:sz w:val="24"/>
          <w:szCs w:val="24"/>
        </w:rPr>
        <w:t xml:space="preserve">La réalisation d’une étude tarifaire </w:t>
      </w:r>
      <w:r w:rsidR="00343014" w:rsidRPr="00D213E8">
        <w:rPr>
          <w:rFonts w:ascii="Arial" w:hAnsi="Arial" w:cs="Arial"/>
          <w:sz w:val="24"/>
          <w:szCs w:val="24"/>
        </w:rPr>
        <w:t>complète à l’issue du programme de travaux, à savoir 2025, pour fixer les règles tarifaires et l’économie de l’exploitation sur la période suivante (par exemple, 2025 – 2035).</w:t>
      </w:r>
    </w:p>
    <w:p w:rsidR="001634B1" w:rsidRDefault="001634B1" w:rsidP="000A0A4D">
      <w:pPr>
        <w:rPr>
          <w:rFonts w:ascii="Arial" w:hAnsi="Arial" w:cs="Arial"/>
          <w:sz w:val="24"/>
          <w:szCs w:val="24"/>
        </w:rPr>
      </w:pPr>
    </w:p>
    <w:p w:rsidR="001A1DC7" w:rsidRDefault="00423748" w:rsidP="00C1160F">
      <w:pPr>
        <w:pStyle w:val="ListParagraph"/>
        <w:numPr>
          <w:ilvl w:val="0"/>
          <w:numId w:val="12"/>
        </w:numPr>
        <w:rPr>
          <w:rFonts w:ascii="Arial" w:hAnsi="Arial" w:cs="Arial"/>
          <w:b/>
          <w:sz w:val="28"/>
          <w:szCs w:val="28"/>
        </w:rPr>
      </w:pPr>
      <w:r w:rsidRPr="00C1160F">
        <w:rPr>
          <w:rFonts w:ascii="Arial" w:hAnsi="Arial" w:cs="Arial"/>
          <w:b/>
          <w:sz w:val="28"/>
          <w:szCs w:val="28"/>
        </w:rPr>
        <w:t>Systèmes</w:t>
      </w:r>
      <w:r w:rsidR="001A1DC7" w:rsidRPr="00C1160F">
        <w:rPr>
          <w:rFonts w:ascii="Arial" w:hAnsi="Arial" w:cs="Arial"/>
          <w:b/>
          <w:sz w:val="28"/>
          <w:szCs w:val="28"/>
        </w:rPr>
        <w:t xml:space="preserve"> ruraux</w:t>
      </w:r>
    </w:p>
    <w:p w:rsidR="003058C1" w:rsidRDefault="003058C1" w:rsidP="003058C1">
      <w:pPr>
        <w:pStyle w:val="ListParagraph"/>
        <w:ind w:left="1080"/>
        <w:rPr>
          <w:rFonts w:ascii="Arial" w:hAnsi="Arial" w:cs="Arial"/>
          <w:b/>
          <w:sz w:val="28"/>
          <w:szCs w:val="28"/>
        </w:rPr>
      </w:pPr>
    </w:p>
    <w:p w:rsidR="003058C1" w:rsidRPr="004B7471" w:rsidRDefault="003955A0" w:rsidP="003058C1">
      <w:pPr>
        <w:ind w:left="720"/>
        <w:rPr>
          <w:rFonts w:ascii="Arial" w:hAnsi="Arial" w:cs="Arial"/>
          <w:sz w:val="24"/>
          <w:szCs w:val="24"/>
        </w:rPr>
      </w:pPr>
      <w:r w:rsidRPr="004B7471">
        <w:rPr>
          <w:rFonts w:ascii="Arial" w:hAnsi="Arial" w:cs="Arial"/>
          <w:sz w:val="24"/>
          <w:szCs w:val="24"/>
        </w:rPr>
        <w:t>Le projet renforcera l</w:t>
      </w:r>
      <w:r w:rsidR="004B7471">
        <w:rPr>
          <w:rFonts w:ascii="Arial" w:hAnsi="Arial" w:cs="Arial"/>
          <w:sz w:val="24"/>
          <w:szCs w:val="24"/>
        </w:rPr>
        <w:t>a gestion de</w:t>
      </w:r>
      <w:r w:rsidRPr="004B7471">
        <w:rPr>
          <w:rFonts w:ascii="Arial" w:hAnsi="Arial" w:cs="Arial"/>
          <w:sz w:val="24"/>
          <w:szCs w:val="24"/>
        </w:rPr>
        <w:t>s C</w:t>
      </w:r>
      <w:r w:rsidR="004B7471" w:rsidRPr="004B7471">
        <w:rPr>
          <w:rFonts w:ascii="Arial" w:hAnsi="Arial" w:cs="Arial"/>
          <w:sz w:val="24"/>
          <w:szCs w:val="24"/>
        </w:rPr>
        <w:t xml:space="preserve">omites d’Eau Potable et </w:t>
      </w:r>
      <w:r w:rsidR="004B7471">
        <w:rPr>
          <w:rFonts w:ascii="Arial" w:hAnsi="Arial" w:cs="Arial"/>
          <w:sz w:val="24"/>
          <w:szCs w:val="24"/>
        </w:rPr>
        <w:t xml:space="preserve">d’Assainissement (CAEPAs) avec l’objectif de renforcer la gestion des </w:t>
      </w:r>
      <w:r w:rsidR="00E66394">
        <w:rPr>
          <w:rFonts w:ascii="Arial" w:hAnsi="Arial" w:cs="Arial"/>
          <w:sz w:val="24"/>
          <w:szCs w:val="24"/>
        </w:rPr>
        <w:t>systèmes</w:t>
      </w:r>
      <w:r w:rsidR="004B7471">
        <w:rPr>
          <w:rFonts w:ascii="Arial" w:hAnsi="Arial" w:cs="Arial"/>
          <w:sz w:val="24"/>
          <w:szCs w:val="24"/>
        </w:rPr>
        <w:t xml:space="preserve"> ruraux.</w:t>
      </w:r>
    </w:p>
    <w:p w:rsidR="003058C1" w:rsidRPr="00BF2BE5" w:rsidRDefault="003058C1" w:rsidP="003058C1">
      <w:pPr>
        <w:pStyle w:val="ListParagraph"/>
        <w:numPr>
          <w:ilvl w:val="0"/>
          <w:numId w:val="15"/>
        </w:numPr>
        <w:spacing w:after="160"/>
        <w:rPr>
          <w:rFonts w:ascii="Arial" w:hAnsi="Arial" w:cs="Arial"/>
          <w:sz w:val="24"/>
          <w:szCs w:val="24"/>
        </w:rPr>
      </w:pPr>
      <w:r w:rsidRPr="00BF2BE5">
        <w:rPr>
          <w:rFonts w:ascii="Arial" w:hAnsi="Arial" w:cs="Arial"/>
          <w:sz w:val="24"/>
          <w:szCs w:val="24"/>
        </w:rPr>
        <w:t>Re</w:t>
      </w:r>
      <w:r w:rsidR="00BF2BE5" w:rsidRPr="00BF2BE5">
        <w:rPr>
          <w:rFonts w:ascii="Arial" w:hAnsi="Arial" w:cs="Arial"/>
          <w:sz w:val="24"/>
          <w:szCs w:val="24"/>
        </w:rPr>
        <w:t>nforcement des</w:t>
      </w:r>
      <w:r w:rsidRPr="00BF2BE5">
        <w:rPr>
          <w:rFonts w:ascii="Arial" w:hAnsi="Arial" w:cs="Arial"/>
          <w:sz w:val="24"/>
          <w:szCs w:val="24"/>
        </w:rPr>
        <w:t xml:space="preserve"> CAEPA</w:t>
      </w:r>
      <w:r w:rsidR="00BF2BE5" w:rsidRPr="00BF2BE5">
        <w:rPr>
          <w:rFonts w:ascii="Arial" w:hAnsi="Arial" w:cs="Arial"/>
          <w:sz w:val="24"/>
          <w:szCs w:val="24"/>
        </w:rPr>
        <w:t xml:space="preserve">s et </w:t>
      </w:r>
      <w:r w:rsidR="00E66394" w:rsidRPr="00BF2BE5">
        <w:rPr>
          <w:rFonts w:ascii="Arial" w:hAnsi="Arial" w:cs="Arial"/>
          <w:sz w:val="24"/>
          <w:szCs w:val="24"/>
        </w:rPr>
        <w:t>développement</w:t>
      </w:r>
      <w:r w:rsidR="00BF2BE5" w:rsidRPr="00BF2BE5">
        <w:rPr>
          <w:rFonts w:ascii="Arial" w:hAnsi="Arial" w:cs="Arial"/>
          <w:sz w:val="24"/>
          <w:szCs w:val="24"/>
        </w:rPr>
        <w:t xml:space="preserve"> de </w:t>
      </w:r>
      <w:r w:rsidR="00E66394" w:rsidRPr="00BF2BE5">
        <w:rPr>
          <w:rFonts w:ascii="Arial" w:hAnsi="Arial" w:cs="Arial"/>
          <w:sz w:val="24"/>
          <w:szCs w:val="24"/>
        </w:rPr>
        <w:t>schémas</w:t>
      </w:r>
      <w:r w:rsidR="00BF2BE5" w:rsidRPr="00BF2BE5">
        <w:rPr>
          <w:rFonts w:ascii="Arial" w:hAnsi="Arial" w:cs="Arial"/>
          <w:sz w:val="24"/>
          <w:szCs w:val="24"/>
        </w:rPr>
        <w:t xml:space="preserve"> communautaires dans lesquels les </w:t>
      </w:r>
      <w:r w:rsidR="00BF2BE5">
        <w:rPr>
          <w:rFonts w:ascii="Arial" w:hAnsi="Arial" w:cs="Arial"/>
          <w:sz w:val="24"/>
          <w:szCs w:val="24"/>
        </w:rPr>
        <w:t xml:space="preserve">ressources sont </w:t>
      </w:r>
      <w:r w:rsidR="00E66394">
        <w:rPr>
          <w:rFonts w:ascii="Arial" w:hAnsi="Arial" w:cs="Arial"/>
          <w:sz w:val="24"/>
          <w:szCs w:val="24"/>
        </w:rPr>
        <w:t>recouvrées</w:t>
      </w:r>
      <w:r w:rsidR="00467EC8">
        <w:rPr>
          <w:rFonts w:ascii="Arial" w:hAnsi="Arial" w:cs="Arial"/>
          <w:sz w:val="24"/>
          <w:szCs w:val="24"/>
        </w:rPr>
        <w:t xml:space="preserve"> </w:t>
      </w:r>
      <w:r w:rsidR="00BF2BE5">
        <w:rPr>
          <w:rFonts w:ascii="Arial" w:hAnsi="Arial" w:cs="Arial"/>
          <w:sz w:val="24"/>
          <w:szCs w:val="24"/>
        </w:rPr>
        <w:t xml:space="preserve">afin de couvrir les couts d’exploitation des </w:t>
      </w:r>
      <w:r w:rsidR="00E66394">
        <w:rPr>
          <w:rFonts w:ascii="Arial" w:hAnsi="Arial" w:cs="Arial"/>
          <w:sz w:val="24"/>
          <w:szCs w:val="24"/>
        </w:rPr>
        <w:t>systèmes</w:t>
      </w:r>
      <w:r w:rsidRPr="00BF2BE5">
        <w:rPr>
          <w:rFonts w:ascii="Arial" w:hAnsi="Arial" w:cs="Arial"/>
          <w:sz w:val="24"/>
          <w:szCs w:val="24"/>
        </w:rPr>
        <w:t xml:space="preserve">. </w:t>
      </w:r>
    </w:p>
    <w:p w:rsidR="003058C1" w:rsidRPr="00467EC8" w:rsidRDefault="00A529F2" w:rsidP="003058C1">
      <w:pPr>
        <w:pStyle w:val="ListParagraph"/>
        <w:numPr>
          <w:ilvl w:val="1"/>
          <w:numId w:val="15"/>
        </w:numPr>
        <w:spacing w:after="160"/>
        <w:rPr>
          <w:rFonts w:ascii="Arial" w:hAnsi="Arial" w:cs="Arial"/>
          <w:sz w:val="24"/>
          <w:szCs w:val="24"/>
        </w:rPr>
      </w:pPr>
      <w:r w:rsidRPr="00467EC8">
        <w:rPr>
          <w:rFonts w:ascii="Arial" w:hAnsi="Arial" w:cs="Arial"/>
          <w:sz w:val="24"/>
          <w:szCs w:val="24"/>
        </w:rPr>
        <w:t xml:space="preserve">Solutions de bas couts </w:t>
      </w:r>
      <w:r w:rsidR="00E51B9B">
        <w:rPr>
          <w:rFonts w:ascii="Arial" w:hAnsi="Arial" w:cs="Arial"/>
          <w:sz w:val="24"/>
          <w:szCs w:val="24"/>
        </w:rPr>
        <w:t xml:space="preserve">d’investissement </w:t>
      </w:r>
      <w:r w:rsidRPr="00467EC8">
        <w:rPr>
          <w:rFonts w:ascii="Arial" w:hAnsi="Arial" w:cs="Arial"/>
          <w:sz w:val="24"/>
          <w:szCs w:val="24"/>
        </w:rPr>
        <w:t>et d’exploitation</w:t>
      </w:r>
      <w:r w:rsidR="003058C1" w:rsidRPr="00C13112">
        <w:rPr>
          <w:rStyle w:val="FootnoteReference"/>
          <w:rFonts w:ascii="Arial" w:hAnsi="Arial" w:cs="Arial"/>
          <w:sz w:val="24"/>
          <w:szCs w:val="24"/>
          <w:lang w:val="es-ES_tradnl"/>
        </w:rPr>
        <w:footnoteReference w:id="10"/>
      </w:r>
      <w:r w:rsidR="003058C1" w:rsidRPr="00467EC8">
        <w:rPr>
          <w:rFonts w:ascii="Arial" w:hAnsi="Arial" w:cs="Arial"/>
          <w:sz w:val="24"/>
          <w:szCs w:val="24"/>
        </w:rPr>
        <w:t xml:space="preserve"> </w:t>
      </w:r>
    </w:p>
    <w:p w:rsidR="003058C1" w:rsidRPr="00BD6B1E" w:rsidRDefault="00467EC8" w:rsidP="003058C1">
      <w:pPr>
        <w:pStyle w:val="ListParagraph"/>
        <w:numPr>
          <w:ilvl w:val="1"/>
          <w:numId w:val="15"/>
        </w:numPr>
        <w:spacing w:after="160"/>
        <w:rPr>
          <w:rFonts w:ascii="Arial" w:hAnsi="Arial" w:cs="Arial"/>
          <w:sz w:val="24"/>
          <w:szCs w:val="24"/>
        </w:rPr>
      </w:pPr>
      <w:r w:rsidRPr="00BD6B1E">
        <w:rPr>
          <w:rFonts w:ascii="Arial" w:hAnsi="Arial" w:cs="Arial"/>
          <w:sz w:val="24"/>
          <w:szCs w:val="24"/>
        </w:rPr>
        <w:t>Cependant, le recouvrement</w:t>
      </w:r>
      <w:r w:rsidR="00BD6B1E" w:rsidRPr="00BD6B1E">
        <w:rPr>
          <w:rFonts w:ascii="Arial" w:hAnsi="Arial" w:cs="Arial"/>
          <w:sz w:val="24"/>
          <w:szCs w:val="24"/>
        </w:rPr>
        <w:t xml:space="preserve"> de fonds de la </w:t>
      </w:r>
      <w:r w:rsidR="00E66394" w:rsidRPr="00BD6B1E">
        <w:rPr>
          <w:rFonts w:ascii="Arial" w:hAnsi="Arial" w:cs="Arial"/>
          <w:sz w:val="24"/>
          <w:szCs w:val="24"/>
        </w:rPr>
        <w:t>communauté</w:t>
      </w:r>
      <w:r w:rsidR="00BD6B1E" w:rsidRPr="00BD6B1E">
        <w:rPr>
          <w:rFonts w:ascii="Arial" w:hAnsi="Arial" w:cs="Arial"/>
          <w:sz w:val="24"/>
          <w:szCs w:val="24"/>
        </w:rPr>
        <w:t xml:space="preserve"> par le CAEPA et en </w:t>
      </w:r>
      <w:r w:rsidR="00E66394" w:rsidRPr="00BD6B1E">
        <w:rPr>
          <w:rFonts w:ascii="Arial" w:hAnsi="Arial" w:cs="Arial"/>
          <w:sz w:val="24"/>
          <w:szCs w:val="24"/>
        </w:rPr>
        <w:t>général</w:t>
      </w:r>
      <w:r w:rsidR="00BD6B1E" w:rsidRPr="00BD6B1E">
        <w:rPr>
          <w:rFonts w:ascii="Arial" w:hAnsi="Arial" w:cs="Arial"/>
          <w:sz w:val="24"/>
          <w:szCs w:val="24"/>
        </w:rPr>
        <w:t xml:space="preserve"> l’implantation d’un </w:t>
      </w:r>
      <w:r w:rsidR="00E66394" w:rsidRPr="00BD6B1E">
        <w:rPr>
          <w:rFonts w:ascii="Arial" w:hAnsi="Arial" w:cs="Arial"/>
          <w:sz w:val="24"/>
          <w:szCs w:val="24"/>
        </w:rPr>
        <w:t>système</w:t>
      </w:r>
      <w:r w:rsidR="00BD6B1E" w:rsidRPr="00BD6B1E">
        <w:rPr>
          <w:rFonts w:ascii="Arial" w:hAnsi="Arial" w:cs="Arial"/>
          <w:sz w:val="24"/>
          <w:szCs w:val="24"/>
        </w:rPr>
        <w:t xml:space="preserve"> tarifaire rentable est un vrai </w:t>
      </w:r>
      <w:r w:rsidR="00E66394" w:rsidRPr="00BD6B1E">
        <w:rPr>
          <w:rFonts w:ascii="Arial" w:hAnsi="Arial" w:cs="Arial"/>
          <w:sz w:val="24"/>
          <w:szCs w:val="24"/>
        </w:rPr>
        <w:t>défi</w:t>
      </w:r>
      <w:r w:rsidR="00BD6B1E" w:rsidRPr="00BD6B1E">
        <w:rPr>
          <w:rFonts w:ascii="Arial" w:hAnsi="Arial" w:cs="Arial"/>
          <w:sz w:val="24"/>
          <w:szCs w:val="24"/>
        </w:rPr>
        <w:t xml:space="preserve"> et son </w:t>
      </w:r>
      <w:r w:rsidR="00E66394" w:rsidRPr="00BD6B1E">
        <w:rPr>
          <w:rFonts w:ascii="Arial" w:hAnsi="Arial" w:cs="Arial"/>
          <w:sz w:val="24"/>
          <w:szCs w:val="24"/>
        </w:rPr>
        <w:t>implantation</w:t>
      </w:r>
      <w:r w:rsidR="00BD6B1E" w:rsidRPr="00BD6B1E">
        <w:rPr>
          <w:rFonts w:ascii="Arial" w:hAnsi="Arial" w:cs="Arial"/>
          <w:sz w:val="24"/>
          <w:szCs w:val="24"/>
        </w:rPr>
        <w:t xml:space="preserve"> est lente. De fait, les </w:t>
      </w:r>
      <w:r w:rsidR="00E66394" w:rsidRPr="00BD6B1E">
        <w:rPr>
          <w:rFonts w:ascii="Arial" w:hAnsi="Arial" w:cs="Arial"/>
          <w:sz w:val="24"/>
          <w:szCs w:val="24"/>
        </w:rPr>
        <w:t>systèmes</w:t>
      </w:r>
      <w:r w:rsidR="00BD6B1E" w:rsidRPr="00BD6B1E">
        <w:rPr>
          <w:rFonts w:ascii="Arial" w:hAnsi="Arial" w:cs="Arial"/>
          <w:sz w:val="24"/>
          <w:szCs w:val="24"/>
        </w:rPr>
        <w:t xml:space="preserve"> ne sont pas autonomes et il est </w:t>
      </w:r>
      <w:r w:rsidR="00E66394" w:rsidRPr="00BD6B1E">
        <w:rPr>
          <w:rFonts w:ascii="Arial" w:hAnsi="Arial" w:cs="Arial"/>
          <w:sz w:val="24"/>
          <w:szCs w:val="24"/>
        </w:rPr>
        <w:t>nécessaire</w:t>
      </w:r>
      <w:r w:rsidR="00BD6B1E" w:rsidRPr="00BD6B1E">
        <w:rPr>
          <w:rFonts w:ascii="Arial" w:hAnsi="Arial" w:cs="Arial"/>
          <w:sz w:val="24"/>
          <w:szCs w:val="24"/>
        </w:rPr>
        <w:t xml:space="preserve"> de mettre en place un </w:t>
      </w:r>
      <w:r w:rsidR="00E66394" w:rsidRPr="00BD6B1E">
        <w:rPr>
          <w:rFonts w:ascii="Arial" w:hAnsi="Arial" w:cs="Arial"/>
          <w:sz w:val="24"/>
          <w:szCs w:val="24"/>
        </w:rPr>
        <w:t>mécanisme</w:t>
      </w:r>
      <w:r w:rsidR="00BD6B1E" w:rsidRPr="00BD6B1E">
        <w:rPr>
          <w:rFonts w:ascii="Arial" w:hAnsi="Arial" w:cs="Arial"/>
          <w:sz w:val="24"/>
          <w:szCs w:val="24"/>
        </w:rPr>
        <w:t xml:space="preserve"> </w:t>
      </w:r>
      <w:r w:rsidR="00E66394" w:rsidRPr="00BD6B1E">
        <w:rPr>
          <w:rFonts w:ascii="Arial" w:hAnsi="Arial" w:cs="Arial"/>
          <w:sz w:val="24"/>
          <w:szCs w:val="24"/>
        </w:rPr>
        <w:t>complémentaire</w:t>
      </w:r>
      <w:r w:rsidR="00BD6B1E" w:rsidRPr="00BD6B1E">
        <w:rPr>
          <w:rFonts w:ascii="Arial" w:hAnsi="Arial" w:cs="Arial"/>
          <w:sz w:val="24"/>
          <w:szCs w:val="24"/>
        </w:rPr>
        <w:t xml:space="preserve"> d’appui </w:t>
      </w:r>
      <w:r w:rsidR="00E66394" w:rsidRPr="00BD6B1E">
        <w:rPr>
          <w:rFonts w:ascii="Arial" w:hAnsi="Arial" w:cs="Arial"/>
          <w:sz w:val="24"/>
          <w:szCs w:val="24"/>
        </w:rPr>
        <w:t>à</w:t>
      </w:r>
      <w:r w:rsidR="00BD6B1E" w:rsidRPr="00BD6B1E">
        <w:rPr>
          <w:rFonts w:ascii="Arial" w:hAnsi="Arial" w:cs="Arial"/>
          <w:sz w:val="24"/>
          <w:szCs w:val="24"/>
        </w:rPr>
        <w:t xml:space="preserve"> l’OREPA</w:t>
      </w:r>
      <w:r w:rsidR="00BD6B1E">
        <w:rPr>
          <w:rFonts w:ascii="Arial" w:hAnsi="Arial" w:cs="Arial"/>
          <w:sz w:val="24"/>
          <w:szCs w:val="24"/>
        </w:rPr>
        <w:t xml:space="preserve"> de la </w:t>
      </w:r>
      <w:r w:rsidR="003058C1" w:rsidRPr="00BD6B1E">
        <w:rPr>
          <w:rFonts w:ascii="Arial" w:hAnsi="Arial" w:cs="Arial"/>
          <w:sz w:val="24"/>
          <w:szCs w:val="24"/>
        </w:rPr>
        <w:t>part de l</w:t>
      </w:r>
      <w:r w:rsidR="00BD6B1E">
        <w:rPr>
          <w:rFonts w:ascii="Arial" w:hAnsi="Arial" w:cs="Arial"/>
          <w:sz w:val="24"/>
          <w:szCs w:val="24"/>
        </w:rPr>
        <w:t>’OREPA</w:t>
      </w:r>
      <w:r w:rsidR="003058C1" w:rsidRPr="00BD6B1E">
        <w:rPr>
          <w:rFonts w:ascii="Arial" w:hAnsi="Arial" w:cs="Arial"/>
          <w:sz w:val="24"/>
          <w:szCs w:val="24"/>
        </w:rPr>
        <w:t>.</w:t>
      </w:r>
    </w:p>
    <w:p w:rsidR="003058C1" w:rsidRPr="00396037" w:rsidRDefault="00396037" w:rsidP="003058C1">
      <w:pPr>
        <w:pStyle w:val="ListParagraph"/>
        <w:numPr>
          <w:ilvl w:val="1"/>
          <w:numId w:val="15"/>
        </w:numPr>
        <w:spacing w:after="160"/>
        <w:rPr>
          <w:rFonts w:ascii="Arial" w:hAnsi="Arial" w:cs="Arial"/>
          <w:sz w:val="24"/>
          <w:szCs w:val="24"/>
        </w:rPr>
      </w:pPr>
      <w:r w:rsidRPr="00396037">
        <w:rPr>
          <w:rFonts w:ascii="Arial" w:hAnsi="Arial" w:cs="Arial"/>
          <w:sz w:val="24"/>
          <w:szCs w:val="24"/>
        </w:rPr>
        <w:t>La participation des femmes dans les CAE</w:t>
      </w:r>
      <w:r w:rsidR="00E66394">
        <w:rPr>
          <w:rFonts w:ascii="Arial" w:hAnsi="Arial" w:cs="Arial"/>
          <w:sz w:val="24"/>
          <w:szCs w:val="24"/>
        </w:rPr>
        <w:t>P</w:t>
      </w:r>
      <w:r w:rsidRPr="00396037">
        <w:rPr>
          <w:rFonts w:ascii="Arial" w:hAnsi="Arial" w:cs="Arial"/>
          <w:sz w:val="24"/>
          <w:szCs w:val="24"/>
        </w:rPr>
        <w:t xml:space="preserve">As </w:t>
      </w:r>
      <w:r w:rsidR="00E66394" w:rsidRPr="00396037">
        <w:rPr>
          <w:rFonts w:ascii="Arial" w:hAnsi="Arial" w:cs="Arial"/>
          <w:sz w:val="24"/>
          <w:szCs w:val="24"/>
        </w:rPr>
        <w:t>sera</w:t>
      </w:r>
      <w:r w:rsidRPr="00396037">
        <w:rPr>
          <w:rFonts w:ascii="Arial" w:hAnsi="Arial" w:cs="Arial"/>
          <w:sz w:val="24"/>
          <w:szCs w:val="24"/>
        </w:rPr>
        <w:t xml:space="preserve"> </w:t>
      </w:r>
      <w:r w:rsidR="00E66394" w:rsidRPr="00396037">
        <w:rPr>
          <w:rFonts w:ascii="Arial" w:hAnsi="Arial" w:cs="Arial"/>
          <w:sz w:val="24"/>
          <w:szCs w:val="24"/>
        </w:rPr>
        <w:t>encouragée</w:t>
      </w:r>
      <w:r w:rsidRPr="00396037">
        <w:rPr>
          <w:rFonts w:ascii="Arial" w:hAnsi="Arial" w:cs="Arial"/>
          <w:sz w:val="24"/>
          <w:szCs w:val="24"/>
        </w:rPr>
        <w:t>.</w:t>
      </w:r>
    </w:p>
    <w:p w:rsidR="0053644B" w:rsidRPr="00A44885" w:rsidRDefault="004A32DC" w:rsidP="00352F66">
      <w:pPr>
        <w:tabs>
          <w:tab w:val="left" w:pos="5580"/>
        </w:tabs>
        <w:spacing w:after="160"/>
        <w:ind w:left="720"/>
        <w:rPr>
          <w:rFonts w:ascii="Arial" w:hAnsi="Arial" w:cs="Arial"/>
          <w:sz w:val="24"/>
          <w:szCs w:val="24"/>
        </w:rPr>
      </w:pPr>
      <w:r w:rsidRPr="00A44885">
        <w:rPr>
          <w:rFonts w:ascii="Arial" w:hAnsi="Arial" w:cs="Arial"/>
          <w:sz w:val="24"/>
          <w:szCs w:val="24"/>
        </w:rPr>
        <w:t xml:space="preserve">En consolidant le </w:t>
      </w:r>
      <w:r w:rsidR="00E66394" w:rsidRPr="00A44885">
        <w:rPr>
          <w:rFonts w:ascii="Arial" w:hAnsi="Arial" w:cs="Arial"/>
          <w:sz w:val="24"/>
          <w:szCs w:val="24"/>
        </w:rPr>
        <w:t>rôle</w:t>
      </w:r>
      <w:r w:rsidRPr="00A44885">
        <w:rPr>
          <w:rFonts w:ascii="Arial" w:hAnsi="Arial" w:cs="Arial"/>
          <w:sz w:val="24"/>
          <w:szCs w:val="24"/>
        </w:rPr>
        <w:t xml:space="preserve"> des </w:t>
      </w:r>
      <w:r w:rsidR="002A42BA" w:rsidRPr="00A44885">
        <w:rPr>
          <w:rFonts w:ascii="Arial" w:hAnsi="Arial"/>
          <w:sz w:val="24"/>
          <w:szCs w:val="24"/>
        </w:rPr>
        <w:t xml:space="preserve">Techniciens </w:t>
      </w:r>
      <w:r w:rsidR="0053644B" w:rsidRPr="00A44885">
        <w:rPr>
          <w:rFonts w:ascii="Arial" w:hAnsi="Arial" w:cs="Arial"/>
          <w:sz w:val="24"/>
          <w:szCs w:val="24"/>
        </w:rPr>
        <w:t>d’eau potable et d’assainissement communaux (T</w:t>
      </w:r>
      <w:r w:rsidR="002A42BA" w:rsidRPr="00A44885">
        <w:rPr>
          <w:rFonts w:ascii="Arial" w:hAnsi="Arial"/>
          <w:sz w:val="24"/>
          <w:szCs w:val="24"/>
        </w:rPr>
        <w:t>EPACs</w:t>
      </w:r>
      <w:r w:rsidR="0053644B" w:rsidRPr="00A44885">
        <w:rPr>
          <w:rFonts w:ascii="Arial" w:hAnsi="Arial" w:cs="Arial"/>
          <w:sz w:val="24"/>
          <w:szCs w:val="24"/>
        </w:rPr>
        <w:t xml:space="preserve">) </w:t>
      </w:r>
      <w:r w:rsidR="00A44885" w:rsidRPr="00A44885">
        <w:rPr>
          <w:rFonts w:ascii="Arial" w:hAnsi="Arial" w:cs="Arial"/>
          <w:sz w:val="24"/>
          <w:szCs w:val="24"/>
        </w:rPr>
        <w:t>comme élément clé d’appui aux CAEPAs, le cout de la structure sera peu élevé (350 USD/TEPAC/mes) si les systèmes sont fonctionnels dans le temps. Les TEPACs</w:t>
      </w:r>
      <w:r w:rsidR="002A42BA" w:rsidRPr="00A44885">
        <w:rPr>
          <w:rFonts w:ascii="Arial" w:hAnsi="Arial"/>
          <w:sz w:val="24"/>
          <w:szCs w:val="24"/>
        </w:rPr>
        <w:t xml:space="preserve"> </w:t>
      </w:r>
      <w:r w:rsidR="0053644B" w:rsidRPr="00A44885">
        <w:rPr>
          <w:rFonts w:ascii="Arial" w:hAnsi="Arial" w:cs="Arial"/>
          <w:sz w:val="24"/>
          <w:szCs w:val="24"/>
        </w:rPr>
        <w:t>sont des agents de la D</w:t>
      </w:r>
      <w:r w:rsidR="00C4716F">
        <w:rPr>
          <w:rFonts w:ascii="Arial" w:hAnsi="Arial" w:cs="Arial"/>
          <w:sz w:val="24"/>
          <w:szCs w:val="24"/>
        </w:rPr>
        <w:t>INEPA</w:t>
      </w:r>
      <w:r w:rsidR="0053644B" w:rsidRPr="00A44885">
        <w:rPr>
          <w:rFonts w:ascii="Arial" w:hAnsi="Arial" w:cs="Arial"/>
          <w:sz w:val="24"/>
          <w:szCs w:val="24"/>
        </w:rPr>
        <w:t xml:space="preserve"> installés dans les mairies. Ils assurent un accompagnement de</w:t>
      </w:r>
      <w:r w:rsidR="002A42BA" w:rsidRPr="00A44885">
        <w:rPr>
          <w:rFonts w:ascii="Arial" w:hAnsi="Arial"/>
          <w:sz w:val="24"/>
          <w:szCs w:val="24"/>
        </w:rPr>
        <w:t xml:space="preserve">s </w:t>
      </w:r>
      <w:r w:rsidR="00ED2E98" w:rsidRPr="00A44885">
        <w:rPr>
          <w:rFonts w:ascii="Arial" w:hAnsi="Arial"/>
          <w:sz w:val="24"/>
          <w:szCs w:val="24"/>
        </w:rPr>
        <w:t>systèmes</w:t>
      </w:r>
      <w:r w:rsidR="002A42BA" w:rsidRPr="00A44885">
        <w:rPr>
          <w:rFonts w:ascii="Arial" w:hAnsi="Arial"/>
          <w:sz w:val="24"/>
          <w:szCs w:val="24"/>
        </w:rPr>
        <w:t xml:space="preserve"> d’eau potable et d’assainissement</w:t>
      </w:r>
      <w:r w:rsidR="0053644B" w:rsidRPr="00A44885">
        <w:rPr>
          <w:rFonts w:ascii="Arial" w:hAnsi="Arial" w:cs="Arial"/>
          <w:sz w:val="24"/>
          <w:szCs w:val="24"/>
        </w:rPr>
        <w:t xml:space="preserve">. </w:t>
      </w:r>
    </w:p>
    <w:p w:rsidR="003058C1" w:rsidRPr="00A44885" w:rsidRDefault="00951E0A" w:rsidP="00A44885">
      <w:pPr>
        <w:spacing w:after="160"/>
        <w:rPr>
          <w:rFonts w:ascii="Arial" w:hAnsi="Arial" w:cs="Arial"/>
          <w:sz w:val="24"/>
          <w:szCs w:val="24"/>
        </w:rPr>
      </w:pPr>
      <w:r w:rsidRPr="00A44885">
        <w:rPr>
          <w:rFonts w:ascii="Arial" w:hAnsi="Arial" w:cs="Arial"/>
          <w:sz w:val="24"/>
          <w:szCs w:val="24"/>
        </w:rPr>
        <w:lastRenderedPageBreak/>
        <w:t xml:space="preserve">En </w:t>
      </w:r>
      <w:r w:rsidR="00E66394" w:rsidRPr="00A44885">
        <w:rPr>
          <w:rFonts w:ascii="Arial" w:hAnsi="Arial" w:cs="Arial"/>
          <w:sz w:val="24"/>
          <w:szCs w:val="24"/>
        </w:rPr>
        <w:t>renforçant</w:t>
      </w:r>
      <w:r w:rsidRPr="00A44885">
        <w:rPr>
          <w:rFonts w:ascii="Arial" w:hAnsi="Arial" w:cs="Arial"/>
          <w:sz w:val="24"/>
          <w:szCs w:val="24"/>
        </w:rPr>
        <w:t xml:space="preserve"> le </w:t>
      </w:r>
      <w:r w:rsidR="00E66394" w:rsidRPr="00A44885">
        <w:rPr>
          <w:rFonts w:ascii="Arial" w:hAnsi="Arial" w:cs="Arial"/>
          <w:sz w:val="24"/>
          <w:szCs w:val="24"/>
        </w:rPr>
        <w:t>rôle</w:t>
      </w:r>
      <w:r w:rsidRPr="00A44885">
        <w:rPr>
          <w:rFonts w:ascii="Arial" w:hAnsi="Arial" w:cs="Arial"/>
          <w:sz w:val="24"/>
          <w:szCs w:val="24"/>
        </w:rPr>
        <w:t xml:space="preserve"> des </w:t>
      </w:r>
      <w:r w:rsidR="003058C1" w:rsidRPr="00A44885">
        <w:rPr>
          <w:rFonts w:ascii="Arial" w:hAnsi="Arial" w:cs="Arial"/>
          <w:sz w:val="24"/>
          <w:szCs w:val="24"/>
        </w:rPr>
        <w:t>URD</w:t>
      </w:r>
      <w:r w:rsidRPr="00A44885">
        <w:rPr>
          <w:rFonts w:ascii="Arial" w:hAnsi="Arial" w:cs="Arial"/>
          <w:sz w:val="24"/>
          <w:szCs w:val="24"/>
        </w:rPr>
        <w:t>s en tant que r</w:t>
      </w:r>
      <w:r w:rsidR="003058C1" w:rsidRPr="00A44885">
        <w:rPr>
          <w:rFonts w:ascii="Arial" w:hAnsi="Arial" w:cs="Arial"/>
          <w:sz w:val="24"/>
          <w:szCs w:val="24"/>
        </w:rPr>
        <w:t>esponsables d</w:t>
      </w:r>
      <w:r w:rsidRPr="00A44885">
        <w:rPr>
          <w:rFonts w:ascii="Arial" w:hAnsi="Arial" w:cs="Arial"/>
          <w:sz w:val="24"/>
          <w:szCs w:val="24"/>
        </w:rPr>
        <w:t xml:space="preserve">e la conception et de l’implantation tant du système comme de sa mise en place avec les </w:t>
      </w:r>
      <w:r w:rsidR="003058C1" w:rsidRPr="00A44885">
        <w:rPr>
          <w:rFonts w:ascii="Arial" w:hAnsi="Arial" w:cs="Arial"/>
          <w:sz w:val="24"/>
          <w:szCs w:val="24"/>
        </w:rPr>
        <w:t>TEPAC</w:t>
      </w:r>
      <w:r w:rsidRPr="00A44885">
        <w:rPr>
          <w:rFonts w:ascii="Arial" w:hAnsi="Arial" w:cs="Arial"/>
          <w:sz w:val="24"/>
          <w:szCs w:val="24"/>
        </w:rPr>
        <w:t>s</w:t>
      </w:r>
      <w:r w:rsidR="003058C1" w:rsidRPr="00A44885">
        <w:rPr>
          <w:rFonts w:ascii="Arial" w:hAnsi="Arial" w:cs="Arial"/>
          <w:sz w:val="24"/>
          <w:szCs w:val="24"/>
        </w:rPr>
        <w:t>. P</w:t>
      </w:r>
      <w:r w:rsidR="00EC28D7" w:rsidRPr="00A44885">
        <w:rPr>
          <w:rFonts w:ascii="Arial" w:hAnsi="Arial" w:cs="Arial"/>
          <w:sz w:val="24"/>
          <w:szCs w:val="24"/>
        </w:rPr>
        <w:t xml:space="preserve">our cela, un outil a </w:t>
      </w:r>
      <w:r w:rsidR="00E66394" w:rsidRPr="00A44885">
        <w:rPr>
          <w:rFonts w:ascii="Arial" w:hAnsi="Arial" w:cs="Arial"/>
          <w:sz w:val="24"/>
          <w:szCs w:val="24"/>
        </w:rPr>
        <w:t>été</w:t>
      </w:r>
      <w:r w:rsidR="00EC28D7" w:rsidRPr="00A44885">
        <w:rPr>
          <w:rFonts w:ascii="Arial" w:hAnsi="Arial" w:cs="Arial"/>
          <w:sz w:val="24"/>
          <w:szCs w:val="24"/>
        </w:rPr>
        <w:t xml:space="preserve"> </w:t>
      </w:r>
      <w:r w:rsidR="00E66394" w:rsidRPr="00A44885">
        <w:rPr>
          <w:rFonts w:ascii="Arial" w:hAnsi="Arial" w:cs="Arial"/>
          <w:sz w:val="24"/>
          <w:szCs w:val="24"/>
        </w:rPr>
        <w:t>créé</w:t>
      </w:r>
      <w:r w:rsidR="00EC28D7" w:rsidRPr="00A44885">
        <w:rPr>
          <w:rFonts w:ascii="Arial" w:hAnsi="Arial" w:cs="Arial"/>
          <w:sz w:val="24"/>
          <w:szCs w:val="24"/>
        </w:rPr>
        <w:t xml:space="preserve"> qui permettra</w:t>
      </w:r>
      <w:r w:rsidR="00763124" w:rsidRPr="00A44885">
        <w:rPr>
          <w:rFonts w:ascii="Arial" w:hAnsi="Arial" w:cs="Arial"/>
          <w:sz w:val="24"/>
          <w:szCs w:val="24"/>
        </w:rPr>
        <w:t xml:space="preserve"> d’avoir une </w:t>
      </w:r>
      <w:r w:rsidR="00E66394" w:rsidRPr="00A44885">
        <w:rPr>
          <w:rFonts w:ascii="Arial" w:hAnsi="Arial" w:cs="Arial"/>
          <w:sz w:val="24"/>
          <w:szCs w:val="24"/>
        </w:rPr>
        <w:t>vision</w:t>
      </w:r>
      <w:r w:rsidR="00763124" w:rsidRPr="00A44885">
        <w:rPr>
          <w:rFonts w:ascii="Arial" w:hAnsi="Arial" w:cs="Arial"/>
          <w:sz w:val="24"/>
          <w:szCs w:val="24"/>
        </w:rPr>
        <w:t xml:space="preserve"> de la situation d</w:t>
      </w:r>
      <w:r w:rsidR="002946B4" w:rsidRPr="00A44885">
        <w:rPr>
          <w:rFonts w:ascii="Arial" w:hAnsi="Arial" w:cs="Arial"/>
          <w:sz w:val="24"/>
          <w:szCs w:val="24"/>
        </w:rPr>
        <w:t>e</w:t>
      </w:r>
      <w:r w:rsidR="00763124" w:rsidRPr="00A44885">
        <w:rPr>
          <w:rFonts w:ascii="Arial" w:hAnsi="Arial" w:cs="Arial"/>
          <w:sz w:val="24"/>
          <w:szCs w:val="24"/>
        </w:rPr>
        <w:t xml:space="preserve">s services et de planifier l’entretien tant </w:t>
      </w:r>
      <w:r w:rsidR="00E66394" w:rsidRPr="00A44885">
        <w:rPr>
          <w:rFonts w:ascii="Arial" w:hAnsi="Arial" w:cs="Arial"/>
          <w:sz w:val="24"/>
          <w:szCs w:val="24"/>
        </w:rPr>
        <w:t>préventif</w:t>
      </w:r>
      <w:r w:rsidR="00763124" w:rsidRPr="00A44885">
        <w:rPr>
          <w:rFonts w:ascii="Arial" w:hAnsi="Arial" w:cs="Arial"/>
          <w:sz w:val="24"/>
          <w:szCs w:val="24"/>
        </w:rPr>
        <w:t xml:space="preserve"> que correctif.</w:t>
      </w:r>
    </w:p>
    <w:p w:rsidR="003058C1" w:rsidRPr="00E66394" w:rsidRDefault="003058C1" w:rsidP="00ED2E98">
      <w:pPr>
        <w:rPr>
          <w:rFonts w:ascii="Arial" w:hAnsi="Arial" w:cs="Arial"/>
          <w:sz w:val="24"/>
          <w:szCs w:val="24"/>
        </w:rPr>
      </w:pPr>
      <w:r w:rsidRPr="00E66394">
        <w:rPr>
          <w:rFonts w:ascii="Arial" w:hAnsi="Arial" w:cs="Arial"/>
          <w:sz w:val="24"/>
          <w:szCs w:val="24"/>
        </w:rPr>
        <w:t xml:space="preserve">La </w:t>
      </w:r>
      <w:r w:rsidR="00E66394" w:rsidRPr="00E66394">
        <w:rPr>
          <w:rFonts w:ascii="Arial" w:hAnsi="Arial" w:cs="Arial"/>
          <w:sz w:val="24"/>
          <w:szCs w:val="24"/>
        </w:rPr>
        <w:t>différence principale de ce schéma par rapport au mod</w:t>
      </w:r>
      <w:r w:rsidR="00E66394">
        <w:rPr>
          <w:rFonts w:ascii="Arial" w:hAnsi="Arial" w:cs="Arial"/>
          <w:sz w:val="24"/>
          <w:szCs w:val="24"/>
        </w:rPr>
        <w:t>èle</w:t>
      </w:r>
      <w:r w:rsidR="00E66394" w:rsidRPr="00E66394">
        <w:rPr>
          <w:rFonts w:ascii="Arial" w:hAnsi="Arial" w:cs="Arial"/>
          <w:sz w:val="24"/>
          <w:szCs w:val="24"/>
        </w:rPr>
        <w:t xml:space="preserve"> passé est l’existence des URDs </w:t>
      </w:r>
      <w:r w:rsidR="00E66394">
        <w:rPr>
          <w:rFonts w:ascii="Arial" w:hAnsi="Arial" w:cs="Arial"/>
          <w:sz w:val="24"/>
          <w:szCs w:val="24"/>
        </w:rPr>
        <w:t>et</w:t>
      </w:r>
      <w:r w:rsidRPr="00E66394">
        <w:rPr>
          <w:rFonts w:ascii="Arial" w:hAnsi="Arial" w:cs="Arial"/>
          <w:sz w:val="24"/>
          <w:szCs w:val="24"/>
        </w:rPr>
        <w:t xml:space="preserve"> TEPAC, qu</w:t>
      </w:r>
      <w:r w:rsidR="00E66394">
        <w:rPr>
          <w:rFonts w:ascii="Arial" w:hAnsi="Arial" w:cs="Arial"/>
          <w:sz w:val="24"/>
          <w:szCs w:val="24"/>
        </w:rPr>
        <w:t>i sont les pièces clé de ce nouveau modèle à consolider</w:t>
      </w:r>
      <w:r w:rsidRPr="00E66394">
        <w:rPr>
          <w:rFonts w:ascii="Arial" w:hAnsi="Arial" w:cs="Arial"/>
          <w:sz w:val="24"/>
          <w:szCs w:val="24"/>
        </w:rPr>
        <w:t xml:space="preserve">.        </w:t>
      </w:r>
    </w:p>
    <w:p w:rsidR="003058C1" w:rsidRPr="00E66394" w:rsidRDefault="003058C1" w:rsidP="003058C1">
      <w:pPr>
        <w:pStyle w:val="ListParagraph"/>
        <w:ind w:left="1080"/>
        <w:rPr>
          <w:rFonts w:ascii="Arial" w:hAnsi="Arial" w:cs="Arial"/>
          <w:b/>
          <w:sz w:val="24"/>
          <w:szCs w:val="24"/>
        </w:rPr>
      </w:pPr>
    </w:p>
    <w:sectPr w:rsidR="003058C1" w:rsidRPr="00E6639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6010" w:rsidRDefault="00446010" w:rsidP="000A0A4D">
      <w:r>
        <w:separator/>
      </w:r>
    </w:p>
  </w:endnote>
  <w:endnote w:type="continuationSeparator" w:id="0">
    <w:p w:rsidR="00446010" w:rsidRDefault="00446010" w:rsidP="000A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6010" w:rsidRDefault="00446010" w:rsidP="000A0A4D">
      <w:r>
        <w:separator/>
      </w:r>
    </w:p>
  </w:footnote>
  <w:footnote w:type="continuationSeparator" w:id="0">
    <w:p w:rsidR="00446010" w:rsidRDefault="00446010" w:rsidP="000A0A4D">
      <w:r>
        <w:continuationSeparator/>
      </w:r>
    </w:p>
  </w:footnote>
  <w:footnote w:id="1">
    <w:p w:rsidR="00CE3425" w:rsidRPr="001A0083" w:rsidRDefault="00CE3425">
      <w:pPr>
        <w:pStyle w:val="FootnoteText"/>
      </w:pPr>
      <w:r>
        <w:rPr>
          <w:rStyle w:val="FootnoteReference"/>
        </w:rPr>
        <w:footnoteRef/>
      </w:r>
      <w:r>
        <w:t xml:space="preserve"> Rapport final version finale avril 2017 : « Renforcement de la capacite de la DINEPA dans la mise en œuvre de la stratégie de reforme du secteur de l’eau potable et de l’assainissement. Evaluation de la durabilité financière du secteur de l’eau et de l’assainissement en Haïti ». DINEPA, Banque Mondiale, IREEDD et Gret.</w:t>
      </w:r>
    </w:p>
  </w:footnote>
  <w:footnote w:id="2">
    <w:p w:rsidR="001A4DBC" w:rsidRPr="001A4DBC" w:rsidRDefault="001A4DBC">
      <w:pPr>
        <w:pStyle w:val="FootnoteText"/>
      </w:pPr>
      <w:r>
        <w:rPr>
          <w:rStyle w:val="FootnoteReference"/>
        </w:rPr>
        <w:footnoteRef/>
      </w:r>
      <w:r>
        <w:t xml:space="preserve"> Evaluation PACI réalisée en septembre et octobre 2018.</w:t>
      </w:r>
    </w:p>
  </w:footnote>
  <w:footnote w:id="3">
    <w:p w:rsidR="00CE3425" w:rsidRPr="004037A1" w:rsidRDefault="00CE3425">
      <w:pPr>
        <w:pStyle w:val="FootnoteText"/>
      </w:pPr>
      <w:r>
        <w:rPr>
          <w:rStyle w:val="FootnoteReference"/>
        </w:rPr>
        <w:footnoteRef/>
      </w:r>
      <w:r>
        <w:t xml:space="preserve"> Analyse basée sur le rapport de EGIS, 2018 et Plan d’affaires du CTE Cap haïtien</w:t>
      </w:r>
    </w:p>
  </w:footnote>
  <w:footnote w:id="4">
    <w:p w:rsidR="00CE3425" w:rsidRPr="00B72CF1" w:rsidRDefault="00CE3425" w:rsidP="009226AB">
      <w:pPr>
        <w:pStyle w:val="FootnoteText"/>
      </w:pPr>
      <w:r>
        <w:rPr>
          <w:rStyle w:val="FootnoteReference"/>
        </w:rPr>
        <w:footnoteRef/>
      </w:r>
      <w:r>
        <w:t xml:space="preserve"> </w:t>
      </w:r>
      <w:r w:rsidRPr="00B72CF1">
        <w:t>Renforcement de l</w:t>
      </w:r>
      <w:r>
        <w:t>a capacite de la DINEPA dans la mise en œuvre de la stratégie de réforme du secteur de l’eau et de l’assainissement. Evaluation de la durabilité financière du secteur de l’eau et de l’assainissement en Haïti. Rapport Final Principal, Version finale Avril, 2017. DINEPA, Banque Mondiale, IREEDDR et GRET.</w:t>
      </w:r>
    </w:p>
    <w:p w:rsidR="00CE3425" w:rsidRPr="009226AB" w:rsidRDefault="00CE3425">
      <w:pPr>
        <w:pStyle w:val="FootnoteText"/>
      </w:pPr>
    </w:p>
  </w:footnote>
  <w:footnote w:id="5">
    <w:p w:rsidR="00CE3425" w:rsidRPr="00B72CF1" w:rsidRDefault="00CE3425">
      <w:pPr>
        <w:pStyle w:val="FootnoteText"/>
      </w:pPr>
      <w:r>
        <w:rPr>
          <w:rStyle w:val="FootnoteReference"/>
        </w:rPr>
        <w:footnoteRef/>
      </w:r>
      <w:r>
        <w:t xml:space="preserve"> </w:t>
      </w:r>
      <w:r w:rsidRPr="00B72CF1">
        <w:t>Renforcement de l</w:t>
      </w:r>
      <w:r>
        <w:t>a capacite de la DINEPA dans la mise en œuvre de la stratégie de réforme du secteur de l’eau et de l’assainissement. Evaluation de la durabilité financière du secteur de l’eau et de l’assainissement en Haïti. Rapport Final Complémentaire 1. Fiches. Diagnostic de la durabilité financière des CTEs. Version finale Avril, 2017. DINEPA, Banque Mondiale, IREEDDR et GRET.</w:t>
      </w:r>
    </w:p>
  </w:footnote>
  <w:footnote w:id="6">
    <w:p w:rsidR="00CE3425" w:rsidRPr="00B72CF1" w:rsidRDefault="00CE3425">
      <w:pPr>
        <w:pStyle w:val="FootnoteText"/>
      </w:pPr>
      <w:r>
        <w:rPr>
          <w:rStyle w:val="FootnoteReference"/>
        </w:rPr>
        <w:footnoteRef/>
      </w:r>
      <w:r w:rsidRPr="00B72CF1">
        <w:t xml:space="preserve"> Données de 2014-2015</w:t>
      </w:r>
    </w:p>
  </w:footnote>
  <w:footnote w:id="7">
    <w:p w:rsidR="00CE3425" w:rsidRPr="00310857" w:rsidRDefault="00CE3425" w:rsidP="000D4947">
      <w:pPr>
        <w:pStyle w:val="FootnoteText"/>
        <w:rPr>
          <w:lang w:val="en-US"/>
        </w:rPr>
      </w:pPr>
      <w:r w:rsidRPr="00DF0517">
        <w:rPr>
          <w:rStyle w:val="FootnoteReference"/>
        </w:rPr>
        <w:footnoteRef/>
      </w:r>
      <w:r w:rsidRPr="00310857">
        <w:rPr>
          <w:lang w:val="en-US"/>
        </w:rPr>
        <w:t xml:space="preserve"> </w:t>
      </w:r>
      <w:r w:rsidRPr="00310857">
        <w:rPr>
          <w:sz w:val="16"/>
          <w:szCs w:val="16"/>
          <w:lang w:val="en-US"/>
        </w:rPr>
        <w:t>source: Tynan, Kingdom, A water scoreboard: setting performance targets for water utilities (2002)</w:t>
      </w:r>
    </w:p>
  </w:footnote>
  <w:footnote w:id="8">
    <w:p w:rsidR="00CE3425" w:rsidRPr="00CE3425" w:rsidRDefault="00CE3425">
      <w:pPr>
        <w:pStyle w:val="FootnoteText"/>
      </w:pPr>
      <w:r>
        <w:rPr>
          <w:rStyle w:val="FootnoteReference"/>
        </w:rPr>
        <w:footnoteRef/>
      </w:r>
      <w:r>
        <w:t xml:space="preserve"> </w:t>
      </w:r>
      <w:r w:rsidRPr="00CE3425">
        <w:t>P</w:t>
      </w:r>
      <w:r>
        <w:t xml:space="preserve">lan d’affaires du CTE Cap </w:t>
      </w:r>
      <w:r w:rsidR="007E6A69">
        <w:t>haïtien</w:t>
      </w:r>
      <w:r w:rsidR="00971A86">
        <w:t>. Rapport EGIS 2018.</w:t>
      </w:r>
    </w:p>
  </w:footnote>
  <w:footnote w:id="9">
    <w:p w:rsidR="00CE3425" w:rsidRDefault="00CE3425" w:rsidP="00DE3A42">
      <w:pPr>
        <w:pStyle w:val="FootnoteText"/>
      </w:pPr>
      <w:r>
        <w:rPr>
          <w:rStyle w:val="FootnoteReference"/>
        </w:rPr>
        <w:footnoteRef/>
      </w:r>
      <w:r>
        <w:t xml:space="preserve"> 2000 clients équivalent à 12 000 hab. Calculée sur une base de 50 l/jour/hab. la consommation annuelle serait de 12000 x 0,05 x 365 = 219 000 m3.</w:t>
      </w:r>
    </w:p>
    <w:p w:rsidR="00CE3425" w:rsidRDefault="00CE3425" w:rsidP="00DE3A42">
      <w:pPr>
        <w:pStyle w:val="FootnoteText"/>
      </w:pPr>
      <w:r>
        <w:t>Montant de la facturation part assainissement : 219000 x 25 x 80% = 4 380 </w:t>
      </w:r>
      <w:r w:rsidRPr="00283595">
        <w:t>000</w:t>
      </w:r>
      <w:r>
        <w:t> </w:t>
      </w:r>
      <w:r w:rsidRPr="00283595">
        <w:t>HTG</w:t>
      </w:r>
      <w:r>
        <w:t xml:space="preserve"> équivalent à 63 000 USD</w:t>
      </w:r>
    </w:p>
  </w:footnote>
  <w:footnote w:id="10">
    <w:p w:rsidR="00CE3425" w:rsidRPr="007202D0" w:rsidRDefault="00CE3425" w:rsidP="003058C1">
      <w:pPr>
        <w:pStyle w:val="subpar"/>
        <w:numPr>
          <w:ilvl w:val="0"/>
          <w:numId w:val="0"/>
        </w:numPr>
        <w:spacing w:after="0"/>
        <w:ind w:left="144"/>
        <w:rPr>
          <w:rFonts w:ascii="Arial" w:hAnsi="Arial" w:cs="Arial"/>
          <w:sz w:val="18"/>
          <w:szCs w:val="18"/>
          <w:lang w:val="fr-FR"/>
        </w:rPr>
      </w:pPr>
      <w:r w:rsidRPr="00C304CE">
        <w:rPr>
          <w:rStyle w:val="FootnoteReference"/>
          <w:sz w:val="18"/>
          <w:szCs w:val="18"/>
        </w:rPr>
        <w:footnoteRef/>
      </w:r>
      <w:r w:rsidRPr="007202D0">
        <w:rPr>
          <w:sz w:val="18"/>
          <w:szCs w:val="18"/>
          <w:lang w:val="fr-FR"/>
        </w:rPr>
        <w:t xml:space="preserve"> </w:t>
      </w:r>
      <w:r w:rsidRPr="007202D0">
        <w:rPr>
          <w:rFonts w:ascii="Arial" w:hAnsi="Arial" w:cs="Arial"/>
          <w:sz w:val="18"/>
          <w:szCs w:val="18"/>
          <w:lang w:val="fr-FR"/>
        </w:rPr>
        <w:t xml:space="preserve">2.1 USD </w:t>
      </w:r>
      <w:r w:rsidR="007202D0" w:rsidRPr="007202D0">
        <w:rPr>
          <w:rFonts w:ascii="Arial" w:hAnsi="Arial" w:cs="Arial"/>
          <w:sz w:val="18"/>
          <w:szCs w:val="18"/>
          <w:lang w:val="fr-FR"/>
        </w:rPr>
        <w:t xml:space="preserve">par personne et par an pour les </w:t>
      </w:r>
      <w:r w:rsidR="00127DD4" w:rsidRPr="007202D0">
        <w:rPr>
          <w:rFonts w:ascii="Arial" w:hAnsi="Arial" w:cs="Arial"/>
          <w:sz w:val="18"/>
          <w:szCs w:val="18"/>
          <w:lang w:val="fr-FR"/>
        </w:rPr>
        <w:t>systèmes</w:t>
      </w:r>
      <w:r w:rsidR="007202D0" w:rsidRPr="007202D0">
        <w:rPr>
          <w:rFonts w:ascii="Arial" w:hAnsi="Arial" w:cs="Arial"/>
          <w:sz w:val="18"/>
          <w:szCs w:val="18"/>
          <w:lang w:val="fr-FR"/>
        </w:rPr>
        <w:t xml:space="preserve"> d’eau gravitaires</w:t>
      </w:r>
      <w:r w:rsidRPr="007202D0">
        <w:rPr>
          <w:rFonts w:ascii="Arial" w:hAnsi="Arial" w:cs="Arial"/>
          <w:sz w:val="18"/>
          <w:szCs w:val="18"/>
          <w:lang w:val="fr-FR"/>
        </w:rPr>
        <w:t xml:space="preserve"> - 0.13 USD p</w:t>
      </w:r>
      <w:r w:rsidR="007202D0" w:rsidRPr="007202D0">
        <w:rPr>
          <w:rFonts w:ascii="Arial" w:hAnsi="Arial" w:cs="Arial"/>
          <w:sz w:val="18"/>
          <w:szCs w:val="18"/>
          <w:lang w:val="fr-FR"/>
        </w:rPr>
        <w:t xml:space="preserve">ar </w:t>
      </w:r>
      <w:r w:rsidR="007202D0">
        <w:rPr>
          <w:rFonts w:ascii="Arial" w:hAnsi="Arial" w:cs="Arial"/>
          <w:sz w:val="18"/>
          <w:szCs w:val="18"/>
          <w:lang w:val="fr-FR"/>
        </w:rPr>
        <w:t xml:space="preserve">personne et par an pour les points d’eau avec pompe </w:t>
      </w:r>
      <w:r w:rsidR="00127DD4">
        <w:rPr>
          <w:rFonts w:ascii="Arial" w:hAnsi="Arial" w:cs="Arial"/>
          <w:sz w:val="18"/>
          <w:szCs w:val="18"/>
          <w:lang w:val="fr-FR"/>
        </w:rPr>
        <w:t>à</w:t>
      </w:r>
      <w:r w:rsidR="007202D0">
        <w:rPr>
          <w:rFonts w:ascii="Arial" w:hAnsi="Arial" w:cs="Arial"/>
          <w:sz w:val="18"/>
          <w:szCs w:val="18"/>
          <w:lang w:val="fr-FR"/>
        </w:rPr>
        <w:t xml:space="preserve"> bras.</w:t>
      </w:r>
    </w:p>
    <w:p w:rsidR="00CE3425" w:rsidRPr="007202D0" w:rsidRDefault="00CE3425" w:rsidP="003058C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D0E2B"/>
    <w:multiLevelType w:val="multilevel"/>
    <w:tmpl w:val="49580392"/>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pStyle w:val="Heading3"/>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C5B2F73"/>
    <w:multiLevelType w:val="hybridMultilevel"/>
    <w:tmpl w:val="B9CEA6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A2B35"/>
    <w:multiLevelType w:val="multilevel"/>
    <w:tmpl w:val="0CAA3D58"/>
    <w:lvl w:ilvl="0">
      <w:start w:val="1"/>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3006"/>
        </w:tabs>
        <w:ind w:left="3006" w:hanging="1296"/>
      </w:pPr>
      <w:rPr>
        <w:rFonts w:ascii="Arial" w:hAnsi="Arial" w:cs="Arial" w:hint="default"/>
        <w:b w:val="0"/>
        <w:sz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3" w15:restartNumberingAfterBreak="0">
    <w:nsid w:val="12D81200"/>
    <w:multiLevelType w:val="hybridMultilevel"/>
    <w:tmpl w:val="92F41B6A"/>
    <w:lvl w:ilvl="0" w:tplc="BA18E45E">
      <w:start w:val="27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AD4596"/>
    <w:multiLevelType w:val="hybridMultilevel"/>
    <w:tmpl w:val="0C4C33E8"/>
    <w:lvl w:ilvl="0" w:tplc="948A1878">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DA7C52"/>
    <w:multiLevelType w:val="singleLevel"/>
    <w:tmpl w:val="0936AF78"/>
    <w:lvl w:ilvl="0">
      <w:start w:val="1"/>
      <w:numFmt w:val="bullet"/>
      <w:pStyle w:val="cea"/>
      <w:lvlText w:val=""/>
      <w:lvlJc w:val="left"/>
      <w:pPr>
        <w:tabs>
          <w:tab w:val="num" w:pos="360"/>
        </w:tabs>
        <w:ind w:left="340" w:hanging="340"/>
      </w:pPr>
      <w:rPr>
        <w:rFonts w:ascii="Wingdings" w:hAnsi="Wingdings" w:hint="default"/>
        <w:sz w:val="16"/>
      </w:rPr>
    </w:lvl>
  </w:abstractNum>
  <w:abstractNum w:abstractNumId="6" w15:restartNumberingAfterBreak="0">
    <w:nsid w:val="333F2609"/>
    <w:multiLevelType w:val="hybridMultilevel"/>
    <w:tmpl w:val="C4C8BB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630544"/>
    <w:multiLevelType w:val="hybridMultilevel"/>
    <w:tmpl w:val="3C18B5D8"/>
    <w:lvl w:ilvl="0" w:tplc="89F048C0">
      <w:start w:val="19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472BB6"/>
    <w:multiLevelType w:val="hybridMultilevel"/>
    <w:tmpl w:val="C4101452"/>
    <w:lvl w:ilvl="0" w:tplc="04090001">
      <w:start w:val="1"/>
      <w:numFmt w:val="bullet"/>
      <w:lvlText w:val=""/>
      <w:lvlJc w:val="left"/>
      <w:pPr>
        <w:ind w:left="1488" w:hanging="360"/>
      </w:pPr>
      <w:rPr>
        <w:rFonts w:ascii="Symbol" w:hAnsi="Symbol" w:hint="default"/>
      </w:rPr>
    </w:lvl>
    <w:lvl w:ilvl="1" w:tplc="04090003">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35146E6"/>
    <w:multiLevelType w:val="hybridMultilevel"/>
    <w:tmpl w:val="1D349A40"/>
    <w:lvl w:ilvl="0" w:tplc="258A98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5B1E75"/>
    <w:multiLevelType w:val="hybridMultilevel"/>
    <w:tmpl w:val="3E969096"/>
    <w:lvl w:ilvl="0" w:tplc="B91284B2">
      <w:start w:val="4"/>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E1007D3"/>
    <w:multiLevelType w:val="hybridMultilevel"/>
    <w:tmpl w:val="70E8F8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307A53"/>
    <w:multiLevelType w:val="hybridMultilevel"/>
    <w:tmpl w:val="48565F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8468A2"/>
    <w:multiLevelType w:val="hybridMultilevel"/>
    <w:tmpl w:val="11228FD8"/>
    <w:lvl w:ilvl="0" w:tplc="1E9478A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9905A8"/>
    <w:multiLevelType w:val="multilevel"/>
    <w:tmpl w:val="761EE5DA"/>
    <w:lvl w:ilvl="0">
      <w:start w:val="1"/>
      <w:numFmt w:val="upperRoman"/>
      <w:lvlRestart w:val="0"/>
      <w:pStyle w:val="Chapter"/>
      <w:lvlText w:val="%1."/>
      <w:lvlJc w:val="center"/>
      <w:pPr>
        <w:tabs>
          <w:tab w:val="num" w:pos="1800"/>
        </w:tabs>
        <w:ind w:left="1152" w:firstLine="288"/>
      </w:pPr>
      <w:rPr>
        <w:rFonts w:ascii="Arial" w:hAnsi="Arial" w:cs="Arial" w:hint="default"/>
        <w:b/>
        <w:i w:val="0"/>
      </w:rPr>
    </w:lvl>
    <w:lvl w:ilvl="1">
      <w:start w:val="1"/>
      <w:numFmt w:val="decimal"/>
      <w:pStyle w:val="Paragraph"/>
      <w:isLgl/>
      <w:lvlText w:val="%1.%2"/>
      <w:lvlJc w:val="left"/>
      <w:pPr>
        <w:tabs>
          <w:tab w:val="num" w:pos="2448"/>
        </w:tabs>
        <w:ind w:left="2448" w:hanging="1296"/>
      </w:pPr>
      <w:rPr>
        <w:b w:val="0"/>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6" w15:restartNumberingAfterBreak="0">
    <w:nsid w:val="5C3F1696"/>
    <w:multiLevelType w:val="hybridMultilevel"/>
    <w:tmpl w:val="268658D6"/>
    <w:lvl w:ilvl="0" w:tplc="B1D0FA3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622803"/>
    <w:multiLevelType w:val="hybridMultilevel"/>
    <w:tmpl w:val="D7EE7F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D21E78"/>
    <w:multiLevelType w:val="hybridMultilevel"/>
    <w:tmpl w:val="2256A1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4791CF9"/>
    <w:multiLevelType w:val="hybridMultilevel"/>
    <w:tmpl w:val="7032A8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D01494"/>
    <w:multiLevelType w:val="hybridMultilevel"/>
    <w:tmpl w:val="5ACCCB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14"/>
  </w:num>
  <w:num w:numId="4">
    <w:abstractNumId w:val="3"/>
  </w:num>
  <w:num w:numId="5">
    <w:abstractNumId w:val="0"/>
  </w:num>
  <w:num w:numId="6">
    <w:abstractNumId w:val="9"/>
  </w:num>
  <w:num w:numId="7">
    <w:abstractNumId w:val="4"/>
  </w:num>
  <w:num w:numId="8">
    <w:abstractNumId w:val="11"/>
  </w:num>
  <w:num w:numId="9">
    <w:abstractNumId w:val="5"/>
  </w:num>
  <w:num w:numId="10">
    <w:abstractNumId w:val="6"/>
  </w:num>
  <w:num w:numId="11">
    <w:abstractNumId w:val="18"/>
  </w:num>
  <w:num w:numId="12">
    <w:abstractNumId w:val="10"/>
  </w:num>
  <w:num w:numId="13">
    <w:abstractNumId w:val="1"/>
  </w:num>
  <w:num w:numId="14">
    <w:abstractNumId w:val="20"/>
  </w:num>
  <w:num w:numId="15">
    <w:abstractNumId w:val="8"/>
  </w:num>
  <w:num w:numId="16">
    <w:abstractNumId w:val="15"/>
  </w:num>
  <w:num w:numId="17">
    <w:abstractNumId w:val="19"/>
  </w:num>
  <w:num w:numId="18">
    <w:abstractNumId w:val="13"/>
  </w:num>
  <w:num w:numId="19">
    <w:abstractNumId w:val="12"/>
  </w:num>
  <w:num w:numId="20">
    <w:abstractNumId w:val="1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972"/>
    <w:rsid w:val="000177A3"/>
    <w:rsid w:val="000244A1"/>
    <w:rsid w:val="00037270"/>
    <w:rsid w:val="00043532"/>
    <w:rsid w:val="00057BF6"/>
    <w:rsid w:val="00070232"/>
    <w:rsid w:val="000858AD"/>
    <w:rsid w:val="000A0A4D"/>
    <w:rsid w:val="000B1F09"/>
    <w:rsid w:val="000B73C8"/>
    <w:rsid w:val="000C4D62"/>
    <w:rsid w:val="000D4947"/>
    <w:rsid w:val="000D7EA7"/>
    <w:rsid w:val="000E0C01"/>
    <w:rsid w:val="000E2A55"/>
    <w:rsid w:val="00103DA7"/>
    <w:rsid w:val="00106383"/>
    <w:rsid w:val="00127DD4"/>
    <w:rsid w:val="001408C1"/>
    <w:rsid w:val="001477B2"/>
    <w:rsid w:val="0015152D"/>
    <w:rsid w:val="00162870"/>
    <w:rsid w:val="001634B1"/>
    <w:rsid w:val="0017049A"/>
    <w:rsid w:val="00173568"/>
    <w:rsid w:val="00175718"/>
    <w:rsid w:val="001918DE"/>
    <w:rsid w:val="001A0083"/>
    <w:rsid w:val="001A1DC7"/>
    <w:rsid w:val="001A4DBC"/>
    <w:rsid w:val="001A7B41"/>
    <w:rsid w:val="001C77AC"/>
    <w:rsid w:val="001D5331"/>
    <w:rsid w:val="001E4C74"/>
    <w:rsid w:val="001E55E1"/>
    <w:rsid w:val="001E646B"/>
    <w:rsid w:val="0021132B"/>
    <w:rsid w:val="00212FBF"/>
    <w:rsid w:val="00213290"/>
    <w:rsid w:val="00214235"/>
    <w:rsid w:val="00216CD0"/>
    <w:rsid w:val="002205B9"/>
    <w:rsid w:val="00225A8A"/>
    <w:rsid w:val="00225B2E"/>
    <w:rsid w:val="00234141"/>
    <w:rsid w:val="00234CDC"/>
    <w:rsid w:val="00243BC1"/>
    <w:rsid w:val="002629AD"/>
    <w:rsid w:val="00283595"/>
    <w:rsid w:val="002946B4"/>
    <w:rsid w:val="002A3C15"/>
    <w:rsid w:val="002A412B"/>
    <w:rsid w:val="002A42BA"/>
    <w:rsid w:val="002A71D3"/>
    <w:rsid w:val="002D3A21"/>
    <w:rsid w:val="002F0A24"/>
    <w:rsid w:val="003058C1"/>
    <w:rsid w:val="00343014"/>
    <w:rsid w:val="0034348B"/>
    <w:rsid w:val="00346D16"/>
    <w:rsid w:val="00352401"/>
    <w:rsid w:val="00352F66"/>
    <w:rsid w:val="00357F41"/>
    <w:rsid w:val="00370F45"/>
    <w:rsid w:val="00371039"/>
    <w:rsid w:val="00387149"/>
    <w:rsid w:val="003955A0"/>
    <w:rsid w:val="00396037"/>
    <w:rsid w:val="003B1007"/>
    <w:rsid w:val="003C2E03"/>
    <w:rsid w:val="003C468D"/>
    <w:rsid w:val="003E3150"/>
    <w:rsid w:val="003F2471"/>
    <w:rsid w:val="003F50AE"/>
    <w:rsid w:val="00402044"/>
    <w:rsid w:val="004037A1"/>
    <w:rsid w:val="00405636"/>
    <w:rsid w:val="00423748"/>
    <w:rsid w:val="004375A7"/>
    <w:rsid w:val="0044140F"/>
    <w:rsid w:val="00446010"/>
    <w:rsid w:val="00467EC8"/>
    <w:rsid w:val="00475EAA"/>
    <w:rsid w:val="004A002A"/>
    <w:rsid w:val="004A32DC"/>
    <w:rsid w:val="004B610B"/>
    <w:rsid w:val="004B7471"/>
    <w:rsid w:val="004D3C62"/>
    <w:rsid w:val="004F33FF"/>
    <w:rsid w:val="004F41E4"/>
    <w:rsid w:val="004F44DF"/>
    <w:rsid w:val="004F7625"/>
    <w:rsid w:val="00523C03"/>
    <w:rsid w:val="00523F6C"/>
    <w:rsid w:val="0053644B"/>
    <w:rsid w:val="00537797"/>
    <w:rsid w:val="00572D44"/>
    <w:rsid w:val="005829E9"/>
    <w:rsid w:val="005A0401"/>
    <w:rsid w:val="005C5AF7"/>
    <w:rsid w:val="005D5014"/>
    <w:rsid w:val="005D7422"/>
    <w:rsid w:val="005E0F06"/>
    <w:rsid w:val="005E4203"/>
    <w:rsid w:val="005E54B9"/>
    <w:rsid w:val="005F2436"/>
    <w:rsid w:val="005F6333"/>
    <w:rsid w:val="00614B92"/>
    <w:rsid w:val="00617970"/>
    <w:rsid w:val="0062715A"/>
    <w:rsid w:val="006303F8"/>
    <w:rsid w:val="006333D9"/>
    <w:rsid w:val="006558EE"/>
    <w:rsid w:val="006622CC"/>
    <w:rsid w:val="006729C0"/>
    <w:rsid w:val="00690A24"/>
    <w:rsid w:val="006B1363"/>
    <w:rsid w:val="006E1465"/>
    <w:rsid w:val="007202D0"/>
    <w:rsid w:val="00735C66"/>
    <w:rsid w:val="00746CEE"/>
    <w:rsid w:val="007545AE"/>
    <w:rsid w:val="00754ED4"/>
    <w:rsid w:val="00763124"/>
    <w:rsid w:val="00763E9C"/>
    <w:rsid w:val="00771EB5"/>
    <w:rsid w:val="00777CFE"/>
    <w:rsid w:val="00785E5E"/>
    <w:rsid w:val="00793F81"/>
    <w:rsid w:val="007A3C40"/>
    <w:rsid w:val="007C6720"/>
    <w:rsid w:val="007D0613"/>
    <w:rsid w:val="007D42B1"/>
    <w:rsid w:val="007E2E00"/>
    <w:rsid w:val="007E5830"/>
    <w:rsid w:val="007E6A69"/>
    <w:rsid w:val="00803E30"/>
    <w:rsid w:val="008211A4"/>
    <w:rsid w:val="00822C89"/>
    <w:rsid w:val="0082415B"/>
    <w:rsid w:val="00830357"/>
    <w:rsid w:val="00834DAB"/>
    <w:rsid w:val="0083518D"/>
    <w:rsid w:val="00837B26"/>
    <w:rsid w:val="00844422"/>
    <w:rsid w:val="00855CDB"/>
    <w:rsid w:val="00856D48"/>
    <w:rsid w:val="0086546E"/>
    <w:rsid w:val="00877A19"/>
    <w:rsid w:val="00880D84"/>
    <w:rsid w:val="00882F7E"/>
    <w:rsid w:val="00886C95"/>
    <w:rsid w:val="0089087C"/>
    <w:rsid w:val="00893FF1"/>
    <w:rsid w:val="008B5EBA"/>
    <w:rsid w:val="008C5639"/>
    <w:rsid w:val="008D2C2F"/>
    <w:rsid w:val="008D701C"/>
    <w:rsid w:val="008D7F9A"/>
    <w:rsid w:val="008E2EA7"/>
    <w:rsid w:val="008E4B77"/>
    <w:rsid w:val="008E62D3"/>
    <w:rsid w:val="00900C6B"/>
    <w:rsid w:val="00906616"/>
    <w:rsid w:val="009226AB"/>
    <w:rsid w:val="00925503"/>
    <w:rsid w:val="009374E9"/>
    <w:rsid w:val="00937892"/>
    <w:rsid w:val="00942BE1"/>
    <w:rsid w:val="0094371B"/>
    <w:rsid w:val="00951E0A"/>
    <w:rsid w:val="00971A86"/>
    <w:rsid w:val="009722FC"/>
    <w:rsid w:val="009739CC"/>
    <w:rsid w:val="00981D5D"/>
    <w:rsid w:val="009915E6"/>
    <w:rsid w:val="00993F58"/>
    <w:rsid w:val="009A178D"/>
    <w:rsid w:val="009A6B47"/>
    <w:rsid w:val="009B01ED"/>
    <w:rsid w:val="009B49DA"/>
    <w:rsid w:val="009B6623"/>
    <w:rsid w:val="009C2A08"/>
    <w:rsid w:val="009D3142"/>
    <w:rsid w:val="009D46D4"/>
    <w:rsid w:val="009F24A2"/>
    <w:rsid w:val="00A06DD4"/>
    <w:rsid w:val="00A36C7C"/>
    <w:rsid w:val="00A36E57"/>
    <w:rsid w:val="00A43DDB"/>
    <w:rsid w:val="00A44885"/>
    <w:rsid w:val="00A45AEE"/>
    <w:rsid w:val="00A529F2"/>
    <w:rsid w:val="00A616D7"/>
    <w:rsid w:val="00A74D07"/>
    <w:rsid w:val="00A82B90"/>
    <w:rsid w:val="00A83ABE"/>
    <w:rsid w:val="00A91931"/>
    <w:rsid w:val="00A9705A"/>
    <w:rsid w:val="00AA01F4"/>
    <w:rsid w:val="00AB393F"/>
    <w:rsid w:val="00AE315A"/>
    <w:rsid w:val="00AE4BEB"/>
    <w:rsid w:val="00AE6972"/>
    <w:rsid w:val="00B15721"/>
    <w:rsid w:val="00B24732"/>
    <w:rsid w:val="00B31363"/>
    <w:rsid w:val="00B477F0"/>
    <w:rsid w:val="00B52662"/>
    <w:rsid w:val="00B52953"/>
    <w:rsid w:val="00B551C5"/>
    <w:rsid w:val="00B62B4F"/>
    <w:rsid w:val="00B7176A"/>
    <w:rsid w:val="00B72CF1"/>
    <w:rsid w:val="00B7661A"/>
    <w:rsid w:val="00B978BF"/>
    <w:rsid w:val="00BA4A9A"/>
    <w:rsid w:val="00BC0EA6"/>
    <w:rsid w:val="00BD259B"/>
    <w:rsid w:val="00BD402D"/>
    <w:rsid w:val="00BD6910"/>
    <w:rsid w:val="00BD6B1E"/>
    <w:rsid w:val="00BD7EF5"/>
    <w:rsid w:val="00BE6DA9"/>
    <w:rsid w:val="00BF2BE5"/>
    <w:rsid w:val="00C1160F"/>
    <w:rsid w:val="00C1238D"/>
    <w:rsid w:val="00C13112"/>
    <w:rsid w:val="00C3047B"/>
    <w:rsid w:val="00C30B38"/>
    <w:rsid w:val="00C35325"/>
    <w:rsid w:val="00C410DF"/>
    <w:rsid w:val="00C4716F"/>
    <w:rsid w:val="00C479AD"/>
    <w:rsid w:val="00C51517"/>
    <w:rsid w:val="00C52260"/>
    <w:rsid w:val="00C63596"/>
    <w:rsid w:val="00C73F3E"/>
    <w:rsid w:val="00C758CC"/>
    <w:rsid w:val="00C771A4"/>
    <w:rsid w:val="00C96CCF"/>
    <w:rsid w:val="00CA44D1"/>
    <w:rsid w:val="00CB484D"/>
    <w:rsid w:val="00CD308F"/>
    <w:rsid w:val="00CE3425"/>
    <w:rsid w:val="00CE533B"/>
    <w:rsid w:val="00CE5443"/>
    <w:rsid w:val="00CF0B2B"/>
    <w:rsid w:val="00D03451"/>
    <w:rsid w:val="00D213E8"/>
    <w:rsid w:val="00D424E1"/>
    <w:rsid w:val="00D442F1"/>
    <w:rsid w:val="00D44C89"/>
    <w:rsid w:val="00D65991"/>
    <w:rsid w:val="00D65A6B"/>
    <w:rsid w:val="00D72D13"/>
    <w:rsid w:val="00D74AFD"/>
    <w:rsid w:val="00D7551B"/>
    <w:rsid w:val="00D82767"/>
    <w:rsid w:val="00DA4878"/>
    <w:rsid w:val="00DB6C37"/>
    <w:rsid w:val="00DB7A46"/>
    <w:rsid w:val="00DE3A42"/>
    <w:rsid w:val="00DE73AF"/>
    <w:rsid w:val="00E04FA7"/>
    <w:rsid w:val="00E10408"/>
    <w:rsid w:val="00E1287B"/>
    <w:rsid w:val="00E276BC"/>
    <w:rsid w:val="00E51B9B"/>
    <w:rsid w:val="00E64C0B"/>
    <w:rsid w:val="00E66394"/>
    <w:rsid w:val="00E706A6"/>
    <w:rsid w:val="00E83931"/>
    <w:rsid w:val="00EC07CA"/>
    <w:rsid w:val="00EC1976"/>
    <w:rsid w:val="00EC28D7"/>
    <w:rsid w:val="00EC530F"/>
    <w:rsid w:val="00ED2E98"/>
    <w:rsid w:val="00ED72BC"/>
    <w:rsid w:val="00EE70D6"/>
    <w:rsid w:val="00F452FF"/>
    <w:rsid w:val="00F61659"/>
    <w:rsid w:val="00F9115C"/>
    <w:rsid w:val="00F92E2B"/>
    <w:rsid w:val="00F93235"/>
    <w:rsid w:val="00F97828"/>
    <w:rsid w:val="00FB056A"/>
    <w:rsid w:val="00FB1705"/>
    <w:rsid w:val="00FC02E4"/>
    <w:rsid w:val="00FC4EAF"/>
    <w:rsid w:val="00FC7D46"/>
    <w:rsid w:val="00FD3211"/>
    <w:rsid w:val="00FE4984"/>
    <w:rsid w:val="00FF35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6C8826-8687-4ADB-8545-D8A8C3079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0A4D"/>
    <w:pPr>
      <w:spacing w:after="120"/>
      <w:jc w:val="both"/>
    </w:pPr>
  </w:style>
  <w:style w:type="paragraph" w:styleId="Heading1">
    <w:name w:val="heading 1"/>
    <w:basedOn w:val="Normal"/>
    <w:next w:val="Normal"/>
    <w:link w:val="Heading1Char"/>
    <w:uiPriority w:val="9"/>
    <w:qFormat/>
    <w:rsid w:val="001408C1"/>
    <w:pPr>
      <w:keepNext/>
      <w:keepLines/>
      <w:numPr>
        <w:numId w:val="5"/>
      </w:numPr>
      <w:spacing w:before="120" w:after="240" w:line="288" w:lineRule="auto"/>
      <w:outlineLvl w:val="0"/>
    </w:pPr>
    <w:rPr>
      <w:rFonts w:ascii="Arial Gras" w:eastAsiaTheme="majorEastAsia" w:hAnsi="Arial Gras" w:cs="Arial"/>
      <w:b/>
      <w:bCs/>
      <w:caps/>
      <w:sz w:val="28"/>
      <w:szCs w:val="28"/>
    </w:rPr>
  </w:style>
  <w:style w:type="paragraph" w:styleId="Heading2">
    <w:name w:val="heading 2"/>
    <w:basedOn w:val="Normal"/>
    <w:next w:val="Normal"/>
    <w:link w:val="Heading2Char"/>
    <w:uiPriority w:val="9"/>
    <w:unhideWhenUsed/>
    <w:qFormat/>
    <w:rsid w:val="001408C1"/>
    <w:pPr>
      <w:keepNext/>
      <w:keepLines/>
      <w:numPr>
        <w:ilvl w:val="1"/>
        <w:numId w:val="5"/>
      </w:numPr>
      <w:spacing w:before="240" w:line="288" w:lineRule="auto"/>
      <w:ind w:left="720" w:hanging="720"/>
      <w:outlineLvl w:val="1"/>
    </w:pPr>
    <w:rPr>
      <w:rFonts w:ascii="Arial Gras" w:eastAsiaTheme="majorEastAsia" w:hAnsi="Arial Gras" w:cs="Arial"/>
      <w:b/>
      <w:bCs/>
      <w:smallCaps/>
      <w:color w:val="7B7B7B" w:themeColor="accent3" w:themeShade="BF"/>
      <w:sz w:val="26"/>
      <w:szCs w:val="26"/>
    </w:rPr>
  </w:style>
  <w:style w:type="paragraph" w:styleId="Heading3">
    <w:name w:val="heading 3"/>
    <w:basedOn w:val="Normal"/>
    <w:next w:val="Normal"/>
    <w:link w:val="Heading3Char"/>
    <w:uiPriority w:val="9"/>
    <w:unhideWhenUsed/>
    <w:qFormat/>
    <w:rsid w:val="001408C1"/>
    <w:pPr>
      <w:keepNext/>
      <w:keepLines/>
      <w:numPr>
        <w:ilvl w:val="2"/>
        <w:numId w:val="5"/>
      </w:numPr>
      <w:spacing w:before="200" w:line="288" w:lineRule="auto"/>
      <w:ind w:left="709" w:hanging="709"/>
      <w:outlineLvl w:val="2"/>
    </w:pPr>
    <w:rPr>
      <w:rFonts w:ascii="Arial" w:eastAsiaTheme="majorEastAsia"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5,Párrafo de lista1,MAPA,Viñeta,TITULO A,Cuadro 2-1,paul2,Iz - Párrafo de lista,Sivsa Parrafo,Titulo de Fígura,Fundamentacion,Lista vistosa - Énfasis 11,VIÑETAS,damn!,Lista bullets,fuente,titulo 3,Bullets,Segundo"/>
    <w:basedOn w:val="Normal"/>
    <w:link w:val="ListParagraphChar"/>
    <w:uiPriority w:val="34"/>
    <w:qFormat/>
    <w:rsid w:val="00225B2E"/>
    <w:pPr>
      <w:ind w:left="720"/>
      <w:contextualSpacing/>
    </w:pPr>
  </w:style>
  <w:style w:type="table" w:styleId="TableGrid">
    <w:name w:val="Table Grid"/>
    <w:basedOn w:val="TableNormal"/>
    <w:uiPriority w:val="59"/>
    <w:rsid w:val="00371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43DDB"/>
    <w:pPr>
      <w:spacing w:after="0" w:line="240" w:lineRule="auto"/>
    </w:pPr>
    <w:rPr>
      <w:sz w:val="20"/>
      <w:szCs w:val="20"/>
    </w:rPr>
  </w:style>
  <w:style w:type="character" w:customStyle="1" w:styleId="FootnoteTextChar">
    <w:name w:val="Footnote Text Char"/>
    <w:basedOn w:val="DefaultParagraphFont"/>
    <w:link w:val="FootnoteText"/>
    <w:uiPriority w:val="99"/>
    <w:rsid w:val="00A43DDB"/>
    <w:rPr>
      <w:sz w:val="20"/>
      <w:szCs w:val="20"/>
    </w:rPr>
  </w:style>
  <w:style w:type="character" w:styleId="FootnoteReference">
    <w:name w:val="footnote reference"/>
    <w:basedOn w:val="DefaultParagraphFont"/>
    <w:uiPriority w:val="99"/>
    <w:semiHidden/>
    <w:unhideWhenUsed/>
    <w:rsid w:val="00A43DDB"/>
    <w:rPr>
      <w:vertAlign w:val="superscript"/>
    </w:rPr>
  </w:style>
  <w:style w:type="character" w:customStyle="1" w:styleId="Heading1Char">
    <w:name w:val="Heading 1 Char"/>
    <w:basedOn w:val="DefaultParagraphFont"/>
    <w:link w:val="Heading1"/>
    <w:uiPriority w:val="9"/>
    <w:rsid w:val="001408C1"/>
    <w:rPr>
      <w:rFonts w:ascii="Arial Gras" w:eastAsiaTheme="majorEastAsia" w:hAnsi="Arial Gras" w:cs="Arial"/>
      <w:b/>
      <w:bCs/>
      <w:caps/>
      <w:sz w:val="28"/>
      <w:szCs w:val="28"/>
    </w:rPr>
  </w:style>
  <w:style w:type="character" w:customStyle="1" w:styleId="Heading2Char">
    <w:name w:val="Heading 2 Char"/>
    <w:basedOn w:val="DefaultParagraphFont"/>
    <w:link w:val="Heading2"/>
    <w:uiPriority w:val="9"/>
    <w:rsid w:val="001408C1"/>
    <w:rPr>
      <w:rFonts w:ascii="Arial Gras" w:eastAsiaTheme="majorEastAsia" w:hAnsi="Arial Gras" w:cs="Arial"/>
      <w:b/>
      <w:bCs/>
      <w:smallCaps/>
      <w:color w:val="7B7B7B" w:themeColor="accent3" w:themeShade="BF"/>
      <w:sz w:val="26"/>
      <w:szCs w:val="26"/>
    </w:rPr>
  </w:style>
  <w:style w:type="character" w:customStyle="1" w:styleId="Heading3Char">
    <w:name w:val="Heading 3 Char"/>
    <w:basedOn w:val="DefaultParagraphFont"/>
    <w:link w:val="Heading3"/>
    <w:uiPriority w:val="9"/>
    <w:rsid w:val="001408C1"/>
    <w:rPr>
      <w:rFonts w:ascii="Arial" w:eastAsiaTheme="majorEastAsia" w:hAnsi="Arial" w:cs="Arial"/>
      <w:b/>
      <w:bCs/>
      <w:sz w:val="24"/>
      <w:szCs w:val="24"/>
    </w:rPr>
  </w:style>
  <w:style w:type="paragraph" w:styleId="ListBullet">
    <w:name w:val="List Bullet"/>
    <w:basedOn w:val="Normal"/>
    <w:rsid w:val="00243BC1"/>
    <w:pPr>
      <w:numPr>
        <w:numId w:val="6"/>
      </w:numPr>
      <w:spacing w:after="240" w:line="288" w:lineRule="auto"/>
    </w:pPr>
    <w:rPr>
      <w:rFonts w:ascii="Times New Roman" w:eastAsia="Times New Roman" w:hAnsi="Times New Roman" w:cs="Times New Roman"/>
      <w:sz w:val="24"/>
      <w:szCs w:val="20"/>
      <w:lang w:val="en-GB"/>
    </w:rPr>
  </w:style>
  <w:style w:type="paragraph" w:styleId="NormalWeb">
    <w:name w:val="Normal (Web)"/>
    <w:basedOn w:val="Normal"/>
    <w:uiPriority w:val="99"/>
    <w:unhideWhenUsed/>
    <w:rsid w:val="00E64C0B"/>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character" w:customStyle="1" w:styleId="ListParagraphChar">
    <w:name w:val="List Paragraph Char"/>
    <w:aliases w:val="titulo 5 Char,Párrafo de lista1 Char,MAPA Char,Viñeta Char,TITULO A Char,Cuadro 2-1 Char,paul2 Char,Iz - Párrafo de lista Char,Sivsa Parrafo Char,Titulo de Fígura Char,Fundamentacion Char,Lista vistosa - Énfasis 11 Char,VIÑETAS Char"/>
    <w:basedOn w:val="DefaultParagraphFont"/>
    <w:link w:val="ListParagraph"/>
    <w:uiPriority w:val="34"/>
    <w:rsid w:val="00E64C0B"/>
  </w:style>
  <w:style w:type="paragraph" w:customStyle="1" w:styleId="cea">
    <w:name w:val="cea"/>
    <w:basedOn w:val="Normal"/>
    <w:rsid w:val="00A36C7C"/>
    <w:pPr>
      <w:keepLines/>
      <w:numPr>
        <w:numId w:val="9"/>
      </w:numPr>
      <w:tabs>
        <w:tab w:val="clear" w:pos="360"/>
        <w:tab w:val="num" w:pos="284"/>
      </w:tabs>
      <w:spacing w:before="80" w:after="80" w:line="240" w:lineRule="auto"/>
      <w:ind w:left="284" w:hanging="284"/>
      <w:jc w:val="left"/>
    </w:pPr>
    <w:rPr>
      <w:rFonts w:ascii="Arial" w:eastAsia="Times New Roman" w:hAnsi="Arial" w:cs="Arial"/>
      <w:sz w:val="18"/>
      <w:szCs w:val="18"/>
      <w:lang w:eastAsia="fr-FR"/>
    </w:rPr>
  </w:style>
  <w:style w:type="paragraph" w:styleId="HTMLPreformatted">
    <w:name w:val="HTML Preformatted"/>
    <w:basedOn w:val="Normal"/>
    <w:link w:val="HTMLPreformattedChar"/>
    <w:uiPriority w:val="99"/>
    <w:unhideWhenUsed/>
    <w:rsid w:val="000D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fr-FR"/>
    </w:rPr>
  </w:style>
  <w:style w:type="character" w:customStyle="1" w:styleId="HTMLPreformattedChar">
    <w:name w:val="HTML Preformatted Char"/>
    <w:basedOn w:val="DefaultParagraphFont"/>
    <w:link w:val="HTMLPreformatted"/>
    <w:uiPriority w:val="99"/>
    <w:rsid w:val="000D4947"/>
    <w:rPr>
      <w:rFonts w:ascii="Courier New" w:eastAsia="Times New Roman" w:hAnsi="Courier New" w:cs="Courier New"/>
      <w:sz w:val="20"/>
      <w:szCs w:val="20"/>
      <w:lang w:eastAsia="fr-FR"/>
    </w:rPr>
  </w:style>
  <w:style w:type="paragraph" w:customStyle="1" w:styleId="Chapter">
    <w:name w:val="Chapter"/>
    <w:basedOn w:val="Normal"/>
    <w:next w:val="Normal"/>
    <w:rsid w:val="003058C1"/>
    <w:pPr>
      <w:numPr>
        <w:numId w:val="16"/>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3058C1"/>
    <w:pPr>
      <w:numPr>
        <w:ilvl w:val="1"/>
        <w:numId w:val="16"/>
      </w:numPr>
      <w:tabs>
        <w:tab w:val="clear" w:pos="2448"/>
        <w:tab w:val="num" w:pos="360"/>
        <w:tab w:val="num" w:pos="720"/>
      </w:tabs>
      <w:spacing w:before="120" w:line="240" w:lineRule="auto"/>
      <w:ind w:left="720" w:hanging="720"/>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3058C1"/>
    <w:pPr>
      <w:numPr>
        <w:ilvl w:val="2"/>
        <w:numId w:val="16"/>
      </w:numPr>
      <w:tabs>
        <w:tab w:val="clear" w:pos="2304"/>
        <w:tab w:val="num" w:pos="360"/>
      </w:tabs>
      <w:spacing w:before="120" w:line="240" w:lineRule="auto"/>
      <w:ind w:left="864" w:firstLine="0"/>
      <w:outlineLvl w:val="2"/>
    </w:pPr>
    <w:rPr>
      <w:rFonts w:ascii="Times New Roman" w:eastAsia="Times New Roman" w:hAnsi="Times New Roman" w:cs="Times New Roman"/>
      <w:sz w:val="24"/>
      <w:lang w:val="es-ES_tradnl"/>
    </w:rPr>
  </w:style>
  <w:style w:type="paragraph" w:customStyle="1" w:styleId="SubSubPar">
    <w:name w:val="SubSubPar"/>
    <w:basedOn w:val="subpar"/>
    <w:rsid w:val="003058C1"/>
    <w:pPr>
      <w:numPr>
        <w:ilvl w:val="3"/>
      </w:numPr>
      <w:tabs>
        <w:tab w:val="clear" w:pos="2736"/>
        <w:tab w:val="left" w:pos="0"/>
        <w:tab w:val="num" w:pos="360"/>
        <w:tab w:val="num" w:pos="1296"/>
      </w:tabs>
      <w:ind w:left="1296" w:hanging="340"/>
    </w:pPr>
  </w:style>
  <w:style w:type="paragraph" w:styleId="BodyTextIndent">
    <w:name w:val="Body Text Indent"/>
    <w:basedOn w:val="Normal"/>
    <w:link w:val="BodyTextIndentChar"/>
    <w:uiPriority w:val="99"/>
    <w:semiHidden/>
    <w:unhideWhenUsed/>
    <w:rsid w:val="003058C1"/>
    <w:pPr>
      <w:ind w:left="360"/>
    </w:pPr>
  </w:style>
  <w:style w:type="character" w:customStyle="1" w:styleId="BodyTextIndentChar">
    <w:name w:val="Body Text Indent Char"/>
    <w:basedOn w:val="DefaultParagraphFont"/>
    <w:link w:val="BodyTextIndent"/>
    <w:uiPriority w:val="99"/>
    <w:semiHidden/>
    <w:rsid w:val="003058C1"/>
  </w:style>
  <w:style w:type="paragraph" w:styleId="BodyTextIndent3">
    <w:name w:val="Body Text Indent 3"/>
    <w:basedOn w:val="Normal"/>
    <w:link w:val="BodyTextIndent3Char"/>
    <w:uiPriority w:val="99"/>
    <w:semiHidden/>
    <w:unhideWhenUsed/>
    <w:rsid w:val="003058C1"/>
    <w:pPr>
      <w:ind w:left="360"/>
    </w:pPr>
    <w:rPr>
      <w:sz w:val="16"/>
      <w:szCs w:val="16"/>
    </w:rPr>
  </w:style>
  <w:style w:type="character" w:customStyle="1" w:styleId="BodyTextIndent3Char">
    <w:name w:val="Body Text Indent 3 Char"/>
    <w:basedOn w:val="DefaultParagraphFont"/>
    <w:link w:val="BodyTextIndent3"/>
    <w:uiPriority w:val="99"/>
    <w:semiHidden/>
    <w:rsid w:val="003058C1"/>
    <w:rPr>
      <w:sz w:val="16"/>
      <w:szCs w:val="16"/>
    </w:rPr>
  </w:style>
  <w:style w:type="paragraph" w:customStyle="1" w:styleId="ps">
    <w:name w:val="ps"/>
    <w:basedOn w:val="Normal"/>
    <w:link w:val="psCar"/>
    <w:rsid w:val="0053644B"/>
    <w:pPr>
      <w:keepLines/>
      <w:spacing w:before="240" w:after="0" w:line="240" w:lineRule="auto"/>
    </w:pPr>
    <w:rPr>
      <w:rFonts w:ascii="Verdana" w:eastAsia="Arial Narrow" w:hAnsi="Verdana" w:cs="Arial"/>
      <w:sz w:val="18"/>
      <w:szCs w:val="18"/>
      <w:lang w:val="en-US" w:eastAsia="fr-FR"/>
    </w:rPr>
  </w:style>
  <w:style w:type="character" w:customStyle="1" w:styleId="psCar">
    <w:name w:val="ps Car"/>
    <w:link w:val="ps"/>
    <w:rsid w:val="0053644B"/>
    <w:rPr>
      <w:rFonts w:ascii="Verdana" w:eastAsia="Arial Narrow" w:hAnsi="Verdana" w:cs="Arial"/>
      <w:sz w:val="18"/>
      <w:szCs w:val="18"/>
      <w:lang w:val="en-US" w:eastAsia="fr-FR"/>
    </w:rPr>
  </w:style>
  <w:style w:type="paragraph" w:styleId="Caption">
    <w:name w:val="caption"/>
    <w:basedOn w:val="Normal"/>
    <w:next w:val="ps"/>
    <w:qFormat/>
    <w:rsid w:val="00402044"/>
    <w:pPr>
      <w:spacing w:before="360" w:after="60" w:line="240" w:lineRule="auto"/>
      <w:jc w:val="center"/>
    </w:pPr>
    <w:rPr>
      <w:rFonts w:ascii="Comic Sans MS" w:eastAsia="Times New Roman" w:hAnsi="Comic Sans MS" w:cs="Arial"/>
      <w:i/>
      <w:iCs/>
      <w:sz w:val="18"/>
      <w:szCs w:val="18"/>
      <w:lang w:val="en-US" w:eastAsia="fr-FR"/>
    </w:rPr>
  </w:style>
  <w:style w:type="character" w:customStyle="1" w:styleId="ParagraphChar">
    <w:name w:val="Paragraph Char"/>
    <w:aliases w:val="paragraph Char,p Char,PARAGRAPH Char,PG Char,pa Char,at Char"/>
    <w:link w:val="Paragraph"/>
    <w:locked/>
    <w:rsid w:val="002A71D3"/>
    <w:rPr>
      <w:rFonts w:ascii="Times New Roman" w:eastAsia="Times New Roman" w:hAnsi="Times New Roman" w:cs="Times New Roman"/>
      <w:sz w:val="24"/>
      <w:szCs w:val="20"/>
      <w:lang w:val="es-ES_tradnl"/>
    </w:rPr>
  </w:style>
  <w:style w:type="paragraph" w:customStyle="1" w:styleId="Default">
    <w:name w:val="Default"/>
    <w:rsid w:val="002A71D3"/>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4682">
      <w:bodyDiv w:val="1"/>
      <w:marLeft w:val="0"/>
      <w:marRight w:val="0"/>
      <w:marTop w:val="0"/>
      <w:marBottom w:val="0"/>
      <w:divBdr>
        <w:top w:val="none" w:sz="0" w:space="0" w:color="auto"/>
        <w:left w:val="none" w:sz="0" w:space="0" w:color="auto"/>
        <w:bottom w:val="none" w:sz="0" w:space="0" w:color="auto"/>
        <w:right w:val="none" w:sz="0" w:space="0" w:color="auto"/>
      </w:divBdr>
    </w:div>
    <w:div w:id="48112932">
      <w:bodyDiv w:val="1"/>
      <w:marLeft w:val="0"/>
      <w:marRight w:val="0"/>
      <w:marTop w:val="0"/>
      <w:marBottom w:val="0"/>
      <w:divBdr>
        <w:top w:val="none" w:sz="0" w:space="0" w:color="auto"/>
        <w:left w:val="none" w:sz="0" w:space="0" w:color="auto"/>
        <w:bottom w:val="none" w:sz="0" w:space="0" w:color="auto"/>
        <w:right w:val="none" w:sz="0" w:space="0" w:color="auto"/>
      </w:divBdr>
    </w:div>
    <w:div w:id="56633748">
      <w:bodyDiv w:val="1"/>
      <w:marLeft w:val="0"/>
      <w:marRight w:val="0"/>
      <w:marTop w:val="0"/>
      <w:marBottom w:val="0"/>
      <w:divBdr>
        <w:top w:val="none" w:sz="0" w:space="0" w:color="auto"/>
        <w:left w:val="none" w:sz="0" w:space="0" w:color="auto"/>
        <w:bottom w:val="none" w:sz="0" w:space="0" w:color="auto"/>
        <w:right w:val="none" w:sz="0" w:space="0" w:color="auto"/>
      </w:divBdr>
    </w:div>
    <w:div w:id="248585488">
      <w:bodyDiv w:val="1"/>
      <w:marLeft w:val="0"/>
      <w:marRight w:val="0"/>
      <w:marTop w:val="0"/>
      <w:marBottom w:val="0"/>
      <w:divBdr>
        <w:top w:val="none" w:sz="0" w:space="0" w:color="auto"/>
        <w:left w:val="none" w:sz="0" w:space="0" w:color="auto"/>
        <w:bottom w:val="none" w:sz="0" w:space="0" w:color="auto"/>
        <w:right w:val="none" w:sz="0" w:space="0" w:color="auto"/>
      </w:divBdr>
    </w:div>
    <w:div w:id="262692935">
      <w:bodyDiv w:val="1"/>
      <w:marLeft w:val="0"/>
      <w:marRight w:val="0"/>
      <w:marTop w:val="0"/>
      <w:marBottom w:val="0"/>
      <w:divBdr>
        <w:top w:val="none" w:sz="0" w:space="0" w:color="auto"/>
        <w:left w:val="none" w:sz="0" w:space="0" w:color="auto"/>
        <w:bottom w:val="none" w:sz="0" w:space="0" w:color="auto"/>
        <w:right w:val="none" w:sz="0" w:space="0" w:color="auto"/>
      </w:divBdr>
    </w:div>
    <w:div w:id="283930853">
      <w:bodyDiv w:val="1"/>
      <w:marLeft w:val="0"/>
      <w:marRight w:val="0"/>
      <w:marTop w:val="0"/>
      <w:marBottom w:val="0"/>
      <w:divBdr>
        <w:top w:val="none" w:sz="0" w:space="0" w:color="auto"/>
        <w:left w:val="none" w:sz="0" w:space="0" w:color="auto"/>
        <w:bottom w:val="none" w:sz="0" w:space="0" w:color="auto"/>
        <w:right w:val="none" w:sz="0" w:space="0" w:color="auto"/>
      </w:divBdr>
    </w:div>
    <w:div w:id="349264361">
      <w:bodyDiv w:val="1"/>
      <w:marLeft w:val="0"/>
      <w:marRight w:val="0"/>
      <w:marTop w:val="0"/>
      <w:marBottom w:val="0"/>
      <w:divBdr>
        <w:top w:val="none" w:sz="0" w:space="0" w:color="auto"/>
        <w:left w:val="none" w:sz="0" w:space="0" w:color="auto"/>
        <w:bottom w:val="none" w:sz="0" w:space="0" w:color="auto"/>
        <w:right w:val="none" w:sz="0" w:space="0" w:color="auto"/>
      </w:divBdr>
    </w:div>
    <w:div w:id="541864309">
      <w:bodyDiv w:val="1"/>
      <w:marLeft w:val="0"/>
      <w:marRight w:val="0"/>
      <w:marTop w:val="0"/>
      <w:marBottom w:val="0"/>
      <w:divBdr>
        <w:top w:val="none" w:sz="0" w:space="0" w:color="auto"/>
        <w:left w:val="none" w:sz="0" w:space="0" w:color="auto"/>
        <w:bottom w:val="none" w:sz="0" w:space="0" w:color="auto"/>
        <w:right w:val="none" w:sz="0" w:space="0" w:color="auto"/>
      </w:divBdr>
    </w:div>
    <w:div w:id="768696951">
      <w:bodyDiv w:val="1"/>
      <w:marLeft w:val="0"/>
      <w:marRight w:val="0"/>
      <w:marTop w:val="0"/>
      <w:marBottom w:val="0"/>
      <w:divBdr>
        <w:top w:val="none" w:sz="0" w:space="0" w:color="auto"/>
        <w:left w:val="none" w:sz="0" w:space="0" w:color="auto"/>
        <w:bottom w:val="none" w:sz="0" w:space="0" w:color="auto"/>
        <w:right w:val="none" w:sz="0" w:space="0" w:color="auto"/>
      </w:divBdr>
    </w:div>
    <w:div w:id="799882394">
      <w:bodyDiv w:val="1"/>
      <w:marLeft w:val="0"/>
      <w:marRight w:val="0"/>
      <w:marTop w:val="0"/>
      <w:marBottom w:val="0"/>
      <w:divBdr>
        <w:top w:val="none" w:sz="0" w:space="0" w:color="auto"/>
        <w:left w:val="none" w:sz="0" w:space="0" w:color="auto"/>
        <w:bottom w:val="none" w:sz="0" w:space="0" w:color="auto"/>
        <w:right w:val="none" w:sz="0" w:space="0" w:color="auto"/>
      </w:divBdr>
    </w:div>
    <w:div w:id="1122651945">
      <w:bodyDiv w:val="1"/>
      <w:marLeft w:val="0"/>
      <w:marRight w:val="0"/>
      <w:marTop w:val="0"/>
      <w:marBottom w:val="0"/>
      <w:divBdr>
        <w:top w:val="none" w:sz="0" w:space="0" w:color="auto"/>
        <w:left w:val="none" w:sz="0" w:space="0" w:color="auto"/>
        <w:bottom w:val="none" w:sz="0" w:space="0" w:color="auto"/>
        <w:right w:val="none" w:sz="0" w:space="0" w:color="auto"/>
      </w:divBdr>
    </w:div>
    <w:div w:id="1183132862">
      <w:bodyDiv w:val="1"/>
      <w:marLeft w:val="0"/>
      <w:marRight w:val="0"/>
      <w:marTop w:val="0"/>
      <w:marBottom w:val="0"/>
      <w:divBdr>
        <w:top w:val="none" w:sz="0" w:space="0" w:color="auto"/>
        <w:left w:val="none" w:sz="0" w:space="0" w:color="auto"/>
        <w:bottom w:val="none" w:sz="0" w:space="0" w:color="auto"/>
        <w:right w:val="none" w:sz="0" w:space="0" w:color="auto"/>
      </w:divBdr>
    </w:div>
    <w:div w:id="1207336670">
      <w:bodyDiv w:val="1"/>
      <w:marLeft w:val="0"/>
      <w:marRight w:val="0"/>
      <w:marTop w:val="0"/>
      <w:marBottom w:val="0"/>
      <w:divBdr>
        <w:top w:val="none" w:sz="0" w:space="0" w:color="auto"/>
        <w:left w:val="none" w:sz="0" w:space="0" w:color="auto"/>
        <w:bottom w:val="none" w:sz="0" w:space="0" w:color="auto"/>
        <w:right w:val="none" w:sz="0" w:space="0" w:color="auto"/>
      </w:divBdr>
    </w:div>
    <w:div w:id="1223373416">
      <w:bodyDiv w:val="1"/>
      <w:marLeft w:val="0"/>
      <w:marRight w:val="0"/>
      <w:marTop w:val="0"/>
      <w:marBottom w:val="0"/>
      <w:divBdr>
        <w:top w:val="none" w:sz="0" w:space="0" w:color="auto"/>
        <w:left w:val="none" w:sz="0" w:space="0" w:color="auto"/>
        <w:bottom w:val="none" w:sz="0" w:space="0" w:color="auto"/>
        <w:right w:val="none" w:sz="0" w:space="0" w:color="auto"/>
      </w:divBdr>
    </w:div>
    <w:div w:id="1431508731">
      <w:bodyDiv w:val="1"/>
      <w:marLeft w:val="0"/>
      <w:marRight w:val="0"/>
      <w:marTop w:val="0"/>
      <w:marBottom w:val="0"/>
      <w:divBdr>
        <w:top w:val="none" w:sz="0" w:space="0" w:color="auto"/>
        <w:left w:val="none" w:sz="0" w:space="0" w:color="auto"/>
        <w:bottom w:val="none" w:sz="0" w:space="0" w:color="auto"/>
        <w:right w:val="none" w:sz="0" w:space="0" w:color="auto"/>
      </w:divBdr>
    </w:div>
    <w:div w:id="1492328937">
      <w:bodyDiv w:val="1"/>
      <w:marLeft w:val="0"/>
      <w:marRight w:val="0"/>
      <w:marTop w:val="0"/>
      <w:marBottom w:val="0"/>
      <w:divBdr>
        <w:top w:val="none" w:sz="0" w:space="0" w:color="auto"/>
        <w:left w:val="none" w:sz="0" w:space="0" w:color="auto"/>
        <w:bottom w:val="none" w:sz="0" w:space="0" w:color="auto"/>
        <w:right w:val="none" w:sz="0" w:space="0" w:color="auto"/>
      </w:divBdr>
    </w:div>
    <w:div w:id="1592205713">
      <w:bodyDiv w:val="1"/>
      <w:marLeft w:val="0"/>
      <w:marRight w:val="0"/>
      <w:marTop w:val="0"/>
      <w:marBottom w:val="0"/>
      <w:divBdr>
        <w:top w:val="none" w:sz="0" w:space="0" w:color="auto"/>
        <w:left w:val="none" w:sz="0" w:space="0" w:color="auto"/>
        <w:bottom w:val="none" w:sz="0" w:space="0" w:color="auto"/>
        <w:right w:val="none" w:sz="0" w:space="0" w:color="auto"/>
      </w:divBdr>
    </w:div>
    <w:div w:id="1720125945">
      <w:bodyDiv w:val="1"/>
      <w:marLeft w:val="0"/>
      <w:marRight w:val="0"/>
      <w:marTop w:val="0"/>
      <w:marBottom w:val="0"/>
      <w:divBdr>
        <w:top w:val="none" w:sz="0" w:space="0" w:color="auto"/>
        <w:left w:val="none" w:sz="0" w:space="0" w:color="auto"/>
        <w:bottom w:val="none" w:sz="0" w:space="0" w:color="auto"/>
        <w:right w:val="none" w:sz="0" w:space="0" w:color="auto"/>
      </w:divBdr>
    </w:div>
    <w:div w:id="1859346556">
      <w:bodyDiv w:val="1"/>
      <w:marLeft w:val="0"/>
      <w:marRight w:val="0"/>
      <w:marTop w:val="0"/>
      <w:marBottom w:val="0"/>
      <w:divBdr>
        <w:top w:val="none" w:sz="0" w:space="0" w:color="auto"/>
        <w:left w:val="none" w:sz="0" w:space="0" w:color="auto"/>
        <w:bottom w:val="none" w:sz="0" w:space="0" w:color="auto"/>
        <w:right w:val="none" w:sz="0" w:space="0" w:color="auto"/>
      </w:divBdr>
    </w:div>
    <w:div w:id="194353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5.emf"/><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 Id="rId22" Type="http://schemas.openxmlformats.org/officeDocument/2006/relationships/customXml" Target="../customXml/item8.xml"/></Relationships>
</file>

<file path=word/charts/_rels/chart1.xml.rels><?xml version="1.0" encoding="UTF-8" standalone="yes"?>
<Relationships xmlns="http://schemas.openxmlformats.org/package/2006/relationships"><Relationship Id="rId1" Type="http://schemas.openxmlformats.org/officeDocument/2006/relationships/oleObject" Target="file:///D:\Users\fhamade\Documents\SYNO-IREEDD\1_Production_1\02_Affaires\AI018_Haiti_Water%20Finance\4_Production\4_Livrable_2\Fady\Donnees%20Budget%202011-2016_FH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84443706912558"/>
          <c:y val="6.9948532969691904E-2"/>
          <c:w val="0.46209201004686756"/>
          <c:h val="0.86739072420416763"/>
        </c:manualLayout>
      </c:layout>
      <c:doughnutChart>
        <c:varyColors val="1"/>
        <c:ser>
          <c:idx val="0"/>
          <c:order val="0"/>
          <c:tx>
            <c:strRef>
              <c:f>'Rep budget 11-16'!$F$18</c:f>
              <c:strCache>
                <c:ptCount val="1"/>
                <c:pt idx="0">
                  <c:v>2014-2015</c:v>
                </c:pt>
              </c:strCache>
            </c:strRef>
          </c:tx>
          <c:dLbls>
            <c:dLbl>
              <c:idx val="0"/>
              <c:layout>
                <c:manualLayout>
                  <c:x val="-0.18613623288552694"/>
                  <c:y val="0.11031742983346479"/>
                </c:manualLayout>
              </c:layout>
              <c:tx>
                <c:rich>
                  <a:bodyPr/>
                  <a:lstStyle/>
                  <a:p>
                    <a:r>
                      <a:rPr lang="en-US"/>
                      <a:t>Trésor Public;  113,56 HTG ; </a:t>
                    </a:r>
                  </a:p>
                  <a:p>
                    <a:r>
                      <a:rPr lang="en-US"/>
                      <a:t>2%</a:t>
                    </a:r>
                  </a:p>
                </c:rich>
              </c:tx>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9188-4EF3-A622-978FF3802D68}"/>
                </c:ext>
              </c:extLst>
            </c:dLbl>
            <c:dLbl>
              <c:idx val="1"/>
              <c:layout>
                <c:manualLayout>
                  <c:x val="-0.16957885504046299"/>
                  <c:y val="-1.4781201130346517E-2"/>
                </c:manualLayout>
              </c:layout>
              <c:tx>
                <c:rich>
                  <a:bodyPr/>
                  <a:lstStyle/>
                  <a:p>
                    <a:r>
                      <a:rPr lang="en-US"/>
                      <a:t>Fonds Propres ;  516,78 HTG ; </a:t>
                    </a:r>
                  </a:p>
                  <a:p>
                    <a:r>
                      <a:rPr lang="en-US"/>
                      <a:t>11%</a:t>
                    </a:r>
                  </a:p>
                </c:rich>
              </c:tx>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188-4EF3-A622-978FF3802D68}"/>
                </c:ext>
              </c:extLst>
            </c:dLbl>
            <c:dLbl>
              <c:idx val="2"/>
              <c:layout>
                <c:manualLayout>
                  <c:x val="0.1017638196281322"/>
                  <c:y val="-0.28246993516054802"/>
                </c:manualLayout>
              </c:layout>
              <c:tx>
                <c:rich>
                  <a:bodyPr/>
                  <a:lstStyle/>
                  <a:p>
                    <a:r>
                      <a:rPr lang="en-US"/>
                      <a:t>Coopération  Internationale;  </a:t>
                    </a:r>
                  </a:p>
                  <a:p>
                    <a:r>
                      <a:rPr lang="en-US"/>
                      <a:t>4 034,72 HTG ; 87%</a:t>
                    </a:r>
                  </a:p>
                </c:rich>
              </c:tx>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9188-4EF3-A622-978FF3802D68}"/>
                </c:ext>
              </c:extLst>
            </c:dLbl>
            <c:dLbl>
              <c:idx val="3"/>
              <c:layout>
                <c:manualLayout>
                  <c:x val="-0.15237452312609001"/>
                  <c:y val="-4.4692737430168543E-2"/>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188-4EF3-A622-978FF3802D68}"/>
                </c:ext>
              </c:extLst>
            </c:dLbl>
            <c:dLbl>
              <c:idx val="4"/>
              <c:layout>
                <c:manualLayout>
                  <c:x val="-0.13375638455250011"/>
                  <c:y val="-0.10428305400372442"/>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9188-4EF3-A622-978FF3802D68}"/>
                </c:ext>
              </c:extLst>
            </c:dLbl>
            <c:dLbl>
              <c:idx val="5"/>
              <c:layout>
                <c:manualLayout>
                  <c:x val="-9.6801945936907247E-2"/>
                  <c:y val="-0.13780260707635009"/>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188-4EF3-A622-978FF3802D68}"/>
                </c:ext>
              </c:extLst>
            </c:dLbl>
            <c:dLbl>
              <c:idx val="6"/>
              <c:layout>
                <c:manualLayout>
                  <c:x val="-2.65137128931211E-2"/>
                  <c:y val="-0.13780260707635009"/>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6-9188-4EF3-A622-978FF3802D68}"/>
                </c:ext>
              </c:extLst>
            </c:dLbl>
            <c:dLbl>
              <c:idx val="7"/>
              <c:layout>
                <c:manualLayout>
                  <c:x val="0.10260184623768304"/>
                  <c:y val="-0.11545623836126674"/>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9188-4EF3-A622-978FF3802D68}"/>
                </c:ext>
              </c:extLst>
            </c:dLbl>
            <c:dLbl>
              <c:idx val="8"/>
              <c:layout>
                <c:manualLayout>
                  <c:x val="1.4453475811980398E-2"/>
                  <c:y val="-0.10055865921787698"/>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8-9188-4EF3-A622-978FF3802D68}"/>
                </c:ext>
              </c:extLst>
            </c:dLbl>
            <c:dLbl>
              <c:idx val="9"/>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9188-4EF3-A622-978FF3802D68}"/>
                </c:ext>
              </c:extLst>
            </c:dLbl>
            <c:dLbl>
              <c:idx val="10"/>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A-9188-4EF3-A622-978FF3802D68}"/>
                </c:ext>
              </c:extLst>
            </c:dLbl>
            <c:dLbl>
              <c:idx val="11"/>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9188-4EF3-A622-978FF3802D68}"/>
                </c:ext>
              </c:extLst>
            </c:dLbl>
            <c:spPr>
              <a:noFill/>
              <a:ln>
                <a:noFill/>
              </a:ln>
              <a:effectLst/>
            </c:spPr>
            <c:txPr>
              <a:bodyPr/>
              <a:lstStyle/>
              <a:p>
                <a:pPr>
                  <a:defRPr sz="800"/>
                </a:pPr>
                <a:endParaRPr lang="en-US"/>
              </a:p>
            </c:txPr>
            <c:showLegendKey val="1"/>
            <c:showVal val="1"/>
            <c:showCatName val="1"/>
            <c:showSerName val="0"/>
            <c:showPercent val="1"/>
            <c:showBubbleSize val="0"/>
            <c:showLeaderLines val="1"/>
            <c:extLst>
              <c:ext xmlns:c15="http://schemas.microsoft.com/office/drawing/2012/chart" uri="{CE6537A1-D6FC-4f65-9D91-7224C49458BB}"/>
            </c:extLst>
          </c:dLbls>
          <c:cat>
            <c:strRef>
              <c:f>'Rep budget 11-16'!$B$7:$B$10</c:f>
              <c:strCache>
                <c:ptCount val="3"/>
                <c:pt idx="0">
                  <c:v>Trésor Public</c:v>
                </c:pt>
                <c:pt idx="1">
                  <c:v>Fonds Propres </c:v>
                </c:pt>
                <c:pt idx="2">
                  <c:v>Coopération  Internationale</c:v>
                </c:pt>
              </c:strCache>
            </c:strRef>
          </c:cat>
          <c:val>
            <c:numRef>
              <c:f>'Rep budget 11-16'!$G$7:$G$10</c:f>
              <c:numCache>
                <c:formatCode>_-* #,##0.00\ [$HTG]_-;\-* #,##0.00\ [$HTG]_-;_-* "-"??\ [$HTG]_-;_-@_-</c:formatCode>
                <c:ptCount val="3"/>
                <c:pt idx="0">
                  <c:v>113.559011</c:v>
                </c:pt>
                <c:pt idx="1">
                  <c:v>516.78211239999996</c:v>
                </c:pt>
                <c:pt idx="2">
                  <c:v>4034.7164291999838</c:v>
                </c:pt>
              </c:numCache>
            </c:numRef>
          </c:val>
          <c:extLst>
            <c:ext xmlns:c16="http://schemas.microsoft.com/office/drawing/2014/chart" uri="{C3380CC4-5D6E-409C-BE32-E72D297353CC}">
              <c16:uniqueId val="{0000000C-9188-4EF3-A622-978FF3802D68}"/>
            </c:ext>
          </c:extLst>
        </c:ser>
        <c:dLbls>
          <c:showLegendKey val="0"/>
          <c:showVal val="1"/>
          <c:showCatName val="0"/>
          <c:showSerName val="0"/>
          <c:showPercent val="0"/>
          <c:showBubbleSize val="0"/>
          <c:showLeaderLines val="1"/>
        </c:dLbls>
        <c:firstSliceAng val="242"/>
        <c:holeSize val="50"/>
      </c:doughnutChart>
    </c:plotArea>
    <c:legend>
      <c:legendPos val="r"/>
      <c:layout>
        <c:manualLayout>
          <c:xMode val="edge"/>
          <c:yMode val="edge"/>
          <c:x val="0.77410530565942293"/>
          <c:y val="0.37398666630086835"/>
          <c:w val="0.21048043926985791"/>
          <c:h val="0.44714861861779476"/>
        </c:manualLayout>
      </c:layout>
      <c:overlay val="0"/>
      <c:txPr>
        <a:bodyPr/>
        <a:lstStyle/>
        <a:p>
          <a:pPr>
            <a:defRPr sz="800"/>
          </a:pPr>
          <a:endParaRPr lang="en-US"/>
        </a:p>
      </c:txPr>
    </c:legend>
    <c:plotVisOnly val="1"/>
    <c:dispBlanksAs val="zero"/>
    <c:showDLblsOverMax val="0"/>
  </c:chart>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FA0FCDC4B7A704DB8CCF74BBB13A646" ma:contentTypeVersion="667" ma:contentTypeDescription="A content type to manage public (operations) IDB documents" ma:contentTypeScope="" ma:versionID="1eb170e7dd10e726d98fa9bba2b6f8fa">
  <xsd:schema xmlns:xsd="http://www.w3.org/2001/XMLSchema" xmlns:xs="http://www.w3.org/2001/XMLSchema" xmlns:p="http://schemas.microsoft.com/office/2006/metadata/properties" xmlns:ns2="cdc7663a-08f0-4737-9e8c-148ce897a09c" targetNamespace="http://schemas.microsoft.com/office/2006/metadata/properties" ma:root="true" ma:fieldsID="afd2a3c3b6fe1c8fd7997da0d4367e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3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Cartin Barrios, Irene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251</Value>
      <Value>101</Value>
      <Value>83</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HA-L1135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R0002900216</Record_x0020_Number>
    <_dlc_DocId xmlns="cdc7663a-08f0-4737-9e8c-148ce897a09c">EZSHARE-761198370-16</_dlc_DocId>
    <_dlc_DocIdUrl xmlns="cdc7663a-08f0-4737-9e8c-148ce897a09c">
      <Url>https://idbg.sharepoint.com/teams/EZ-HA-LON/HA-L1135/_layouts/15/DocIdRedir.aspx?ID=EZSHARE-761198370-16</Url>
      <Description>EZSHARE-761198370-16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F2D3A8A-6386-4C81-9827-FE4A474807F2}">
  <ds:schemaRefs>
    <ds:schemaRef ds:uri="http://schemas.openxmlformats.org/officeDocument/2006/bibliography"/>
  </ds:schemaRefs>
</ds:datastoreItem>
</file>

<file path=customXml/itemProps2.xml><?xml version="1.0" encoding="utf-8"?>
<ds:datastoreItem xmlns:ds="http://schemas.openxmlformats.org/officeDocument/2006/customXml" ds:itemID="{CFBDE3FA-981A-4AA7-BB4D-8B19C5D88A40}"/>
</file>

<file path=customXml/itemProps3.xml><?xml version="1.0" encoding="utf-8"?>
<ds:datastoreItem xmlns:ds="http://schemas.openxmlformats.org/officeDocument/2006/customXml" ds:itemID="{6E5B5856-48E6-409E-A688-C7F8E520DB14}"/>
</file>

<file path=customXml/itemProps4.xml><?xml version="1.0" encoding="utf-8"?>
<ds:datastoreItem xmlns:ds="http://schemas.openxmlformats.org/officeDocument/2006/customXml" ds:itemID="{9F6CCCDC-75DD-4978-A788-1E2CC1691F2C}"/>
</file>

<file path=customXml/itemProps5.xml><?xml version="1.0" encoding="utf-8"?>
<ds:datastoreItem xmlns:ds="http://schemas.openxmlformats.org/officeDocument/2006/customXml" ds:itemID="{CF5B4F8F-E0B6-4758-A57A-5B4ED0A5CEFE}"/>
</file>

<file path=customXml/itemProps6.xml><?xml version="1.0" encoding="utf-8"?>
<ds:datastoreItem xmlns:ds="http://schemas.openxmlformats.org/officeDocument/2006/customXml" ds:itemID="{90D6C7AA-B658-4BA1-BCB5-878156AAC3DD}"/>
</file>

<file path=customXml/itemProps7.xml><?xml version="1.0" encoding="utf-8"?>
<ds:datastoreItem xmlns:ds="http://schemas.openxmlformats.org/officeDocument/2006/customXml" ds:itemID="{B0F26803-E783-4C8B-9234-D0309BC0E90D}"/>
</file>

<file path=customXml/itemProps8.xml><?xml version="1.0" encoding="utf-8"?>
<ds:datastoreItem xmlns:ds="http://schemas.openxmlformats.org/officeDocument/2006/customXml" ds:itemID="{FBFB32EB-D9B2-4D61-AD7D-51937DED6B3E}"/>
</file>

<file path=docProps/app.xml><?xml version="1.0" encoding="utf-8"?>
<Properties xmlns="http://schemas.openxmlformats.org/officeDocument/2006/extended-properties" xmlns:vt="http://schemas.openxmlformats.org/officeDocument/2006/docPropsVTypes">
  <Template>Normal</Template>
  <TotalTime>1</TotalTime>
  <Pages>23</Pages>
  <Words>5995</Words>
  <Characters>34176</Characters>
  <Application>Microsoft Office Word</Application>
  <DocSecurity>0</DocSecurity>
  <Lines>284</Lines>
  <Paragraphs>80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pezet</dc:creator>
  <cp:keywords/>
  <dc:description/>
  <cp:lastModifiedBy>Rodriguez Vera, Maria</cp:lastModifiedBy>
  <cp:revision>2</cp:revision>
  <dcterms:created xsi:type="dcterms:W3CDTF">2018-10-15T15:01:00Z</dcterms:created>
  <dcterms:modified xsi:type="dcterms:W3CDTF">2018-10-15T15:01:00Z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101;#WATER SUPPLY URBAN|28df1b5d-8f50-49f8-b50a-8bcbae67d2a4</vt:lpwstr>
  </property>
  <property fmtid="{D5CDD505-2E9C-101B-9397-08002B2CF9AE}" pid="7" name="Fund IDB">
    <vt:lpwstr>251;#ORC|c028a4b2-ad8b-4cf4-9cac-a2ae6a778e23</vt:lpwstr>
  </property>
  <property fmtid="{D5CDD505-2E9C-101B-9397-08002B2CF9AE}" pid="8" name="Country">
    <vt:lpwstr>42;#Haiti|77a11ace-c854-4e9c-9e19-c924bca0dd43</vt:lpwstr>
  </property>
  <property fmtid="{D5CDD505-2E9C-101B-9397-08002B2CF9AE}" pid="9" name="Sector IDB">
    <vt:lpwstr>83;#WATER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d3ea87ad-306c-45e7-8280-30673986d8ae</vt:lpwstr>
  </property>
  <property fmtid="{D5CDD505-2E9C-101B-9397-08002B2CF9AE}" pid="12" name="ContentTypeId">
    <vt:lpwstr>0x0101001A458A224826124E8B45B1D613300CFC005FA0FCDC4B7A704DB8CCF74BBB13A646</vt:lpwstr>
  </property>
</Properties>
</file>