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CC180" w14:textId="79AE9C36" w:rsidR="00151FC8" w:rsidRPr="005B5D7C" w:rsidRDefault="004925B6" w:rsidP="001B48E1">
      <w:pPr>
        <w:jc w:val="center"/>
        <w:rPr>
          <w:rFonts w:ascii="Arial" w:hAnsi="Arial" w:cs="Arial"/>
          <w:b/>
          <w:sz w:val="22"/>
          <w:szCs w:val="22"/>
          <w:lang w:val="es-ES"/>
        </w:rPr>
      </w:pPr>
      <w:r w:rsidRPr="005B5D7C">
        <w:rPr>
          <w:rFonts w:ascii="Arial" w:hAnsi="Arial" w:cs="Arial"/>
          <w:b/>
          <w:sz w:val="22"/>
          <w:szCs w:val="22"/>
          <w:lang w:val="es-ES"/>
        </w:rPr>
        <w:t>PROYECTO DE AGUA</w:t>
      </w:r>
      <w:r w:rsidR="005D0059">
        <w:rPr>
          <w:rFonts w:ascii="Arial" w:hAnsi="Arial" w:cs="Arial"/>
          <w:b/>
          <w:sz w:val="22"/>
          <w:szCs w:val="22"/>
          <w:lang w:val="es-ES"/>
        </w:rPr>
        <w:t>,</w:t>
      </w:r>
      <w:r w:rsidR="00EC14D4">
        <w:rPr>
          <w:rFonts w:ascii="Arial" w:hAnsi="Arial" w:cs="Arial"/>
          <w:b/>
          <w:sz w:val="22"/>
          <w:szCs w:val="22"/>
          <w:lang w:val="es-ES"/>
        </w:rPr>
        <w:t xml:space="preserve"> </w:t>
      </w:r>
      <w:r w:rsidR="005D0059">
        <w:rPr>
          <w:rFonts w:ascii="Arial" w:hAnsi="Arial" w:cs="Arial"/>
          <w:b/>
          <w:sz w:val="22"/>
          <w:szCs w:val="22"/>
          <w:lang w:val="es-ES"/>
        </w:rPr>
        <w:t>SANEAMIENTO E HIGIENE EN EL GRAN NORTE DE HAITI</w:t>
      </w:r>
      <w:r w:rsidR="00674C8B" w:rsidRPr="005B5D7C">
        <w:rPr>
          <w:rFonts w:ascii="Arial" w:hAnsi="Arial" w:cs="Arial"/>
          <w:b/>
          <w:sz w:val="22"/>
          <w:szCs w:val="22"/>
          <w:lang w:val="es-ES"/>
        </w:rPr>
        <w:t xml:space="preserve"> </w:t>
      </w:r>
      <w:r w:rsidR="005B5D7C" w:rsidRPr="005B5D7C">
        <w:rPr>
          <w:rFonts w:ascii="Arial" w:hAnsi="Arial" w:cs="Arial"/>
          <w:b/>
          <w:sz w:val="22"/>
          <w:szCs w:val="22"/>
          <w:lang w:val="es-ES"/>
        </w:rPr>
        <w:br/>
      </w:r>
      <w:r w:rsidR="001B48E1" w:rsidRPr="005B5D7C">
        <w:rPr>
          <w:rFonts w:ascii="Arial" w:hAnsi="Arial" w:cs="Arial"/>
          <w:b/>
          <w:sz w:val="22"/>
          <w:szCs w:val="22"/>
          <w:lang w:val="es-ES"/>
        </w:rPr>
        <w:t>(</w:t>
      </w:r>
      <w:r w:rsidRPr="005B5D7C">
        <w:rPr>
          <w:rFonts w:ascii="Arial" w:hAnsi="Arial" w:cs="Arial"/>
          <w:b/>
          <w:sz w:val="22"/>
          <w:szCs w:val="22"/>
          <w:lang w:val="es-ES"/>
        </w:rPr>
        <w:t>HA</w:t>
      </w:r>
      <w:r w:rsidR="00687999" w:rsidRPr="005B5D7C">
        <w:rPr>
          <w:rFonts w:ascii="Arial" w:hAnsi="Arial" w:cs="Arial"/>
          <w:b/>
          <w:sz w:val="22"/>
          <w:szCs w:val="22"/>
          <w:lang w:val="es-ES"/>
        </w:rPr>
        <w:t>-L1</w:t>
      </w:r>
      <w:r w:rsidRPr="005B5D7C">
        <w:rPr>
          <w:rFonts w:ascii="Arial" w:hAnsi="Arial" w:cs="Arial"/>
          <w:b/>
          <w:sz w:val="22"/>
          <w:szCs w:val="22"/>
          <w:lang w:val="es-ES"/>
        </w:rPr>
        <w:t>1</w:t>
      </w:r>
      <w:r w:rsidR="005D0059">
        <w:rPr>
          <w:rFonts w:ascii="Arial" w:hAnsi="Arial" w:cs="Arial"/>
          <w:b/>
          <w:sz w:val="22"/>
          <w:szCs w:val="22"/>
          <w:lang w:val="es-ES"/>
        </w:rPr>
        <w:t>35</w:t>
      </w:r>
      <w:r w:rsidR="00687999" w:rsidRPr="005B5D7C">
        <w:rPr>
          <w:rFonts w:ascii="Arial" w:hAnsi="Arial" w:cs="Arial"/>
          <w:b/>
          <w:sz w:val="22"/>
          <w:szCs w:val="22"/>
          <w:lang w:val="es-ES"/>
        </w:rPr>
        <w:t xml:space="preserve">) </w:t>
      </w:r>
    </w:p>
    <w:p w14:paraId="2CA835D3" w14:textId="55E7EFF7" w:rsidR="001B48E1" w:rsidRPr="005B5D7C" w:rsidRDefault="00151FC8" w:rsidP="001B48E1">
      <w:pPr>
        <w:jc w:val="center"/>
        <w:rPr>
          <w:rFonts w:ascii="Arial" w:hAnsi="Arial" w:cs="Arial"/>
          <w:b/>
          <w:sz w:val="22"/>
          <w:szCs w:val="22"/>
          <w:lang w:val="es-ES"/>
        </w:rPr>
      </w:pPr>
      <w:r w:rsidRPr="005B5D7C">
        <w:rPr>
          <w:rFonts w:ascii="Arial" w:hAnsi="Arial" w:cs="Arial"/>
          <w:b/>
          <w:sz w:val="22"/>
          <w:szCs w:val="22"/>
          <w:lang w:val="es-ES"/>
        </w:rPr>
        <w:t>C</w:t>
      </w:r>
      <w:r w:rsidR="00152894" w:rsidRPr="005B5D7C">
        <w:rPr>
          <w:rFonts w:ascii="Arial" w:hAnsi="Arial" w:cs="Arial"/>
          <w:b/>
          <w:sz w:val="22"/>
          <w:szCs w:val="22"/>
          <w:lang w:val="es-ES"/>
        </w:rPr>
        <w:t>umplimiento con la Política de Servicios Públicos</w:t>
      </w:r>
      <w:r w:rsidR="00687999" w:rsidRPr="005B5D7C">
        <w:rPr>
          <w:rFonts w:ascii="Arial" w:hAnsi="Arial" w:cs="Arial"/>
          <w:b/>
          <w:sz w:val="22"/>
          <w:szCs w:val="22"/>
          <w:lang w:val="es-ES"/>
        </w:rPr>
        <w:t xml:space="preserve"> (GN-2716-6)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2968"/>
        <w:gridCol w:w="3691"/>
      </w:tblGrid>
      <w:tr w:rsidR="00581254" w:rsidRPr="005B5D7C" w14:paraId="6075E9F7" w14:textId="77777777" w:rsidTr="00027AFD">
        <w:trPr>
          <w:trHeight w:val="233"/>
          <w:jc w:val="center"/>
        </w:trPr>
        <w:tc>
          <w:tcPr>
            <w:tcW w:w="1998" w:type="dxa"/>
            <w:shd w:val="clear" w:color="auto" w:fill="C0C0C0"/>
          </w:tcPr>
          <w:p w14:paraId="5CD71920" w14:textId="0F0882AB" w:rsidR="00581254" w:rsidRPr="005B5D7C" w:rsidRDefault="00581254" w:rsidP="00027AFD">
            <w:pPr>
              <w:jc w:val="center"/>
              <w:rPr>
                <w:rFonts w:ascii="Arial" w:hAnsi="Arial" w:cs="Arial"/>
                <w:b/>
                <w:sz w:val="20"/>
                <w:szCs w:val="20"/>
                <w:lang w:val="es-ES"/>
              </w:rPr>
            </w:pPr>
            <w:r w:rsidRPr="005B5D7C">
              <w:rPr>
                <w:rFonts w:ascii="Arial" w:hAnsi="Arial" w:cs="Arial"/>
                <w:b/>
                <w:sz w:val="20"/>
                <w:szCs w:val="20"/>
                <w:lang w:val="es-ES"/>
              </w:rPr>
              <w:t>Condi</w:t>
            </w:r>
            <w:r w:rsidR="00610582" w:rsidRPr="005B5D7C">
              <w:rPr>
                <w:rFonts w:ascii="Arial" w:hAnsi="Arial" w:cs="Arial"/>
                <w:b/>
                <w:sz w:val="20"/>
                <w:szCs w:val="20"/>
                <w:lang w:val="es-ES"/>
              </w:rPr>
              <w:t>ciones</w:t>
            </w:r>
          </w:p>
        </w:tc>
        <w:tc>
          <w:tcPr>
            <w:tcW w:w="3042" w:type="dxa"/>
            <w:shd w:val="clear" w:color="auto" w:fill="C0C0C0"/>
          </w:tcPr>
          <w:p w14:paraId="42EBDAE8" w14:textId="75683BEF" w:rsidR="00581254" w:rsidRPr="005B5D7C" w:rsidRDefault="00581254" w:rsidP="00027AFD">
            <w:pPr>
              <w:jc w:val="center"/>
              <w:rPr>
                <w:rFonts w:ascii="Arial" w:hAnsi="Arial" w:cs="Arial"/>
                <w:b/>
                <w:sz w:val="20"/>
                <w:szCs w:val="20"/>
                <w:lang w:val="es-ES"/>
              </w:rPr>
            </w:pPr>
            <w:r w:rsidRPr="005B5D7C">
              <w:rPr>
                <w:rFonts w:ascii="Arial" w:hAnsi="Arial" w:cs="Arial"/>
                <w:b/>
                <w:sz w:val="20"/>
                <w:szCs w:val="20"/>
                <w:lang w:val="es-ES"/>
              </w:rPr>
              <w:t>Descrip</w:t>
            </w:r>
            <w:r w:rsidR="00610582" w:rsidRPr="005B5D7C">
              <w:rPr>
                <w:rFonts w:ascii="Arial" w:hAnsi="Arial" w:cs="Arial"/>
                <w:b/>
                <w:sz w:val="20"/>
                <w:szCs w:val="20"/>
                <w:lang w:val="es-ES"/>
              </w:rPr>
              <w:t>ción</w:t>
            </w:r>
          </w:p>
        </w:tc>
        <w:tc>
          <w:tcPr>
            <w:tcW w:w="3816" w:type="dxa"/>
            <w:shd w:val="clear" w:color="auto" w:fill="C0C0C0"/>
          </w:tcPr>
          <w:p w14:paraId="6D39E0E7" w14:textId="753D19E7" w:rsidR="00581254" w:rsidRPr="005B5D7C" w:rsidRDefault="00581254" w:rsidP="00027AFD">
            <w:pPr>
              <w:jc w:val="center"/>
              <w:rPr>
                <w:rFonts w:ascii="Arial" w:hAnsi="Arial" w:cs="Arial"/>
                <w:b/>
                <w:sz w:val="20"/>
                <w:szCs w:val="20"/>
                <w:lang w:val="es-ES"/>
              </w:rPr>
            </w:pPr>
            <w:r w:rsidRPr="005B5D7C">
              <w:rPr>
                <w:rFonts w:ascii="Arial" w:hAnsi="Arial" w:cs="Arial"/>
                <w:b/>
                <w:sz w:val="20"/>
                <w:szCs w:val="20"/>
                <w:lang w:val="es-ES"/>
              </w:rPr>
              <w:t>Com</w:t>
            </w:r>
            <w:r w:rsidR="00610582" w:rsidRPr="005B5D7C">
              <w:rPr>
                <w:rFonts w:ascii="Arial" w:hAnsi="Arial" w:cs="Arial"/>
                <w:b/>
                <w:sz w:val="20"/>
                <w:szCs w:val="20"/>
                <w:lang w:val="es-ES"/>
              </w:rPr>
              <w:t>entarios</w:t>
            </w:r>
          </w:p>
        </w:tc>
      </w:tr>
      <w:tr w:rsidR="00581254" w:rsidRPr="000F22DF" w14:paraId="074AC71A" w14:textId="77777777" w:rsidTr="00027AFD">
        <w:trPr>
          <w:jc w:val="center"/>
        </w:trPr>
        <w:tc>
          <w:tcPr>
            <w:tcW w:w="1998" w:type="dxa"/>
            <w:shd w:val="clear" w:color="auto" w:fill="FFFFFF"/>
          </w:tcPr>
          <w:p w14:paraId="269D7FE0" w14:textId="40435149" w:rsidR="00581254" w:rsidRPr="005B5D7C" w:rsidRDefault="00581254" w:rsidP="00581254">
            <w:pPr>
              <w:rPr>
                <w:rFonts w:ascii="Arial" w:hAnsi="Arial" w:cs="Arial"/>
                <w:b/>
                <w:bCs/>
                <w:sz w:val="20"/>
                <w:szCs w:val="20"/>
                <w:lang w:val="es-ES"/>
              </w:rPr>
            </w:pPr>
            <w:r w:rsidRPr="005B5D7C">
              <w:rPr>
                <w:rFonts w:ascii="Arial" w:hAnsi="Arial" w:cs="Arial"/>
                <w:b/>
                <w:bCs/>
                <w:sz w:val="20"/>
                <w:szCs w:val="20"/>
                <w:lang w:val="es-ES"/>
              </w:rPr>
              <w:t xml:space="preserve">1. </w:t>
            </w:r>
            <w:r w:rsidR="00D9546E" w:rsidRPr="005B5D7C">
              <w:rPr>
                <w:rFonts w:ascii="Arial" w:hAnsi="Arial" w:cs="Arial"/>
                <w:b/>
                <w:bCs/>
                <w:sz w:val="20"/>
                <w:szCs w:val="20"/>
                <w:lang w:val="es-ES"/>
              </w:rPr>
              <w:t>Sostenibilidad financiera</w:t>
            </w:r>
            <w:r w:rsidRPr="005B5D7C">
              <w:rPr>
                <w:rFonts w:ascii="Arial" w:hAnsi="Arial" w:cs="Arial"/>
                <w:b/>
                <w:bCs/>
                <w:sz w:val="20"/>
                <w:szCs w:val="20"/>
                <w:lang w:val="es-ES"/>
              </w:rPr>
              <w:t xml:space="preserve"> </w:t>
            </w:r>
          </w:p>
          <w:p w14:paraId="033F715F" w14:textId="77777777" w:rsidR="00581254" w:rsidRPr="005B5D7C" w:rsidRDefault="00581254" w:rsidP="00581254">
            <w:pPr>
              <w:jc w:val="both"/>
              <w:rPr>
                <w:rFonts w:ascii="Arial" w:hAnsi="Arial" w:cs="Arial"/>
                <w:sz w:val="20"/>
                <w:szCs w:val="20"/>
                <w:lang w:val="es-ES"/>
              </w:rPr>
            </w:pPr>
          </w:p>
        </w:tc>
        <w:tc>
          <w:tcPr>
            <w:tcW w:w="3042" w:type="dxa"/>
            <w:shd w:val="clear" w:color="auto" w:fill="FFFFFF"/>
          </w:tcPr>
          <w:p w14:paraId="56EE586C" w14:textId="7F93EFAE" w:rsidR="00581254" w:rsidRPr="005B5D7C" w:rsidRDefault="00B86521" w:rsidP="00B86521">
            <w:pPr>
              <w:jc w:val="both"/>
              <w:rPr>
                <w:rFonts w:ascii="Arial" w:hAnsi="Arial" w:cs="Arial"/>
                <w:sz w:val="22"/>
                <w:szCs w:val="22"/>
                <w:lang w:val="es-ES"/>
              </w:rPr>
            </w:pPr>
            <w:r w:rsidRPr="005B5D7C">
              <w:rPr>
                <w:rFonts w:ascii="Arial" w:eastAsiaTheme="minorHAnsi" w:hAnsi="Arial" w:cs="Arial"/>
                <w:sz w:val="22"/>
                <w:szCs w:val="22"/>
                <w:lang w:val="es-ES"/>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3816" w:type="dxa"/>
            <w:shd w:val="clear" w:color="auto" w:fill="FFFFFF"/>
          </w:tcPr>
          <w:p w14:paraId="046F8F78" w14:textId="77777777" w:rsidR="00107682" w:rsidRDefault="00D51F85" w:rsidP="00D51F85">
            <w:pPr>
              <w:jc w:val="both"/>
              <w:rPr>
                <w:rFonts w:ascii="Arial" w:hAnsi="Arial" w:cs="Arial"/>
                <w:sz w:val="22"/>
                <w:szCs w:val="22"/>
                <w:lang w:val="es-ES"/>
              </w:rPr>
            </w:pPr>
            <w:r w:rsidRPr="005B5D7C">
              <w:rPr>
                <w:rFonts w:ascii="Arial" w:hAnsi="Arial" w:cs="Arial"/>
                <w:sz w:val="22"/>
                <w:szCs w:val="22"/>
                <w:lang w:val="es-ES"/>
              </w:rPr>
              <w:t xml:space="preserve">En la actualidad, los servicios de agua y alcantarillado de </w:t>
            </w:r>
            <w:r w:rsidR="005D0059">
              <w:rPr>
                <w:rFonts w:ascii="Arial" w:hAnsi="Arial" w:cs="Arial"/>
                <w:sz w:val="22"/>
                <w:szCs w:val="22"/>
                <w:lang w:val="es-ES"/>
              </w:rPr>
              <w:t>Cabo Haitiano</w:t>
            </w:r>
            <w:r w:rsidRPr="005B5D7C">
              <w:rPr>
                <w:rFonts w:ascii="Arial" w:hAnsi="Arial" w:cs="Arial"/>
                <w:sz w:val="22"/>
                <w:szCs w:val="22"/>
                <w:lang w:val="es-ES"/>
              </w:rPr>
              <w:t xml:space="preserve"> son prestados por una empresa pública o “Centre </w:t>
            </w:r>
            <w:proofErr w:type="spellStart"/>
            <w:r w:rsidRPr="005B5D7C">
              <w:rPr>
                <w:rFonts w:ascii="Arial" w:hAnsi="Arial" w:cs="Arial"/>
                <w:sz w:val="22"/>
                <w:szCs w:val="22"/>
                <w:lang w:val="es-ES"/>
              </w:rPr>
              <w:t>Technique</w:t>
            </w:r>
            <w:proofErr w:type="spellEnd"/>
            <w:r w:rsidRPr="005B5D7C">
              <w:rPr>
                <w:rFonts w:ascii="Arial" w:hAnsi="Arial" w:cs="Arial"/>
                <w:sz w:val="22"/>
                <w:szCs w:val="22"/>
                <w:lang w:val="es-ES"/>
              </w:rPr>
              <w:t xml:space="preserve"> </w:t>
            </w:r>
            <w:proofErr w:type="spellStart"/>
            <w:r w:rsidRPr="005B5D7C">
              <w:rPr>
                <w:rFonts w:ascii="Arial" w:hAnsi="Arial" w:cs="Arial"/>
                <w:sz w:val="22"/>
                <w:szCs w:val="22"/>
                <w:lang w:val="es-ES"/>
              </w:rPr>
              <w:t>d’Exploitation</w:t>
            </w:r>
            <w:proofErr w:type="spellEnd"/>
            <w:r w:rsidRPr="005B5D7C">
              <w:rPr>
                <w:rFonts w:ascii="Arial" w:hAnsi="Arial" w:cs="Arial"/>
                <w:sz w:val="22"/>
                <w:szCs w:val="22"/>
                <w:lang w:val="es-ES"/>
              </w:rPr>
              <w:t xml:space="preserve"> (CTE-RMPP). </w:t>
            </w:r>
            <w:r w:rsidR="005D0059">
              <w:rPr>
                <w:rFonts w:ascii="Arial" w:hAnsi="Arial" w:cs="Arial"/>
                <w:sz w:val="22"/>
                <w:szCs w:val="22"/>
                <w:lang w:val="es-ES"/>
              </w:rPr>
              <w:t xml:space="preserve">El CTE cuenta únicamente con 900 clientes </w:t>
            </w:r>
            <w:r w:rsidR="00055241">
              <w:rPr>
                <w:rFonts w:ascii="Arial" w:hAnsi="Arial" w:cs="Arial"/>
                <w:sz w:val="22"/>
                <w:szCs w:val="22"/>
                <w:lang w:val="es-ES"/>
              </w:rPr>
              <w:t xml:space="preserve">(en una ciudad de 400,000 habitantes) </w:t>
            </w:r>
            <w:r w:rsidR="005D0059">
              <w:rPr>
                <w:rFonts w:ascii="Arial" w:hAnsi="Arial" w:cs="Arial"/>
                <w:sz w:val="22"/>
                <w:szCs w:val="22"/>
                <w:lang w:val="es-ES"/>
              </w:rPr>
              <w:t>y l</w:t>
            </w:r>
            <w:r w:rsidRPr="005B5D7C">
              <w:rPr>
                <w:rFonts w:ascii="Arial" w:hAnsi="Arial" w:cs="Arial"/>
                <w:sz w:val="22"/>
                <w:szCs w:val="22"/>
                <w:lang w:val="es-ES"/>
              </w:rPr>
              <w:t>as tarifas de los servicios son fijas</w:t>
            </w:r>
            <w:r w:rsidR="00D623EB">
              <w:rPr>
                <w:rFonts w:ascii="Arial" w:hAnsi="Arial" w:cs="Arial"/>
                <w:sz w:val="22"/>
                <w:szCs w:val="22"/>
                <w:lang w:val="es-ES"/>
              </w:rPr>
              <w:t xml:space="preserve"> debido al servicio intermitente y a la falta de contadores en las conexiones domiciliares</w:t>
            </w:r>
          </w:p>
          <w:p w14:paraId="697ABBD4" w14:textId="71237E3B" w:rsidR="00D51F85" w:rsidRPr="005B5D7C" w:rsidRDefault="00107682" w:rsidP="00D51F85">
            <w:pPr>
              <w:jc w:val="both"/>
              <w:rPr>
                <w:rFonts w:ascii="Arial" w:hAnsi="Arial" w:cs="Arial"/>
                <w:sz w:val="22"/>
                <w:szCs w:val="22"/>
                <w:lang w:val="es-ES"/>
              </w:rPr>
            </w:pPr>
            <w:r>
              <w:rPr>
                <w:rFonts w:ascii="Arial" w:hAnsi="Arial" w:cs="Arial"/>
                <w:sz w:val="22"/>
                <w:szCs w:val="22"/>
                <w:lang w:val="es-ES"/>
              </w:rPr>
              <w:t>En la</w:t>
            </w:r>
            <w:r w:rsidR="000308D9">
              <w:rPr>
                <w:rFonts w:ascii="Arial" w:hAnsi="Arial" w:cs="Arial"/>
                <w:sz w:val="22"/>
                <w:szCs w:val="22"/>
                <w:lang w:val="es-ES"/>
              </w:rPr>
              <w:t xml:space="preserve"> operación </w:t>
            </w:r>
            <w:r>
              <w:rPr>
                <w:rFonts w:ascii="Arial" w:hAnsi="Arial" w:cs="Arial"/>
                <w:sz w:val="22"/>
                <w:szCs w:val="22"/>
                <w:lang w:val="es-ES"/>
              </w:rPr>
              <w:t>está previsto</w:t>
            </w:r>
            <w:r w:rsidR="000308D9">
              <w:rPr>
                <w:rFonts w:ascii="Arial" w:hAnsi="Arial" w:cs="Arial"/>
                <w:sz w:val="22"/>
                <w:szCs w:val="22"/>
                <w:lang w:val="es-ES"/>
              </w:rPr>
              <w:t xml:space="preserve"> la instalación de contadores en el 100 % de las conexiones y la aplicación de una </w:t>
            </w:r>
            <w:r>
              <w:rPr>
                <w:rFonts w:ascii="Arial" w:hAnsi="Arial" w:cs="Arial"/>
                <w:sz w:val="22"/>
                <w:szCs w:val="22"/>
                <w:lang w:val="es-ES"/>
              </w:rPr>
              <w:t>facturación en función del volumen de agua consumido.</w:t>
            </w:r>
            <w:r w:rsidR="00EC14D4">
              <w:rPr>
                <w:rFonts w:ascii="Arial" w:hAnsi="Arial" w:cs="Arial"/>
                <w:sz w:val="22"/>
                <w:szCs w:val="22"/>
                <w:lang w:val="es-ES"/>
              </w:rPr>
              <w:t xml:space="preserve"> También se instalarán contadores en las 900 conexiones existentes una vez esos clientes sean incorporados al nuevo servicio.</w:t>
            </w:r>
          </w:p>
          <w:p w14:paraId="2484A84E" w14:textId="24D17B66" w:rsidR="00D51F85" w:rsidRPr="005B5D7C" w:rsidRDefault="00D51F85" w:rsidP="00D51F85">
            <w:pPr>
              <w:jc w:val="both"/>
              <w:rPr>
                <w:rFonts w:ascii="Arial" w:hAnsi="Arial" w:cs="Arial"/>
                <w:sz w:val="22"/>
                <w:szCs w:val="22"/>
                <w:lang w:val="es-ES"/>
              </w:rPr>
            </w:pPr>
          </w:p>
          <w:p w14:paraId="36ED6FF8" w14:textId="36DF138E" w:rsidR="00107682" w:rsidRPr="005B5D7C" w:rsidRDefault="00107682" w:rsidP="00107682">
            <w:pPr>
              <w:jc w:val="both"/>
              <w:rPr>
                <w:rFonts w:ascii="Arial" w:hAnsi="Arial" w:cs="Arial"/>
                <w:sz w:val="22"/>
                <w:szCs w:val="22"/>
                <w:lang w:val="es-ES"/>
              </w:rPr>
            </w:pPr>
            <w:r>
              <w:rPr>
                <w:rFonts w:ascii="Arial" w:hAnsi="Arial" w:cs="Arial"/>
                <w:iCs/>
                <w:sz w:val="22"/>
                <w:szCs w:val="22"/>
                <w:lang w:val="es-ES"/>
              </w:rPr>
              <w:t xml:space="preserve">A los 3 años de la operación está prevista una revisión tarifaria en base a la evaluación de los consumos y </w:t>
            </w:r>
            <w:r w:rsidR="00EC14D4">
              <w:rPr>
                <w:rFonts w:ascii="Arial" w:hAnsi="Arial" w:cs="Arial"/>
                <w:iCs/>
                <w:sz w:val="22"/>
                <w:szCs w:val="22"/>
                <w:lang w:val="es-ES"/>
              </w:rPr>
              <w:t>a la evolución de</w:t>
            </w:r>
            <w:r w:rsidR="00534CA5">
              <w:rPr>
                <w:rFonts w:ascii="Arial" w:hAnsi="Arial" w:cs="Arial"/>
                <w:iCs/>
                <w:sz w:val="22"/>
                <w:szCs w:val="22"/>
                <w:lang w:val="es-ES"/>
              </w:rPr>
              <w:t>l</w:t>
            </w:r>
            <w:r>
              <w:rPr>
                <w:rFonts w:ascii="Arial" w:hAnsi="Arial" w:cs="Arial"/>
                <w:iCs/>
                <w:sz w:val="22"/>
                <w:szCs w:val="22"/>
                <w:lang w:val="es-ES"/>
              </w:rPr>
              <w:t xml:space="preserve"> </w:t>
            </w:r>
            <w:r w:rsidR="00534CA5">
              <w:rPr>
                <w:rFonts w:ascii="Arial" w:hAnsi="Arial" w:cs="Arial"/>
                <w:iCs/>
                <w:sz w:val="22"/>
                <w:szCs w:val="22"/>
                <w:lang w:val="es-ES"/>
              </w:rPr>
              <w:t>número</w:t>
            </w:r>
            <w:r>
              <w:rPr>
                <w:rFonts w:ascii="Arial" w:hAnsi="Arial" w:cs="Arial"/>
                <w:iCs/>
                <w:sz w:val="22"/>
                <w:szCs w:val="22"/>
                <w:lang w:val="es-ES"/>
              </w:rPr>
              <w:t xml:space="preserve"> de clientes. </w:t>
            </w:r>
            <w:r w:rsidRPr="005B5D7C">
              <w:rPr>
                <w:rFonts w:ascii="Arial" w:hAnsi="Arial" w:cs="Arial"/>
                <w:sz w:val="22"/>
                <w:szCs w:val="22"/>
                <w:lang w:val="es-ES"/>
              </w:rPr>
              <w:t>El establecimiento de las tarifas se basa</w:t>
            </w:r>
            <w:r>
              <w:rPr>
                <w:rFonts w:ascii="Arial" w:hAnsi="Arial" w:cs="Arial"/>
                <w:sz w:val="22"/>
                <w:szCs w:val="22"/>
                <w:lang w:val="es-ES"/>
              </w:rPr>
              <w:t>rá</w:t>
            </w:r>
            <w:r w:rsidRPr="005B5D7C">
              <w:rPr>
                <w:rFonts w:ascii="Arial" w:hAnsi="Arial" w:cs="Arial"/>
                <w:sz w:val="22"/>
                <w:szCs w:val="22"/>
                <w:lang w:val="es-ES"/>
              </w:rPr>
              <w:t xml:space="preserve"> en el principio de mantenimiento de su condición financiera y promoción de acceso en la prestación de servicios de saneamiento a la población.</w:t>
            </w:r>
          </w:p>
          <w:p w14:paraId="10542637" w14:textId="77777777" w:rsidR="00C31F74" w:rsidRPr="005B5D7C" w:rsidRDefault="00C31F74" w:rsidP="007A55C5">
            <w:pPr>
              <w:jc w:val="both"/>
              <w:rPr>
                <w:rFonts w:ascii="Arial" w:hAnsi="Arial" w:cs="Arial"/>
                <w:b/>
                <w:bCs/>
                <w:sz w:val="20"/>
                <w:szCs w:val="20"/>
                <w:lang w:val="es-ES"/>
              </w:rPr>
            </w:pPr>
          </w:p>
        </w:tc>
      </w:tr>
      <w:tr w:rsidR="00581254" w:rsidRPr="000F22DF" w14:paraId="5BBF3A5F" w14:textId="77777777" w:rsidTr="00027AFD">
        <w:trPr>
          <w:trHeight w:val="2393"/>
          <w:jc w:val="center"/>
        </w:trPr>
        <w:tc>
          <w:tcPr>
            <w:tcW w:w="1998" w:type="dxa"/>
            <w:shd w:val="clear" w:color="auto" w:fill="FFFFFF"/>
          </w:tcPr>
          <w:p w14:paraId="50377196" w14:textId="2B02E101" w:rsidR="00581254" w:rsidRPr="005B5D7C" w:rsidRDefault="00581254" w:rsidP="005A29D3">
            <w:pPr>
              <w:rPr>
                <w:rFonts w:ascii="Arial" w:hAnsi="Arial" w:cs="Arial"/>
                <w:b/>
                <w:sz w:val="20"/>
                <w:szCs w:val="20"/>
                <w:lang w:val="es-ES"/>
              </w:rPr>
            </w:pPr>
            <w:r w:rsidRPr="005B5D7C">
              <w:rPr>
                <w:rFonts w:ascii="Arial" w:hAnsi="Arial" w:cs="Arial"/>
                <w:b/>
                <w:sz w:val="20"/>
                <w:szCs w:val="20"/>
                <w:lang w:val="es-ES"/>
              </w:rPr>
              <w:t>2. E</w:t>
            </w:r>
            <w:r w:rsidR="005A29D3" w:rsidRPr="005B5D7C">
              <w:rPr>
                <w:rFonts w:ascii="Arial" w:hAnsi="Arial" w:cs="Arial"/>
                <w:b/>
                <w:sz w:val="20"/>
                <w:szCs w:val="20"/>
                <w:lang w:val="es-ES"/>
              </w:rPr>
              <w:t>valuación económica</w:t>
            </w:r>
          </w:p>
        </w:tc>
        <w:tc>
          <w:tcPr>
            <w:tcW w:w="3042" w:type="dxa"/>
            <w:shd w:val="clear" w:color="auto" w:fill="FFFFFF"/>
          </w:tcPr>
          <w:p w14:paraId="7A0D5590" w14:textId="4C888F16" w:rsidR="00581254" w:rsidRPr="005B5D7C" w:rsidRDefault="007E0F57" w:rsidP="007E0F57">
            <w:pPr>
              <w:jc w:val="both"/>
              <w:rPr>
                <w:rFonts w:ascii="Arial" w:hAnsi="Arial" w:cs="Arial"/>
                <w:b/>
                <w:sz w:val="22"/>
                <w:szCs w:val="22"/>
                <w:lang w:val="es-ES"/>
              </w:rPr>
            </w:pPr>
            <w:r w:rsidRPr="005B5D7C">
              <w:rPr>
                <w:rFonts w:ascii="Arial" w:hAnsi="Arial" w:cs="Arial"/>
                <w:sz w:val="22"/>
                <w:szCs w:val="22"/>
                <w:lang w:val="es-ES"/>
              </w:rPr>
              <w:t>Los proyectos de servicios públicos domiciliarios deberán ser económicamente rentables [</w:t>
            </w:r>
            <w:proofErr w:type="gramStart"/>
            <w:r w:rsidRPr="005B5D7C">
              <w:rPr>
                <w:rFonts w:ascii="Arial" w:hAnsi="Arial" w:cs="Arial"/>
                <w:sz w:val="22"/>
                <w:szCs w:val="22"/>
                <w:lang w:val="es-ES"/>
              </w:rPr>
              <w:t>de acuerdo a</w:t>
            </w:r>
            <w:proofErr w:type="gramEnd"/>
            <w:r w:rsidRPr="005B5D7C">
              <w:rPr>
                <w:rFonts w:ascii="Arial" w:hAnsi="Arial" w:cs="Arial"/>
                <w:sz w:val="22"/>
                <w:szCs w:val="22"/>
                <w:lang w:val="es-ES"/>
              </w:rPr>
              <w:t xml:space="preserve"> las metodologías de evaluación costo beneficio y costo efectividad utilizadas y aceptadas por el Banco</w:t>
            </w:r>
          </w:p>
        </w:tc>
        <w:tc>
          <w:tcPr>
            <w:tcW w:w="3816" w:type="dxa"/>
            <w:shd w:val="clear" w:color="auto" w:fill="FFFFFF"/>
          </w:tcPr>
          <w:p w14:paraId="316DC8DB" w14:textId="6E9F5EFA" w:rsidR="006C1739" w:rsidRPr="000F22DF" w:rsidRDefault="000F22DF" w:rsidP="005B5D7C">
            <w:pPr>
              <w:jc w:val="both"/>
              <w:rPr>
                <w:rFonts w:ascii="Arial" w:hAnsi="Arial" w:cs="Arial"/>
                <w:sz w:val="22"/>
                <w:szCs w:val="22"/>
                <w:lang w:val="es-ES"/>
              </w:rPr>
            </w:pPr>
            <w:r w:rsidRPr="000F22DF">
              <w:rPr>
                <w:rFonts w:ascii="Arial" w:hAnsi="Arial" w:cs="Arial"/>
                <w:sz w:val="22"/>
                <w:szCs w:val="22"/>
                <w:lang w:val="es-ES"/>
              </w:rPr>
              <w:t>La operación</w:t>
            </w:r>
            <w:r w:rsidR="007E0F57" w:rsidRPr="000F22DF">
              <w:rPr>
                <w:rFonts w:ascii="Arial" w:hAnsi="Arial" w:cs="Arial"/>
                <w:sz w:val="22"/>
                <w:szCs w:val="22"/>
                <w:lang w:val="es-ES"/>
              </w:rPr>
              <w:t xml:space="preserve"> es viable económicamente con los siguientes indicadores: </w:t>
            </w:r>
            <w:r w:rsidRPr="000F22DF">
              <w:rPr>
                <w:rFonts w:ascii="Arial" w:hAnsi="Arial" w:cs="Arial"/>
                <w:sz w:val="22"/>
                <w:szCs w:val="22"/>
                <w:lang w:val="es-ES"/>
              </w:rPr>
              <w:t xml:space="preserve">i) para el proyecto de Cabo Haitiano </w:t>
            </w:r>
            <w:r w:rsidR="007E0F57" w:rsidRPr="000F22DF">
              <w:rPr>
                <w:rFonts w:ascii="Arial" w:hAnsi="Arial" w:cs="Arial"/>
                <w:sz w:val="22"/>
                <w:szCs w:val="22"/>
                <w:lang w:val="es-ES"/>
              </w:rPr>
              <w:t xml:space="preserve">la tasa interna de retorno </w:t>
            </w:r>
            <w:r w:rsidR="007E0F57" w:rsidRPr="000F22DF">
              <w:rPr>
                <w:rFonts w:ascii="Arial" w:hAnsi="Arial" w:cs="Arial"/>
                <w:b/>
                <w:sz w:val="22"/>
                <w:szCs w:val="22"/>
                <w:lang w:val="es-ES"/>
              </w:rPr>
              <w:t xml:space="preserve">(TIRE) es igual a </w:t>
            </w:r>
            <w:r w:rsidRPr="000F22DF">
              <w:rPr>
                <w:rFonts w:ascii="Arial" w:hAnsi="Arial" w:cs="Arial"/>
                <w:b/>
                <w:sz w:val="22"/>
                <w:szCs w:val="22"/>
                <w:lang w:val="es-ES"/>
              </w:rPr>
              <w:t>82,6</w:t>
            </w:r>
            <w:r w:rsidR="007E0F57" w:rsidRPr="000F22DF">
              <w:rPr>
                <w:rFonts w:ascii="Arial" w:hAnsi="Arial" w:cs="Arial"/>
                <w:b/>
                <w:sz w:val="22"/>
                <w:szCs w:val="22"/>
                <w:lang w:val="es-ES"/>
              </w:rPr>
              <w:t>%</w:t>
            </w:r>
            <w:r w:rsidR="007E0F57" w:rsidRPr="000F22DF">
              <w:rPr>
                <w:rFonts w:ascii="Arial" w:hAnsi="Arial" w:cs="Arial"/>
                <w:sz w:val="22"/>
                <w:szCs w:val="22"/>
                <w:lang w:val="es-ES"/>
              </w:rPr>
              <w:t xml:space="preserve"> y el valor presente neto </w:t>
            </w:r>
            <w:r w:rsidR="007E0F57" w:rsidRPr="000F22DF">
              <w:rPr>
                <w:rFonts w:ascii="Arial" w:hAnsi="Arial" w:cs="Arial"/>
                <w:b/>
                <w:sz w:val="22"/>
                <w:szCs w:val="22"/>
                <w:lang w:val="es-ES"/>
              </w:rPr>
              <w:t>(VPN) es de US$</w:t>
            </w:r>
            <w:r w:rsidRPr="000F22DF">
              <w:rPr>
                <w:rFonts w:ascii="Arial" w:hAnsi="Arial" w:cs="Arial"/>
                <w:b/>
                <w:sz w:val="22"/>
                <w:szCs w:val="22"/>
                <w:lang w:val="es-ES"/>
              </w:rPr>
              <w:t>276</w:t>
            </w:r>
            <w:r w:rsidR="007A0978" w:rsidRPr="000F22DF">
              <w:rPr>
                <w:rFonts w:ascii="Arial" w:hAnsi="Arial" w:cs="Arial"/>
                <w:b/>
                <w:sz w:val="22"/>
                <w:szCs w:val="22"/>
                <w:lang w:val="es-ES"/>
              </w:rPr>
              <w:t xml:space="preserve"> </w:t>
            </w:r>
            <w:r w:rsidR="007E0F57" w:rsidRPr="000F22DF">
              <w:rPr>
                <w:rFonts w:ascii="Arial" w:hAnsi="Arial" w:cs="Arial"/>
                <w:b/>
                <w:sz w:val="22"/>
                <w:szCs w:val="22"/>
                <w:lang w:val="es-ES"/>
              </w:rPr>
              <w:t>millones</w:t>
            </w:r>
            <w:r w:rsidRPr="000F22DF">
              <w:rPr>
                <w:rFonts w:ascii="Arial" w:hAnsi="Arial" w:cs="Arial"/>
                <w:b/>
                <w:sz w:val="22"/>
                <w:szCs w:val="22"/>
                <w:lang w:val="es-ES"/>
              </w:rPr>
              <w:t xml:space="preserve">; </w:t>
            </w:r>
            <w:proofErr w:type="spellStart"/>
            <w:r w:rsidRPr="000F22DF">
              <w:rPr>
                <w:rFonts w:ascii="Arial" w:hAnsi="Arial" w:cs="Arial"/>
                <w:b/>
                <w:sz w:val="22"/>
                <w:szCs w:val="22"/>
                <w:lang w:val="es-ES"/>
              </w:rPr>
              <w:t>ii</w:t>
            </w:r>
            <w:proofErr w:type="spellEnd"/>
            <w:r w:rsidRPr="000F22DF">
              <w:rPr>
                <w:rFonts w:ascii="Arial" w:hAnsi="Arial" w:cs="Arial"/>
                <w:b/>
                <w:sz w:val="22"/>
                <w:szCs w:val="22"/>
                <w:lang w:val="es-ES"/>
              </w:rPr>
              <w:t xml:space="preserve">) </w:t>
            </w:r>
            <w:r w:rsidRPr="000F22DF">
              <w:rPr>
                <w:rFonts w:ascii="Arial" w:hAnsi="Arial" w:cs="Arial"/>
                <w:sz w:val="22"/>
                <w:szCs w:val="22"/>
                <w:lang w:val="es-ES"/>
              </w:rPr>
              <w:t>los 32 proyectos rurales analizados tienen</w:t>
            </w:r>
            <w:r w:rsidRPr="000F22DF">
              <w:rPr>
                <w:rFonts w:ascii="Arial" w:hAnsi="Arial" w:cs="Arial"/>
                <w:b/>
                <w:sz w:val="22"/>
                <w:szCs w:val="22"/>
                <w:lang w:val="es-ES"/>
              </w:rPr>
              <w:t xml:space="preserve"> TIRE superiores a 50% y VPN positivos.</w:t>
            </w:r>
            <w:bookmarkStart w:id="0" w:name="_GoBack"/>
            <w:bookmarkEnd w:id="0"/>
          </w:p>
        </w:tc>
      </w:tr>
      <w:tr w:rsidR="00581254" w:rsidRPr="005B5D7C" w14:paraId="6EA9876C" w14:textId="77777777" w:rsidTr="00027AFD">
        <w:trPr>
          <w:jc w:val="center"/>
        </w:trPr>
        <w:tc>
          <w:tcPr>
            <w:tcW w:w="1998" w:type="dxa"/>
            <w:shd w:val="clear" w:color="auto" w:fill="C0C0C0"/>
          </w:tcPr>
          <w:p w14:paraId="522F2CEC" w14:textId="62A09E59" w:rsidR="00581254" w:rsidRPr="005B5D7C" w:rsidRDefault="00EA6898" w:rsidP="00027AFD">
            <w:pPr>
              <w:jc w:val="center"/>
              <w:rPr>
                <w:rFonts w:ascii="Arial" w:hAnsi="Arial" w:cs="Arial"/>
                <w:b/>
                <w:sz w:val="22"/>
                <w:szCs w:val="22"/>
                <w:lang w:val="es-ES"/>
              </w:rPr>
            </w:pPr>
            <w:r w:rsidRPr="005B5D7C">
              <w:rPr>
                <w:rFonts w:ascii="Arial" w:hAnsi="Arial" w:cs="Arial"/>
                <w:b/>
                <w:sz w:val="22"/>
                <w:szCs w:val="22"/>
                <w:lang w:val="es-ES"/>
              </w:rPr>
              <w:t>Objetivos</w:t>
            </w:r>
            <w:r w:rsidR="00603F7C" w:rsidRPr="005B5D7C">
              <w:rPr>
                <w:rFonts w:ascii="Arial" w:hAnsi="Arial" w:cs="Arial"/>
                <w:b/>
                <w:sz w:val="22"/>
                <w:szCs w:val="22"/>
                <w:lang w:val="es-ES"/>
              </w:rPr>
              <w:t xml:space="preserve"> de la </w:t>
            </w:r>
            <w:r w:rsidR="005B5D7C" w:rsidRPr="005B5D7C">
              <w:rPr>
                <w:rFonts w:ascii="Arial" w:hAnsi="Arial" w:cs="Arial"/>
                <w:b/>
                <w:sz w:val="22"/>
                <w:szCs w:val="22"/>
                <w:lang w:val="es-ES"/>
              </w:rPr>
              <w:t>Política</w:t>
            </w:r>
          </w:p>
          <w:p w14:paraId="76DB2E7A" w14:textId="77777777" w:rsidR="00581254" w:rsidRPr="005B5D7C" w:rsidRDefault="00581254" w:rsidP="00027AFD">
            <w:pPr>
              <w:jc w:val="center"/>
              <w:rPr>
                <w:rFonts w:ascii="Arial" w:hAnsi="Arial" w:cs="Arial"/>
                <w:b/>
                <w:sz w:val="22"/>
                <w:szCs w:val="22"/>
                <w:lang w:val="es-ES"/>
              </w:rPr>
            </w:pPr>
          </w:p>
        </w:tc>
        <w:tc>
          <w:tcPr>
            <w:tcW w:w="3042" w:type="dxa"/>
            <w:shd w:val="clear" w:color="auto" w:fill="C0C0C0"/>
          </w:tcPr>
          <w:p w14:paraId="5192E8DE" w14:textId="0FDC85CD" w:rsidR="00581254" w:rsidRPr="005B5D7C" w:rsidRDefault="00581254" w:rsidP="00027AFD">
            <w:pPr>
              <w:jc w:val="center"/>
              <w:rPr>
                <w:rFonts w:ascii="Arial" w:hAnsi="Arial" w:cs="Arial"/>
                <w:b/>
                <w:sz w:val="22"/>
                <w:szCs w:val="22"/>
                <w:lang w:val="es-ES"/>
              </w:rPr>
            </w:pPr>
            <w:r w:rsidRPr="005B5D7C">
              <w:rPr>
                <w:rFonts w:ascii="Arial" w:hAnsi="Arial" w:cs="Arial"/>
                <w:b/>
                <w:sz w:val="22"/>
                <w:szCs w:val="22"/>
                <w:lang w:val="es-ES"/>
              </w:rPr>
              <w:lastRenderedPageBreak/>
              <w:t>Descrip</w:t>
            </w:r>
            <w:r w:rsidR="00603F7C" w:rsidRPr="005B5D7C">
              <w:rPr>
                <w:rFonts w:ascii="Arial" w:hAnsi="Arial" w:cs="Arial"/>
                <w:b/>
                <w:sz w:val="22"/>
                <w:szCs w:val="22"/>
                <w:lang w:val="es-ES"/>
              </w:rPr>
              <w:t>ción</w:t>
            </w:r>
          </w:p>
        </w:tc>
        <w:tc>
          <w:tcPr>
            <w:tcW w:w="3816" w:type="dxa"/>
            <w:shd w:val="clear" w:color="auto" w:fill="C0C0C0"/>
          </w:tcPr>
          <w:p w14:paraId="0BFC71E1" w14:textId="4F2B3E62" w:rsidR="00581254" w:rsidRPr="005B5D7C" w:rsidRDefault="00581254" w:rsidP="00027AFD">
            <w:pPr>
              <w:jc w:val="center"/>
              <w:rPr>
                <w:rFonts w:ascii="Arial" w:hAnsi="Arial" w:cs="Arial"/>
                <w:b/>
                <w:sz w:val="22"/>
                <w:szCs w:val="22"/>
                <w:lang w:val="es-ES"/>
              </w:rPr>
            </w:pPr>
            <w:r w:rsidRPr="005B5D7C">
              <w:rPr>
                <w:rFonts w:ascii="Arial" w:hAnsi="Arial" w:cs="Arial"/>
                <w:b/>
                <w:sz w:val="22"/>
                <w:szCs w:val="22"/>
                <w:lang w:val="es-ES"/>
              </w:rPr>
              <w:t>Com</w:t>
            </w:r>
            <w:r w:rsidR="00603F7C" w:rsidRPr="005B5D7C">
              <w:rPr>
                <w:rFonts w:ascii="Arial" w:hAnsi="Arial" w:cs="Arial"/>
                <w:b/>
                <w:sz w:val="22"/>
                <w:szCs w:val="22"/>
                <w:lang w:val="es-ES"/>
              </w:rPr>
              <w:t>entarios</w:t>
            </w:r>
          </w:p>
        </w:tc>
      </w:tr>
      <w:tr w:rsidR="00581254" w:rsidRPr="000F22DF" w14:paraId="4B946C06" w14:textId="77777777" w:rsidTr="00027AFD">
        <w:trPr>
          <w:jc w:val="center"/>
        </w:trPr>
        <w:tc>
          <w:tcPr>
            <w:tcW w:w="1998" w:type="dxa"/>
            <w:shd w:val="clear" w:color="auto" w:fill="auto"/>
          </w:tcPr>
          <w:p w14:paraId="78BD2D65" w14:textId="1660DD24" w:rsidR="00581254" w:rsidRPr="005B5D7C" w:rsidRDefault="0051445C" w:rsidP="0051445C">
            <w:pPr>
              <w:rPr>
                <w:rFonts w:ascii="Arial" w:hAnsi="Arial" w:cs="Arial"/>
                <w:sz w:val="20"/>
                <w:szCs w:val="20"/>
                <w:lang w:val="es-ES"/>
              </w:rPr>
            </w:pPr>
            <w:r w:rsidRPr="005B5D7C">
              <w:rPr>
                <w:rFonts w:ascii="Arial" w:hAnsi="Arial" w:cs="Arial"/>
                <w:b/>
                <w:bCs/>
                <w:sz w:val="20"/>
                <w:szCs w:val="20"/>
                <w:lang w:val="es-ES"/>
              </w:rPr>
              <w:t>1. Fomentar el Acceso</w:t>
            </w:r>
          </w:p>
        </w:tc>
        <w:tc>
          <w:tcPr>
            <w:tcW w:w="3042" w:type="dxa"/>
            <w:shd w:val="clear" w:color="auto" w:fill="auto"/>
          </w:tcPr>
          <w:p w14:paraId="0C8382F1" w14:textId="15E5F848" w:rsidR="00581254" w:rsidRPr="005B5D7C" w:rsidRDefault="00C51127" w:rsidP="00A577B2">
            <w:pPr>
              <w:jc w:val="both"/>
              <w:rPr>
                <w:rFonts w:ascii="Arial" w:hAnsi="Arial" w:cs="Arial"/>
                <w:sz w:val="22"/>
                <w:szCs w:val="22"/>
                <w:lang w:val="es-ES"/>
              </w:rPr>
            </w:pPr>
            <w:r w:rsidRPr="005B5D7C">
              <w:rPr>
                <w:rFonts w:ascii="Arial" w:hAnsi="Arial" w:cs="Arial"/>
                <w:sz w:val="22"/>
                <w:szCs w:val="22"/>
                <w:lang w:val="es-ES"/>
              </w:rPr>
              <w:t>Las políticas deben promover el acceso a todos los usuarios, especialmente a las comunidades y grupos más desfavorecidos.</w:t>
            </w:r>
          </w:p>
        </w:tc>
        <w:tc>
          <w:tcPr>
            <w:tcW w:w="3816" w:type="dxa"/>
            <w:shd w:val="clear" w:color="auto" w:fill="auto"/>
          </w:tcPr>
          <w:p w14:paraId="7CCB6065" w14:textId="7A072471" w:rsidR="00AE6236" w:rsidRPr="005B5D7C" w:rsidRDefault="00AE6236" w:rsidP="00AE6236">
            <w:pPr>
              <w:jc w:val="both"/>
              <w:rPr>
                <w:rFonts w:ascii="Arial" w:hAnsi="Arial" w:cs="Arial"/>
                <w:sz w:val="22"/>
                <w:szCs w:val="22"/>
                <w:lang w:val="es-ES"/>
              </w:rPr>
            </w:pPr>
            <w:r w:rsidRPr="005B5D7C">
              <w:rPr>
                <w:rFonts w:ascii="Arial" w:hAnsi="Arial" w:cs="Arial"/>
                <w:sz w:val="22"/>
                <w:szCs w:val="22"/>
                <w:lang w:val="es-ES"/>
              </w:rPr>
              <w:t>El proyecto cubrirá e</w:t>
            </w:r>
            <w:r w:rsidR="00AE2B26">
              <w:rPr>
                <w:rFonts w:ascii="Arial" w:hAnsi="Arial" w:cs="Arial"/>
                <w:sz w:val="22"/>
                <w:szCs w:val="22"/>
                <w:lang w:val="es-ES"/>
              </w:rPr>
              <w:t>l área urbana de Cabo Haiti</w:t>
            </w:r>
            <w:r w:rsidR="00BF337D">
              <w:rPr>
                <w:rFonts w:ascii="Arial" w:hAnsi="Arial" w:cs="Arial"/>
                <w:sz w:val="22"/>
                <w:szCs w:val="22"/>
                <w:lang w:val="es-ES"/>
              </w:rPr>
              <w:t>a</w:t>
            </w:r>
            <w:r w:rsidR="00AE2B26">
              <w:rPr>
                <w:rFonts w:ascii="Arial" w:hAnsi="Arial" w:cs="Arial"/>
                <w:sz w:val="22"/>
                <w:szCs w:val="22"/>
                <w:lang w:val="es-ES"/>
              </w:rPr>
              <w:t>no incluyendo las comunas de Petite Anse y Haut du Cap</w:t>
            </w:r>
            <w:r w:rsidRPr="005B5D7C">
              <w:rPr>
                <w:rFonts w:ascii="Arial" w:hAnsi="Arial" w:cs="Arial"/>
                <w:sz w:val="22"/>
                <w:szCs w:val="22"/>
                <w:lang w:val="es-ES"/>
              </w:rPr>
              <w:t xml:space="preserve">. En esas zonas, el proyecto financiará acceso a agua potable nuevo </w:t>
            </w:r>
            <w:r w:rsidR="00A74CF9">
              <w:rPr>
                <w:rFonts w:ascii="Arial" w:hAnsi="Arial" w:cs="Arial"/>
                <w:sz w:val="22"/>
                <w:szCs w:val="22"/>
                <w:lang w:val="es-ES"/>
              </w:rPr>
              <w:t xml:space="preserve">a través de </w:t>
            </w:r>
            <w:r w:rsidRPr="005B5D7C">
              <w:rPr>
                <w:rFonts w:ascii="Arial" w:hAnsi="Arial" w:cs="Arial"/>
                <w:sz w:val="22"/>
                <w:szCs w:val="22"/>
                <w:lang w:val="es-ES"/>
              </w:rPr>
              <w:t>conexiones individuales</w:t>
            </w:r>
            <w:r w:rsidR="00A74CF9">
              <w:rPr>
                <w:rFonts w:ascii="Arial" w:hAnsi="Arial" w:cs="Arial"/>
                <w:sz w:val="22"/>
                <w:szCs w:val="22"/>
                <w:lang w:val="es-ES"/>
              </w:rPr>
              <w:t>, redes condominiales y kioscos</w:t>
            </w:r>
            <w:r w:rsidRPr="005B5D7C">
              <w:rPr>
                <w:rFonts w:ascii="Arial" w:hAnsi="Arial" w:cs="Arial"/>
                <w:sz w:val="22"/>
                <w:szCs w:val="22"/>
                <w:lang w:val="es-ES"/>
              </w:rPr>
              <w:t>.</w:t>
            </w:r>
          </w:p>
          <w:p w14:paraId="14BB67ED" w14:textId="77777777" w:rsidR="00AE6236" w:rsidRPr="005B5D7C" w:rsidRDefault="00AE6236" w:rsidP="00382D70">
            <w:pPr>
              <w:autoSpaceDE w:val="0"/>
              <w:autoSpaceDN w:val="0"/>
              <w:adjustRightInd w:val="0"/>
              <w:jc w:val="both"/>
              <w:rPr>
                <w:rFonts w:ascii="Arial" w:hAnsi="Arial" w:cs="Arial"/>
                <w:sz w:val="22"/>
                <w:szCs w:val="22"/>
                <w:lang w:val="es-ES"/>
              </w:rPr>
            </w:pPr>
          </w:p>
          <w:p w14:paraId="37B06678" w14:textId="14953940" w:rsidR="00C15878" w:rsidRPr="00BF337D" w:rsidRDefault="00A74CF9" w:rsidP="00382D70">
            <w:pPr>
              <w:jc w:val="both"/>
              <w:rPr>
                <w:rFonts w:ascii="Arial" w:hAnsi="Arial" w:cs="Arial"/>
                <w:sz w:val="22"/>
                <w:szCs w:val="22"/>
                <w:lang w:val="es-ES_tradnl"/>
              </w:rPr>
            </w:pPr>
            <w:r w:rsidRPr="00BF337D">
              <w:rPr>
                <w:rFonts w:ascii="Arial" w:hAnsi="Arial" w:cs="Arial"/>
                <w:sz w:val="22"/>
                <w:szCs w:val="22"/>
                <w:lang w:val="es-ES_tradnl"/>
              </w:rPr>
              <w:t>Para la</w:t>
            </w:r>
            <w:r w:rsidR="009D043C">
              <w:rPr>
                <w:rFonts w:ascii="Arial" w:hAnsi="Arial" w:cs="Arial"/>
                <w:sz w:val="22"/>
                <w:szCs w:val="22"/>
                <w:lang w:val="es-ES_tradnl"/>
              </w:rPr>
              <w:t>s</w:t>
            </w:r>
            <w:r w:rsidRPr="00BF337D">
              <w:rPr>
                <w:rFonts w:ascii="Arial" w:hAnsi="Arial" w:cs="Arial"/>
                <w:sz w:val="22"/>
                <w:szCs w:val="22"/>
                <w:lang w:val="es-ES_tradnl"/>
              </w:rPr>
              <w:t xml:space="preserve"> zonas desfavorecidas </w:t>
            </w:r>
            <w:r w:rsidR="00BF337D" w:rsidRPr="00BF337D">
              <w:rPr>
                <w:rFonts w:ascii="Arial" w:hAnsi="Arial" w:cs="Arial"/>
                <w:sz w:val="22"/>
                <w:szCs w:val="22"/>
                <w:lang w:val="es-ES_tradnl"/>
              </w:rPr>
              <w:t>siempre que sea posible se incluirá</w:t>
            </w:r>
            <w:r w:rsidR="00BF337D">
              <w:rPr>
                <w:rFonts w:ascii="Arial" w:hAnsi="Arial" w:cs="Arial"/>
                <w:sz w:val="22"/>
                <w:szCs w:val="22"/>
                <w:lang w:val="es-ES_tradnl"/>
              </w:rPr>
              <w:t>n conexiones en las viviendas a partir de redes condominiales en caso contrario el abastecimiento se realizará a través de kioscos.</w:t>
            </w:r>
            <w:r w:rsidRPr="00BF337D">
              <w:rPr>
                <w:rFonts w:ascii="Arial" w:hAnsi="Arial" w:cs="Arial"/>
                <w:sz w:val="22"/>
                <w:szCs w:val="22"/>
                <w:lang w:val="es-ES_tradnl"/>
              </w:rPr>
              <w:t xml:space="preserve"> </w:t>
            </w:r>
          </w:p>
          <w:p w14:paraId="2241A645" w14:textId="14FEB1F4" w:rsidR="00BC630D" w:rsidRPr="00BF337D" w:rsidRDefault="00BC630D" w:rsidP="006E75B1">
            <w:pPr>
              <w:jc w:val="both"/>
              <w:rPr>
                <w:rFonts w:ascii="Arial" w:hAnsi="Arial" w:cs="Arial"/>
                <w:sz w:val="22"/>
                <w:szCs w:val="22"/>
                <w:highlight w:val="yellow"/>
                <w:lang w:val="es-ES_tradnl"/>
              </w:rPr>
            </w:pPr>
          </w:p>
        </w:tc>
      </w:tr>
      <w:tr w:rsidR="00581254" w:rsidRPr="000F22DF" w14:paraId="480DF55D" w14:textId="77777777" w:rsidTr="00027AFD">
        <w:trPr>
          <w:jc w:val="center"/>
        </w:trPr>
        <w:tc>
          <w:tcPr>
            <w:tcW w:w="1998" w:type="dxa"/>
            <w:shd w:val="clear" w:color="auto" w:fill="auto"/>
          </w:tcPr>
          <w:p w14:paraId="1800FC8C" w14:textId="2BF8AA4F" w:rsidR="00581254" w:rsidRPr="005B5D7C" w:rsidRDefault="00581254" w:rsidP="009D6DCD">
            <w:pPr>
              <w:rPr>
                <w:rFonts w:ascii="Arial" w:hAnsi="Arial" w:cs="Arial"/>
                <w:sz w:val="20"/>
                <w:szCs w:val="20"/>
                <w:lang w:val="es-ES"/>
              </w:rPr>
            </w:pPr>
            <w:r w:rsidRPr="005B5D7C">
              <w:rPr>
                <w:rFonts w:ascii="Arial" w:hAnsi="Arial" w:cs="Arial"/>
                <w:b/>
                <w:bCs/>
                <w:sz w:val="20"/>
                <w:szCs w:val="20"/>
                <w:lang w:val="es-ES"/>
              </w:rPr>
              <w:t xml:space="preserve">2. </w:t>
            </w:r>
            <w:r w:rsidR="00AA6BBC" w:rsidRPr="005B5D7C">
              <w:rPr>
                <w:rFonts w:ascii="Arial" w:hAnsi="Arial" w:cs="Arial"/>
                <w:b/>
                <w:bCs/>
                <w:sz w:val="20"/>
                <w:szCs w:val="20"/>
                <w:lang w:val="es-ES"/>
              </w:rPr>
              <w:t xml:space="preserve">Suministrar </w:t>
            </w:r>
            <w:r w:rsidR="009D6DCD" w:rsidRPr="005B5D7C">
              <w:rPr>
                <w:rFonts w:ascii="Arial" w:hAnsi="Arial" w:cs="Arial"/>
                <w:b/>
                <w:bCs/>
                <w:sz w:val="20"/>
                <w:szCs w:val="20"/>
                <w:lang w:val="es-ES"/>
              </w:rPr>
              <w:t xml:space="preserve">el acceso al servicio </w:t>
            </w:r>
            <w:r w:rsidR="00AA6BBC" w:rsidRPr="005B5D7C">
              <w:rPr>
                <w:rFonts w:ascii="Arial" w:hAnsi="Arial" w:cs="Arial"/>
                <w:b/>
                <w:bCs/>
                <w:sz w:val="20"/>
                <w:szCs w:val="20"/>
                <w:lang w:val="es-ES"/>
              </w:rPr>
              <w:t xml:space="preserve">en condiciones de </w:t>
            </w:r>
            <w:r w:rsidR="009D6DCD" w:rsidRPr="005B5D7C">
              <w:rPr>
                <w:rFonts w:ascii="Arial" w:hAnsi="Arial" w:cs="Arial"/>
                <w:b/>
                <w:bCs/>
                <w:sz w:val="20"/>
                <w:szCs w:val="20"/>
                <w:lang w:val="es-ES"/>
              </w:rPr>
              <w:t>confiabilidad y calidad adecuadas</w:t>
            </w:r>
          </w:p>
        </w:tc>
        <w:tc>
          <w:tcPr>
            <w:tcW w:w="3042" w:type="dxa"/>
            <w:shd w:val="clear" w:color="auto" w:fill="auto"/>
          </w:tcPr>
          <w:p w14:paraId="78E53C94" w14:textId="1EF8DF29" w:rsidR="00581254" w:rsidRPr="005B5D7C" w:rsidRDefault="001062CD" w:rsidP="00EE1B7E">
            <w:pPr>
              <w:jc w:val="both"/>
              <w:rPr>
                <w:rFonts w:ascii="Arial" w:hAnsi="Arial" w:cs="Arial"/>
                <w:sz w:val="22"/>
                <w:szCs w:val="22"/>
                <w:lang w:val="es-ES"/>
              </w:rPr>
            </w:pPr>
            <w:r w:rsidRPr="005B5D7C">
              <w:rPr>
                <w:rFonts w:ascii="Arial" w:hAnsi="Arial" w:cs="Arial"/>
                <w:sz w:val="22"/>
                <w:szCs w:val="22"/>
                <w:lang w:val="es-ES"/>
              </w:rPr>
              <w:t xml:space="preserve">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w:t>
            </w:r>
            <w:r w:rsidR="00EE1B7E" w:rsidRPr="005B5D7C">
              <w:rPr>
                <w:rFonts w:ascii="Arial" w:hAnsi="Arial" w:cs="Arial"/>
                <w:sz w:val="22"/>
                <w:szCs w:val="22"/>
                <w:lang w:val="es-ES"/>
              </w:rPr>
              <w:t>incentivos.</w:t>
            </w:r>
          </w:p>
        </w:tc>
        <w:tc>
          <w:tcPr>
            <w:tcW w:w="3816" w:type="dxa"/>
            <w:shd w:val="clear" w:color="auto" w:fill="auto"/>
          </w:tcPr>
          <w:p w14:paraId="76FDD353" w14:textId="1E4D4F83" w:rsidR="00630BE3" w:rsidRPr="005B5D7C" w:rsidRDefault="00630BE3" w:rsidP="00630BE3">
            <w:pPr>
              <w:jc w:val="both"/>
              <w:rPr>
                <w:rFonts w:ascii="Arial" w:hAnsi="Arial" w:cs="Arial"/>
                <w:sz w:val="22"/>
                <w:szCs w:val="22"/>
                <w:lang w:val="es-ES"/>
              </w:rPr>
            </w:pPr>
            <w:r w:rsidRPr="005B5D7C">
              <w:rPr>
                <w:rFonts w:ascii="Arial" w:hAnsi="Arial" w:cs="Arial"/>
                <w:sz w:val="22"/>
                <w:szCs w:val="22"/>
                <w:lang w:val="es-ES"/>
              </w:rPr>
              <w:t xml:space="preserve">El </w:t>
            </w:r>
            <w:r w:rsidR="007E3726">
              <w:rPr>
                <w:rFonts w:ascii="Arial" w:hAnsi="Arial" w:cs="Arial"/>
                <w:sz w:val="22"/>
                <w:szCs w:val="22"/>
                <w:lang w:val="es-ES"/>
              </w:rPr>
              <w:t>contrato de asistencia técnica por resultados</w:t>
            </w:r>
            <w:r w:rsidRPr="005B5D7C">
              <w:rPr>
                <w:rFonts w:ascii="Arial" w:hAnsi="Arial" w:cs="Arial"/>
                <w:sz w:val="22"/>
                <w:szCs w:val="22"/>
                <w:lang w:val="es-ES"/>
              </w:rPr>
              <w:t xml:space="preserve"> define las Metas de Atendimiento y Calidad de los Servicios y establece índices de cobertura de agua, nivel de pérdidas, continuidad, y análisis bacteriológico en el área de prestación de</w:t>
            </w:r>
            <w:r w:rsidR="00C14EB8">
              <w:rPr>
                <w:rFonts w:ascii="Arial" w:hAnsi="Arial" w:cs="Arial"/>
                <w:sz w:val="22"/>
                <w:szCs w:val="22"/>
                <w:lang w:val="es-ES"/>
              </w:rPr>
              <w:t>l CTE de Cabo Haitiano.</w:t>
            </w:r>
          </w:p>
          <w:p w14:paraId="1E4B411F" w14:textId="4CCFD2F2" w:rsidR="008B195A" w:rsidRPr="005B5D7C" w:rsidRDefault="00AC6EC7" w:rsidP="00D52CBE">
            <w:pPr>
              <w:jc w:val="both"/>
              <w:rPr>
                <w:rFonts w:ascii="Arial" w:hAnsi="Arial" w:cs="Arial"/>
                <w:sz w:val="20"/>
                <w:szCs w:val="20"/>
                <w:lang w:val="es-ES"/>
              </w:rPr>
            </w:pPr>
            <w:r>
              <w:rPr>
                <w:rFonts w:ascii="Arial" w:hAnsi="Arial" w:cs="Arial"/>
                <w:sz w:val="20"/>
                <w:szCs w:val="20"/>
                <w:lang w:val="es-ES"/>
              </w:rPr>
              <w:t xml:space="preserve">Los resultados son medidos sobre los indicadores de los objetivos de desarrollo sostenible que para el acceso seguro incluyen </w:t>
            </w:r>
            <w:r w:rsidR="00B76801">
              <w:rPr>
                <w:rFonts w:ascii="Arial" w:hAnsi="Arial" w:cs="Arial"/>
                <w:sz w:val="20"/>
                <w:szCs w:val="20"/>
                <w:lang w:val="es-ES"/>
              </w:rPr>
              <w:t>la calidad del servicio</w:t>
            </w:r>
            <w:r w:rsidR="00F37E7D">
              <w:rPr>
                <w:rFonts w:ascii="Arial" w:hAnsi="Arial" w:cs="Arial"/>
                <w:sz w:val="20"/>
                <w:szCs w:val="20"/>
                <w:lang w:val="es-ES"/>
              </w:rPr>
              <w:t xml:space="preserve"> (incluyendo la calidad bacteriológica y química del agua)</w:t>
            </w:r>
            <w:r w:rsidR="00B76801">
              <w:rPr>
                <w:rFonts w:ascii="Arial" w:hAnsi="Arial" w:cs="Arial"/>
                <w:sz w:val="20"/>
                <w:szCs w:val="20"/>
                <w:lang w:val="es-ES"/>
              </w:rPr>
              <w:t xml:space="preserve"> como uno de los criterios de aceptación. </w:t>
            </w:r>
          </w:p>
        </w:tc>
      </w:tr>
    </w:tbl>
    <w:p w14:paraId="3FF180D0" w14:textId="77777777" w:rsidR="005B5D7C" w:rsidRPr="005B5D7C" w:rsidRDefault="005B5D7C" w:rsidP="007F37DC">
      <w:pPr>
        <w:rPr>
          <w:rFonts w:ascii="Arial" w:hAnsi="Arial" w:cs="Arial"/>
          <w:b/>
          <w:bCs/>
          <w:sz w:val="20"/>
          <w:szCs w:val="20"/>
          <w:lang w:val="es-ES"/>
        </w:rPr>
        <w:sectPr w:rsidR="005B5D7C" w:rsidRPr="005B5D7C">
          <w:headerReference w:type="default" r:id="rId8"/>
          <w:pgSz w:w="12240" w:h="15840"/>
          <w:pgMar w:top="1440" w:right="1800" w:bottom="1440" w:left="1800" w:header="720" w:footer="720" w:gutter="0"/>
          <w:cols w:space="720"/>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2961"/>
        <w:gridCol w:w="3700"/>
      </w:tblGrid>
      <w:tr w:rsidR="000C5FC2" w:rsidRPr="000F22DF" w14:paraId="3E94C427" w14:textId="77777777" w:rsidTr="00027AFD">
        <w:trPr>
          <w:jc w:val="center"/>
        </w:trPr>
        <w:tc>
          <w:tcPr>
            <w:tcW w:w="1998" w:type="dxa"/>
            <w:shd w:val="clear" w:color="auto" w:fill="auto"/>
          </w:tcPr>
          <w:p w14:paraId="5A8AC5FA" w14:textId="439B82B0" w:rsidR="000C5FC2" w:rsidRPr="005B5D7C" w:rsidRDefault="000C5FC2" w:rsidP="007F37DC">
            <w:pPr>
              <w:rPr>
                <w:rFonts w:ascii="Arial" w:hAnsi="Arial" w:cs="Arial"/>
                <w:b/>
                <w:bCs/>
                <w:sz w:val="20"/>
                <w:szCs w:val="20"/>
                <w:lang w:val="es-ES"/>
              </w:rPr>
            </w:pPr>
            <w:r w:rsidRPr="005B5D7C">
              <w:rPr>
                <w:rFonts w:ascii="Arial" w:hAnsi="Arial" w:cs="Arial"/>
                <w:b/>
                <w:bCs/>
                <w:sz w:val="20"/>
                <w:szCs w:val="20"/>
                <w:lang w:val="es-ES"/>
              </w:rPr>
              <w:t>3. Suministrar un servicio en condiciones de eficiencia</w:t>
            </w:r>
          </w:p>
        </w:tc>
        <w:tc>
          <w:tcPr>
            <w:tcW w:w="3042" w:type="dxa"/>
            <w:shd w:val="clear" w:color="auto" w:fill="auto"/>
          </w:tcPr>
          <w:p w14:paraId="18D9F5D1" w14:textId="5A123BE5" w:rsidR="000C5FC2" w:rsidRPr="005B5D7C" w:rsidRDefault="000C5FC2" w:rsidP="00EC228E">
            <w:pPr>
              <w:jc w:val="both"/>
              <w:rPr>
                <w:rFonts w:ascii="Arial" w:hAnsi="Arial" w:cs="Arial"/>
                <w:sz w:val="22"/>
                <w:szCs w:val="22"/>
                <w:lang w:val="es-ES"/>
              </w:rPr>
            </w:pPr>
            <w:r w:rsidRPr="005B5D7C">
              <w:rPr>
                <w:rFonts w:ascii="Arial" w:hAnsi="Arial" w:cs="Arial"/>
                <w:sz w:val="22"/>
                <w:szCs w:val="22"/>
                <w:lang w:val="es-ES"/>
              </w:rPr>
              <w:t>Debe asegurarse que, desde el punto de vista de la oferta, los servicios se proveen con los menores costos posibles.</w:t>
            </w:r>
          </w:p>
        </w:tc>
        <w:tc>
          <w:tcPr>
            <w:tcW w:w="3816" w:type="dxa"/>
            <w:shd w:val="clear" w:color="auto" w:fill="auto"/>
          </w:tcPr>
          <w:p w14:paraId="7CB81F46" w14:textId="3F0E1EDF" w:rsidR="000C5FC2" w:rsidRPr="005B5D7C" w:rsidRDefault="000C5FC2" w:rsidP="005151EE">
            <w:pPr>
              <w:jc w:val="both"/>
              <w:rPr>
                <w:rFonts w:ascii="Arial" w:hAnsi="Arial" w:cs="Arial"/>
                <w:color w:val="FF0000"/>
                <w:sz w:val="20"/>
                <w:szCs w:val="20"/>
                <w:lang w:val="es-ES"/>
              </w:rPr>
            </w:pPr>
            <w:r w:rsidRPr="005B5D7C">
              <w:rPr>
                <w:rFonts w:ascii="Arial" w:hAnsi="Arial" w:cs="Arial"/>
                <w:sz w:val="22"/>
                <w:szCs w:val="22"/>
                <w:lang w:val="es-ES"/>
              </w:rPr>
              <w:t>Uno de los principales objetivos del proyecto propuesto de mediano y largo plazo es la eficiencia operacional a través de</w:t>
            </w:r>
            <w:r w:rsidR="00292888" w:rsidRPr="005B5D7C">
              <w:rPr>
                <w:rFonts w:ascii="Arial" w:hAnsi="Arial" w:cs="Arial"/>
                <w:sz w:val="22"/>
                <w:szCs w:val="22"/>
                <w:lang w:val="es-ES"/>
              </w:rPr>
              <w:t xml:space="preserve"> un nuevo modelo de </w:t>
            </w:r>
            <w:r w:rsidR="00B970F0">
              <w:rPr>
                <w:rFonts w:ascii="Arial" w:hAnsi="Arial" w:cs="Arial"/>
                <w:sz w:val="22"/>
                <w:szCs w:val="22"/>
                <w:lang w:val="es-ES"/>
              </w:rPr>
              <w:t xml:space="preserve">asistencia técnica externa basada en un contrato por resultados. </w:t>
            </w:r>
          </w:p>
        </w:tc>
      </w:tr>
    </w:tbl>
    <w:p w14:paraId="5FAB7B84" w14:textId="2EE79477" w:rsidR="00027AFD" w:rsidRPr="005B5D7C" w:rsidRDefault="00027AFD">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2"/>
        <w:gridCol w:w="2962"/>
        <w:gridCol w:w="3696"/>
      </w:tblGrid>
      <w:tr w:rsidR="000C5FC2" w:rsidRPr="000F22DF" w14:paraId="752E3754" w14:textId="77777777" w:rsidTr="00027AFD">
        <w:trPr>
          <w:jc w:val="center"/>
        </w:trPr>
        <w:tc>
          <w:tcPr>
            <w:tcW w:w="1998" w:type="dxa"/>
            <w:shd w:val="clear" w:color="auto" w:fill="auto"/>
          </w:tcPr>
          <w:p w14:paraId="6C35F298" w14:textId="3AD02F18" w:rsidR="000C5FC2" w:rsidRPr="005B5D7C" w:rsidRDefault="000C5FC2" w:rsidP="00DD331B">
            <w:pPr>
              <w:rPr>
                <w:rFonts w:ascii="Arial" w:hAnsi="Arial" w:cs="Arial"/>
                <w:b/>
                <w:bCs/>
                <w:sz w:val="20"/>
                <w:szCs w:val="20"/>
                <w:lang w:val="es-ES"/>
              </w:rPr>
            </w:pPr>
            <w:r w:rsidRPr="005B5D7C">
              <w:rPr>
                <w:rFonts w:ascii="Arial" w:hAnsi="Arial" w:cs="Arial"/>
                <w:b/>
                <w:bCs/>
                <w:sz w:val="20"/>
                <w:szCs w:val="20"/>
                <w:lang w:val="es-ES"/>
              </w:rPr>
              <w:t xml:space="preserve">4. </w:t>
            </w:r>
            <w:r w:rsidR="00DD331B" w:rsidRPr="005B5D7C">
              <w:rPr>
                <w:rFonts w:ascii="Arial" w:hAnsi="Arial" w:cs="Arial"/>
                <w:b/>
                <w:bCs/>
                <w:sz w:val="20"/>
                <w:szCs w:val="20"/>
                <w:lang w:val="es-ES"/>
              </w:rPr>
              <w:t>Generar incentivos adecuados a la demanda de servicios</w:t>
            </w:r>
          </w:p>
        </w:tc>
        <w:tc>
          <w:tcPr>
            <w:tcW w:w="3042" w:type="dxa"/>
            <w:shd w:val="clear" w:color="auto" w:fill="auto"/>
          </w:tcPr>
          <w:p w14:paraId="6CA896AB" w14:textId="41411F5F" w:rsidR="000C5FC2" w:rsidRPr="005B5D7C" w:rsidRDefault="000C5FC2" w:rsidP="000C12F0">
            <w:pPr>
              <w:jc w:val="both"/>
              <w:rPr>
                <w:rFonts w:ascii="Arial" w:hAnsi="Arial" w:cs="Arial"/>
                <w:sz w:val="22"/>
                <w:szCs w:val="22"/>
                <w:lang w:val="es-ES"/>
              </w:rPr>
            </w:pPr>
            <w:r w:rsidRPr="005B5D7C">
              <w:rPr>
                <w:rFonts w:ascii="Arial" w:hAnsi="Arial" w:cs="Arial"/>
                <w:sz w:val="22"/>
                <w:szCs w:val="22"/>
                <w:lang w:val="es-ES"/>
              </w:rPr>
              <w:t xml:space="preserve">Debe velarse </w:t>
            </w:r>
            <w:proofErr w:type="gramStart"/>
            <w:r w:rsidRPr="005B5D7C">
              <w:rPr>
                <w:rFonts w:ascii="Arial" w:hAnsi="Arial" w:cs="Arial"/>
                <w:sz w:val="22"/>
                <w:szCs w:val="22"/>
                <w:lang w:val="es-ES"/>
              </w:rPr>
              <w:t>para</w:t>
            </w:r>
            <w:proofErr w:type="gramEnd"/>
            <w:r w:rsidRPr="005B5D7C">
              <w:rPr>
                <w:rFonts w:ascii="Arial" w:hAnsi="Arial" w:cs="Arial"/>
                <w:sz w:val="22"/>
                <w:szCs w:val="22"/>
                <w:lang w:val="es-ES"/>
              </w:rPr>
              <w:t xml:space="preserve"> que existan los incentivos adecuados para que los usuarios hagan un uso de estos servicios compatible con su sostenibilidad </w:t>
            </w:r>
            <w:r w:rsidRPr="005B5D7C">
              <w:rPr>
                <w:rFonts w:ascii="Arial" w:hAnsi="Arial" w:cs="Arial"/>
                <w:sz w:val="22"/>
                <w:szCs w:val="22"/>
                <w:lang w:val="es-ES"/>
              </w:rPr>
              <w:lastRenderedPageBreak/>
              <w:t>económica, financiera y ambiental.</w:t>
            </w:r>
          </w:p>
        </w:tc>
        <w:tc>
          <w:tcPr>
            <w:tcW w:w="3816" w:type="dxa"/>
            <w:shd w:val="clear" w:color="auto" w:fill="auto"/>
          </w:tcPr>
          <w:p w14:paraId="6F824F6F" w14:textId="2949FA9D" w:rsidR="000C5FC2" w:rsidRPr="005B5D7C" w:rsidRDefault="00CA2012">
            <w:pPr>
              <w:jc w:val="both"/>
              <w:rPr>
                <w:rFonts w:ascii="Arial" w:hAnsi="Arial" w:cs="Arial"/>
                <w:sz w:val="20"/>
                <w:szCs w:val="20"/>
                <w:lang w:val="es-ES"/>
              </w:rPr>
            </w:pPr>
            <w:r>
              <w:rPr>
                <w:rFonts w:ascii="Arial" w:hAnsi="Arial" w:cs="Arial"/>
                <w:sz w:val="22"/>
                <w:szCs w:val="22"/>
                <w:lang w:val="es-ES"/>
              </w:rPr>
              <w:lastRenderedPageBreak/>
              <w:t>La totalidad de conexiones incluidas en el programa est</w:t>
            </w:r>
            <w:r w:rsidR="00B76801">
              <w:rPr>
                <w:rFonts w:ascii="Arial" w:hAnsi="Arial" w:cs="Arial"/>
                <w:sz w:val="22"/>
                <w:szCs w:val="22"/>
                <w:lang w:val="es-ES"/>
              </w:rPr>
              <w:t>arán</w:t>
            </w:r>
            <w:r>
              <w:rPr>
                <w:rFonts w:ascii="Arial" w:hAnsi="Arial" w:cs="Arial"/>
                <w:sz w:val="22"/>
                <w:szCs w:val="22"/>
                <w:lang w:val="es-ES"/>
              </w:rPr>
              <w:t xml:space="preserve"> equipadas</w:t>
            </w:r>
            <w:r w:rsidR="000C5FC2" w:rsidRPr="005B5D7C">
              <w:rPr>
                <w:rFonts w:ascii="Arial" w:hAnsi="Arial" w:cs="Arial"/>
                <w:sz w:val="22"/>
                <w:szCs w:val="22"/>
                <w:lang w:val="es-ES"/>
              </w:rPr>
              <w:t xml:space="preserve"> de medidores para contribuir al buen manejo del recurso agua en </w:t>
            </w:r>
            <w:r>
              <w:rPr>
                <w:rFonts w:ascii="Arial" w:hAnsi="Arial" w:cs="Arial"/>
                <w:sz w:val="22"/>
                <w:szCs w:val="22"/>
                <w:lang w:val="es-ES"/>
              </w:rPr>
              <w:t>el CTE de Cabo Haitiano</w:t>
            </w:r>
            <w:r w:rsidR="000C5FC2" w:rsidRPr="005B5D7C">
              <w:rPr>
                <w:rFonts w:ascii="Arial" w:hAnsi="Arial" w:cs="Arial"/>
                <w:sz w:val="22"/>
                <w:szCs w:val="22"/>
                <w:lang w:val="es-ES"/>
              </w:rPr>
              <w:t>.</w:t>
            </w:r>
            <w:r>
              <w:rPr>
                <w:rFonts w:ascii="Arial" w:hAnsi="Arial" w:cs="Arial"/>
                <w:sz w:val="22"/>
                <w:szCs w:val="22"/>
                <w:lang w:val="es-ES"/>
              </w:rPr>
              <w:t xml:space="preserve"> Una revisión</w:t>
            </w:r>
            <w:r w:rsidR="00292888" w:rsidRPr="005B5D7C">
              <w:rPr>
                <w:rFonts w:ascii="Arial" w:hAnsi="Arial" w:cs="Arial"/>
                <w:sz w:val="22"/>
                <w:szCs w:val="22"/>
                <w:lang w:val="es-ES"/>
              </w:rPr>
              <w:t xml:space="preserve"> tarifari</w:t>
            </w:r>
            <w:r>
              <w:rPr>
                <w:rFonts w:ascii="Arial" w:hAnsi="Arial" w:cs="Arial"/>
                <w:sz w:val="22"/>
                <w:szCs w:val="22"/>
                <w:lang w:val="es-ES"/>
              </w:rPr>
              <w:t>a</w:t>
            </w:r>
            <w:r w:rsidR="00292888" w:rsidRPr="005B5D7C">
              <w:rPr>
                <w:rFonts w:ascii="Arial" w:hAnsi="Arial" w:cs="Arial"/>
                <w:sz w:val="22"/>
                <w:szCs w:val="22"/>
                <w:lang w:val="es-ES"/>
              </w:rPr>
              <w:t xml:space="preserve"> está </w:t>
            </w:r>
            <w:r w:rsidR="005151EE" w:rsidRPr="005B5D7C">
              <w:rPr>
                <w:rFonts w:ascii="Arial" w:hAnsi="Arial" w:cs="Arial"/>
                <w:sz w:val="22"/>
                <w:szCs w:val="22"/>
                <w:lang w:val="es-ES"/>
              </w:rPr>
              <w:t>previst</w:t>
            </w:r>
            <w:r>
              <w:rPr>
                <w:rFonts w:ascii="Arial" w:hAnsi="Arial" w:cs="Arial"/>
                <w:sz w:val="22"/>
                <w:szCs w:val="22"/>
                <w:lang w:val="es-ES"/>
              </w:rPr>
              <w:t>a</w:t>
            </w:r>
            <w:r w:rsidR="0070059E" w:rsidRPr="005B5D7C">
              <w:rPr>
                <w:rFonts w:ascii="Arial" w:hAnsi="Arial" w:cs="Arial"/>
                <w:sz w:val="22"/>
                <w:szCs w:val="22"/>
                <w:lang w:val="es-ES"/>
              </w:rPr>
              <w:t xml:space="preserve"> </w:t>
            </w:r>
            <w:r>
              <w:rPr>
                <w:rFonts w:ascii="Arial" w:hAnsi="Arial" w:cs="Arial"/>
                <w:sz w:val="22"/>
                <w:szCs w:val="22"/>
                <w:lang w:val="es-ES"/>
              </w:rPr>
              <w:t xml:space="preserve">a los tres años </w:t>
            </w:r>
            <w:r>
              <w:rPr>
                <w:rFonts w:ascii="Arial" w:hAnsi="Arial" w:cs="Arial"/>
                <w:sz w:val="22"/>
                <w:szCs w:val="22"/>
                <w:lang w:val="es-ES"/>
              </w:rPr>
              <w:lastRenderedPageBreak/>
              <w:t>de iniciado el programa</w:t>
            </w:r>
            <w:r w:rsidR="005A0386" w:rsidRPr="005B5D7C">
              <w:rPr>
                <w:rFonts w:ascii="Arial" w:hAnsi="Arial" w:cs="Arial"/>
                <w:sz w:val="22"/>
                <w:szCs w:val="22"/>
                <w:lang w:val="es-ES"/>
              </w:rPr>
              <w:t xml:space="preserve"> y </w:t>
            </w:r>
            <w:r w:rsidR="000C5FC2" w:rsidRPr="005B5D7C">
              <w:rPr>
                <w:rFonts w:ascii="Arial" w:hAnsi="Arial" w:cs="Arial"/>
                <w:sz w:val="22"/>
                <w:szCs w:val="22"/>
                <w:lang w:val="es-ES"/>
              </w:rPr>
              <w:t xml:space="preserve">se </w:t>
            </w:r>
            <w:r w:rsidR="00B23A8D" w:rsidRPr="005B5D7C">
              <w:rPr>
                <w:rFonts w:ascii="Arial" w:hAnsi="Arial" w:cs="Arial"/>
                <w:sz w:val="22"/>
                <w:szCs w:val="22"/>
                <w:lang w:val="es-ES"/>
              </w:rPr>
              <w:t xml:space="preserve">están incorporando </w:t>
            </w:r>
            <w:r w:rsidR="000C5FC2" w:rsidRPr="005B5D7C">
              <w:rPr>
                <w:rFonts w:ascii="Arial" w:hAnsi="Arial" w:cs="Arial"/>
                <w:sz w:val="22"/>
                <w:szCs w:val="22"/>
                <w:lang w:val="es-ES"/>
              </w:rPr>
              <w:t xml:space="preserve">los elementos fundamentales relacionados con uso de </w:t>
            </w:r>
            <w:proofErr w:type="spellStart"/>
            <w:proofErr w:type="gramStart"/>
            <w:r w:rsidR="000C5FC2" w:rsidRPr="005B5D7C">
              <w:rPr>
                <w:rFonts w:ascii="Arial" w:hAnsi="Arial" w:cs="Arial"/>
                <w:sz w:val="22"/>
                <w:szCs w:val="22"/>
                <w:lang w:val="es-ES"/>
              </w:rPr>
              <w:t>micro-medidores</w:t>
            </w:r>
            <w:proofErr w:type="spellEnd"/>
            <w:proofErr w:type="gramEnd"/>
            <w:r w:rsidR="000C5FC2" w:rsidRPr="005B5D7C">
              <w:rPr>
                <w:rFonts w:ascii="Arial" w:hAnsi="Arial" w:cs="Arial"/>
                <w:sz w:val="22"/>
                <w:szCs w:val="22"/>
                <w:lang w:val="es-ES"/>
              </w:rPr>
              <w:t xml:space="preserve"> para racionalizar el consumo, revisión de estructura tarifaria para alinear tarifas con costos y que sean compatibles con </w:t>
            </w:r>
            <w:r w:rsidR="00B23A8D" w:rsidRPr="005B5D7C">
              <w:rPr>
                <w:rFonts w:ascii="Arial" w:hAnsi="Arial" w:cs="Arial"/>
                <w:sz w:val="22"/>
                <w:szCs w:val="22"/>
                <w:lang w:val="es-ES"/>
              </w:rPr>
              <w:t>la</w:t>
            </w:r>
            <w:r w:rsidR="000C5FC2" w:rsidRPr="005B5D7C">
              <w:rPr>
                <w:rFonts w:ascii="Arial" w:hAnsi="Arial" w:cs="Arial"/>
                <w:sz w:val="22"/>
                <w:szCs w:val="22"/>
                <w:lang w:val="es-ES"/>
              </w:rPr>
              <w:t xml:space="preserve"> capacidad de pago</w:t>
            </w:r>
            <w:r w:rsidR="00B23A8D" w:rsidRPr="005B5D7C">
              <w:rPr>
                <w:rFonts w:ascii="Arial" w:hAnsi="Arial" w:cs="Arial"/>
                <w:sz w:val="22"/>
                <w:szCs w:val="22"/>
                <w:lang w:val="es-ES"/>
              </w:rPr>
              <w:t xml:space="preserve"> de los usuarios</w:t>
            </w:r>
            <w:r w:rsidR="000C5FC2" w:rsidRPr="005B5D7C">
              <w:rPr>
                <w:rFonts w:ascii="Arial" w:hAnsi="Arial" w:cs="Arial"/>
                <w:sz w:val="22"/>
                <w:szCs w:val="22"/>
                <w:lang w:val="es-ES"/>
              </w:rPr>
              <w:t xml:space="preserve"> y las normas ambientales, entre otros aspectos.</w:t>
            </w:r>
            <w:r w:rsidR="00E828A4" w:rsidRPr="005B5D7C">
              <w:rPr>
                <w:rFonts w:ascii="Arial" w:hAnsi="Arial" w:cs="Arial"/>
                <w:sz w:val="22"/>
                <w:szCs w:val="22"/>
                <w:lang w:val="es-ES"/>
              </w:rPr>
              <w:t xml:space="preserve"> </w:t>
            </w:r>
          </w:p>
        </w:tc>
      </w:tr>
      <w:tr w:rsidR="000C5FC2" w:rsidRPr="000F22DF" w14:paraId="16CCF125" w14:textId="77777777" w:rsidTr="00027AFD">
        <w:trPr>
          <w:jc w:val="center"/>
        </w:trPr>
        <w:tc>
          <w:tcPr>
            <w:tcW w:w="1998" w:type="dxa"/>
            <w:tcBorders>
              <w:bottom w:val="single" w:sz="4" w:space="0" w:color="auto"/>
            </w:tcBorders>
            <w:shd w:val="clear" w:color="auto" w:fill="auto"/>
          </w:tcPr>
          <w:p w14:paraId="090D81D6" w14:textId="2B3D759A" w:rsidR="000C5FC2" w:rsidRPr="005B5D7C" w:rsidRDefault="000C5FC2" w:rsidP="005D0049">
            <w:pPr>
              <w:rPr>
                <w:rFonts w:ascii="Arial" w:hAnsi="Arial" w:cs="Arial"/>
                <w:b/>
                <w:bCs/>
                <w:sz w:val="20"/>
                <w:szCs w:val="20"/>
                <w:lang w:val="es-ES"/>
              </w:rPr>
            </w:pPr>
            <w:r w:rsidRPr="005B5D7C">
              <w:rPr>
                <w:rFonts w:ascii="Arial" w:hAnsi="Arial" w:cs="Arial"/>
                <w:b/>
                <w:bCs/>
                <w:sz w:val="20"/>
                <w:szCs w:val="20"/>
                <w:lang w:val="es-ES"/>
              </w:rPr>
              <w:lastRenderedPageBreak/>
              <w:t>5. Promo</w:t>
            </w:r>
            <w:r w:rsidR="005A1967" w:rsidRPr="005B5D7C">
              <w:rPr>
                <w:rFonts w:ascii="Arial" w:hAnsi="Arial" w:cs="Arial"/>
                <w:b/>
                <w:bCs/>
                <w:sz w:val="20"/>
                <w:szCs w:val="20"/>
                <w:lang w:val="es-ES"/>
              </w:rPr>
              <w:t>ver la sostenibilidad de los servicios públicos domiciliarios</w:t>
            </w:r>
          </w:p>
          <w:p w14:paraId="663AAD01" w14:textId="77777777" w:rsidR="000C5FC2" w:rsidRPr="005B5D7C" w:rsidRDefault="000C5FC2" w:rsidP="001B48E1">
            <w:pPr>
              <w:rPr>
                <w:rFonts w:ascii="Arial" w:hAnsi="Arial" w:cs="Arial"/>
                <w:b/>
                <w:bCs/>
                <w:sz w:val="20"/>
                <w:szCs w:val="20"/>
                <w:lang w:val="es-ES"/>
              </w:rPr>
            </w:pPr>
          </w:p>
        </w:tc>
        <w:tc>
          <w:tcPr>
            <w:tcW w:w="3042" w:type="dxa"/>
            <w:tcBorders>
              <w:bottom w:val="single" w:sz="4" w:space="0" w:color="auto"/>
            </w:tcBorders>
            <w:shd w:val="clear" w:color="auto" w:fill="auto"/>
          </w:tcPr>
          <w:p w14:paraId="6F0E49A2" w14:textId="77777777" w:rsidR="00C03B18" w:rsidRPr="005B5D7C" w:rsidRDefault="00C03B18" w:rsidP="00C03B18">
            <w:pPr>
              <w:rPr>
                <w:rFonts w:ascii="Arial" w:hAnsi="Arial" w:cs="Arial"/>
                <w:sz w:val="22"/>
                <w:szCs w:val="22"/>
                <w:lang w:val="es-ES"/>
              </w:rPr>
            </w:pPr>
            <w:r w:rsidRPr="005B5D7C">
              <w:rPr>
                <w:rFonts w:ascii="Arial" w:hAnsi="Arial" w:cs="Arial"/>
                <w:sz w:val="22"/>
                <w:szCs w:val="22"/>
                <w:lang w:val="es-ES"/>
              </w:rPr>
              <w:t>El alcance de la sostenibilidad de los servicios públicos domiciliarios se promoverá en función de tres pilares:</w:t>
            </w:r>
          </w:p>
          <w:p w14:paraId="122BD054" w14:textId="77777777" w:rsidR="00C03B18" w:rsidRPr="005B5D7C" w:rsidRDefault="00C03B18" w:rsidP="00C03B18">
            <w:pPr>
              <w:rPr>
                <w:rFonts w:ascii="Arial" w:hAnsi="Arial" w:cs="Arial"/>
                <w:sz w:val="22"/>
                <w:szCs w:val="22"/>
                <w:lang w:val="es-ES"/>
              </w:rPr>
            </w:pPr>
          </w:p>
          <w:p w14:paraId="35E3DF63" w14:textId="77777777" w:rsidR="00C03B18" w:rsidRPr="005B5D7C" w:rsidRDefault="00C03B18" w:rsidP="00C03B18">
            <w:pPr>
              <w:rPr>
                <w:rFonts w:ascii="Arial" w:hAnsi="Arial" w:cs="Arial"/>
                <w:sz w:val="22"/>
                <w:szCs w:val="22"/>
                <w:lang w:val="es-ES"/>
              </w:rPr>
            </w:pPr>
            <w:r w:rsidRPr="005B5D7C">
              <w:rPr>
                <w:rFonts w:ascii="Arial" w:hAnsi="Arial" w:cs="Arial"/>
                <w:sz w:val="22"/>
                <w:szCs w:val="22"/>
                <w:lang w:val="es-ES"/>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01FDADA3" w14:textId="77777777" w:rsidR="00C03B18" w:rsidRPr="005B5D7C" w:rsidRDefault="00C03B18" w:rsidP="00C03B18">
            <w:pPr>
              <w:rPr>
                <w:rFonts w:ascii="Arial" w:hAnsi="Arial" w:cs="Arial"/>
                <w:sz w:val="22"/>
                <w:szCs w:val="22"/>
                <w:lang w:val="es-ES"/>
              </w:rPr>
            </w:pPr>
          </w:p>
          <w:p w14:paraId="7BFB036E" w14:textId="77777777" w:rsidR="00C03B18" w:rsidRPr="005B5D7C" w:rsidRDefault="00C03B18" w:rsidP="00C03B18">
            <w:pPr>
              <w:rPr>
                <w:rFonts w:ascii="Arial" w:hAnsi="Arial" w:cs="Arial"/>
                <w:sz w:val="22"/>
                <w:szCs w:val="22"/>
                <w:lang w:val="es-ES"/>
              </w:rPr>
            </w:pPr>
            <w:r w:rsidRPr="005B5D7C">
              <w:rPr>
                <w:rFonts w:ascii="Arial" w:hAnsi="Arial" w:cs="Arial"/>
                <w:sz w:val="22"/>
                <w:szCs w:val="22"/>
                <w:lang w:val="es-ES"/>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67BF7C29" w14:textId="77777777" w:rsidR="00C03B18" w:rsidRPr="005B5D7C" w:rsidRDefault="00C03B18" w:rsidP="00C03B18">
            <w:pPr>
              <w:rPr>
                <w:rFonts w:ascii="Arial" w:hAnsi="Arial" w:cs="Arial"/>
                <w:sz w:val="22"/>
                <w:szCs w:val="22"/>
                <w:lang w:val="es-ES"/>
              </w:rPr>
            </w:pPr>
          </w:p>
          <w:p w14:paraId="50B12273" w14:textId="77777777" w:rsidR="00027AFD" w:rsidRPr="005B5D7C" w:rsidRDefault="00027AFD" w:rsidP="00C03B18">
            <w:pPr>
              <w:rPr>
                <w:rFonts w:ascii="Arial" w:hAnsi="Arial" w:cs="Arial"/>
                <w:sz w:val="22"/>
                <w:szCs w:val="22"/>
                <w:lang w:val="es-ES"/>
              </w:rPr>
            </w:pPr>
          </w:p>
          <w:p w14:paraId="5BE98F83" w14:textId="380B2290" w:rsidR="000C5FC2" w:rsidRPr="005B5D7C" w:rsidRDefault="00C03B18" w:rsidP="00C03B18">
            <w:pPr>
              <w:jc w:val="both"/>
              <w:rPr>
                <w:rFonts w:ascii="Arial" w:hAnsi="Arial" w:cs="Arial"/>
                <w:sz w:val="20"/>
                <w:szCs w:val="20"/>
                <w:lang w:val="es-ES"/>
              </w:rPr>
            </w:pPr>
            <w:r w:rsidRPr="005B5D7C">
              <w:rPr>
                <w:rFonts w:ascii="Arial" w:hAnsi="Arial" w:cs="Arial"/>
                <w:sz w:val="22"/>
                <w:szCs w:val="22"/>
                <w:lang w:val="es-ES"/>
              </w:rPr>
              <w:t>c. Sostenibilidad social: contribuyendo a incrementar el acceso al servicio y previendo mecanismos de consulta con la comunidad sobre los aspectos relevantes de la provisión del servicio.</w:t>
            </w:r>
          </w:p>
        </w:tc>
        <w:tc>
          <w:tcPr>
            <w:tcW w:w="3816" w:type="dxa"/>
            <w:tcBorders>
              <w:bottom w:val="single" w:sz="4" w:space="0" w:color="auto"/>
            </w:tcBorders>
            <w:shd w:val="clear" w:color="auto" w:fill="auto"/>
          </w:tcPr>
          <w:p w14:paraId="6A1BE6B7" w14:textId="5D330702" w:rsidR="00FE49C3" w:rsidRPr="005B5D7C" w:rsidRDefault="00FE49C3" w:rsidP="00FE49C3">
            <w:pPr>
              <w:jc w:val="both"/>
              <w:rPr>
                <w:rFonts w:ascii="Arial" w:hAnsi="Arial" w:cs="Arial"/>
                <w:sz w:val="22"/>
                <w:szCs w:val="22"/>
                <w:lang w:val="es-ES"/>
              </w:rPr>
            </w:pPr>
            <w:r w:rsidRPr="005B5D7C">
              <w:rPr>
                <w:rFonts w:ascii="Arial" w:hAnsi="Arial" w:cs="Arial"/>
                <w:i/>
                <w:sz w:val="22"/>
                <w:szCs w:val="22"/>
                <w:lang w:val="es-ES"/>
              </w:rPr>
              <w:t>Sostenibilidad Financiera:</w:t>
            </w:r>
            <w:r w:rsidRPr="005B5D7C">
              <w:rPr>
                <w:rFonts w:ascii="Arial" w:hAnsi="Arial" w:cs="Arial"/>
                <w:sz w:val="22"/>
                <w:szCs w:val="22"/>
                <w:lang w:val="es-ES"/>
              </w:rPr>
              <w:t xml:space="preserve"> En la actualidad, los servicios de agua y alcantarillado de </w:t>
            </w:r>
            <w:r w:rsidR="00CA2012">
              <w:rPr>
                <w:rFonts w:ascii="Arial" w:hAnsi="Arial" w:cs="Arial"/>
                <w:sz w:val="22"/>
                <w:szCs w:val="22"/>
                <w:lang w:val="es-ES"/>
              </w:rPr>
              <w:t>Cabo Haitiano</w:t>
            </w:r>
            <w:r w:rsidR="00CC6F43" w:rsidRPr="005B5D7C">
              <w:rPr>
                <w:rFonts w:ascii="Arial" w:hAnsi="Arial" w:cs="Arial"/>
                <w:sz w:val="22"/>
                <w:szCs w:val="22"/>
                <w:lang w:val="es-ES"/>
              </w:rPr>
              <w:t xml:space="preserve"> es</w:t>
            </w:r>
            <w:r w:rsidRPr="005B5D7C">
              <w:rPr>
                <w:rFonts w:ascii="Arial" w:hAnsi="Arial" w:cs="Arial"/>
                <w:sz w:val="22"/>
                <w:szCs w:val="22"/>
                <w:lang w:val="es-ES"/>
              </w:rPr>
              <w:t xml:space="preserve"> prestado por </w:t>
            </w:r>
            <w:r w:rsidR="00CC6F43" w:rsidRPr="005B5D7C">
              <w:rPr>
                <w:rFonts w:ascii="Arial" w:hAnsi="Arial" w:cs="Arial"/>
                <w:sz w:val="22"/>
                <w:szCs w:val="22"/>
                <w:lang w:val="es-ES"/>
              </w:rPr>
              <w:t>una em</w:t>
            </w:r>
            <w:r w:rsidRPr="005B5D7C">
              <w:rPr>
                <w:rFonts w:ascii="Arial" w:hAnsi="Arial" w:cs="Arial"/>
                <w:sz w:val="22"/>
                <w:szCs w:val="22"/>
                <w:lang w:val="es-ES"/>
              </w:rPr>
              <w:t xml:space="preserve">presa pública o “Centre </w:t>
            </w:r>
            <w:proofErr w:type="spellStart"/>
            <w:r w:rsidRPr="005B5D7C">
              <w:rPr>
                <w:rFonts w:ascii="Arial" w:hAnsi="Arial" w:cs="Arial"/>
                <w:sz w:val="22"/>
                <w:szCs w:val="22"/>
                <w:lang w:val="es-ES"/>
              </w:rPr>
              <w:t>Technique</w:t>
            </w:r>
            <w:proofErr w:type="spellEnd"/>
            <w:r w:rsidRPr="005B5D7C">
              <w:rPr>
                <w:rFonts w:ascii="Arial" w:hAnsi="Arial" w:cs="Arial"/>
                <w:sz w:val="22"/>
                <w:szCs w:val="22"/>
                <w:lang w:val="es-ES"/>
              </w:rPr>
              <w:t xml:space="preserve"> </w:t>
            </w:r>
            <w:proofErr w:type="spellStart"/>
            <w:r w:rsidRPr="005B5D7C">
              <w:rPr>
                <w:rFonts w:ascii="Arial" w:hAnsi="Arial" w:cs="Arial"/>
                <w:sz w:val="22"/>
                <w:szCs w:val="22"/>
                <w:lang w:val="es-ES"/>
              </w:rPr>
              <w:t>d’Exploitation</w:t>
            </w:r>
            <w:proofErr w:type="spellEnd"/>
            <w:r w:rsidRPr="005B5D7C">
              <w:rPr>
                <w:rFonts w:ascii="Arial" w:hAnsi="Arial" w:cs="Arial"/>
                <w:sz w:val="22"/>
                <w:szCs w:val="22"/>
                <w:lang w:val="es-ES"/>
              </w:rPr>
              <w:t xml:space="preserve"> (CTE</w:t>
            </w:r>
            <w:r w:rsidR="00CC6F43" w:rsidRPr="005B5D7C">
              <w:rPr>
                <w:rFonts w:ascii="Arial" w:hAnsi="Arial" w:cs="Arial"/>
                <w:sz w:val="22"/>
                <w:szCs w:val="22"/>
                <w:lang w:val="es-ES"/>
              </w:rPr>
              <w:t>-RMPP</w:t>
            </w:r>
            <w:r w:rsidRPr="005B5D7C">
              <w:rPr>
                <w:rFonts w:ascii="Arial" w:hAnsi="Arial" w:cs="Arial"/>
                <w:sz w:val="22"/>
                <w:szCs w:val="22"/>
                <w:lang w:val="es-ES"/>
              </w:rPr>
              <w:t xml:space="preserve">). </w:t>
            </w:r>
          </w:p>
          <w:p w14:paraId="4B6EDBD0" w14:textId="69D149A0" w:rsidR="00FE49C3" w:rsidRPr="005B5D7C" w:rsidRDefault="00FE49C3" w:rsidP="00FE49C3">
            <w:pPr>
              <w:jc w:val="both"/>
              <w:rPr>
                <w:rFonts w:ascii="Arial" w:hAnsi="Arial" w:cs="Arial"/>
                <w:sz w:val="22"/>
                <w:szCs w:val="22"/>
                <w:lang w:val="es-ES"/>
              </w:rPr>
            </w:pPr>
            <w:r w:rsidRPr="005B5D7C">
              <w:rPr>
                <w:rFonts w:ascii="Arial" w:hAnsi="Arial" w:cs="Arial"/>
                <w:sz w:val="22"/>
                <w:szCs w:val="22"/>
                <w:lang w:val="es-ES"/>
              </w:rPr>
              <w:t>El CTE</w:t>
            </w:r>
            <w:r w:rsidR="00CA2012">
              <w:rPr>
                <w:rFonts w:ascii="Arial" w:hAnsi="Arial" w:cs="Arial"/>
                <w:sz w:val="22"/>
                <w:szCs w:val="22"/>
                <w:lang w:val="es-ES"/>
              </w:rPr>
              <w:t xml:space="preserve"> </w:t>
            </w:r>
            <w:r w:rsidR="005A0386" w:rsidRPr="005B5D7C">
              <w:rPr>
                <w:rFonts w:ascii="Arial" w:hAnsi="Arial" w:cs="Arial"/>
                <w:sz w:val="22"/>
                <w:szCs w:val="22"/>
                <w:lang w:val="es-ES"/>
              </w:rPr>
              <w:t>aplica una tarifa</w:t>
            </w:r>
            <w:r w:rsidRPr="005B5D7C">
              <w:rPr>
                <w:rFonts w:ascii="Arial" w:hAnsi="Arial" w:cs="Arial"/>
                <w:sz w:val="22"/>
                <w:szCs w:val="22"/>
                <w:lang w:val="es-ES"/>
              </w:rPr>
              <w:t xml:space="preserve"> que </w:t>
            </w:r>
            <w:r w:rsidR="005A0386" w:rsidRPr="005B5D7C">
              <w:rPr>
                <w:rFonts w:ascii="Arial" w:hAnsi="Arial" w:cs="Arial"/>
                <w:sz w:val="22"/>
                <w:szCs w:val="22"/>
                <w:lang w:val="es-ES"/>
              </w:rPr>
              <w:t xml:space="preserve">debería </w:t>
            </w:r>
            <w:r w:rsidRPr="005B5D7C">
              <w:rPr>
                <w:rFonts w:ascii="Arial" w:hAnsi="Arial" w:cs="Arial"/>
                <w:sz w:val="22"/>
                <w:szCs w:val="22"/>
                <w:lang w:val="es-ES"/>
              </w:rPr>
              <w:t>cubrir los costos operacionales y de mantenimiento</w:t>
            </w:r>
            <w:r w:rsidR="005A0386" w:rsidRPr="005B5D7C">
              <w:rPr>
                <w:rFonts w:ascii="Arial" w:hAnsi="Arial" w:cs="Arial"/>
                <w:sz w:val="22"/>
                <w:szCs w:val="22"/>
                <w:lang w:val="es-ES"/>
              </w:rPr>
              <w:t xml:space="preserve">. </w:t>
            </w:r>
            <w:r w:rsidRPr="005B5D7C">
              <w:rPr>
                <w:rFonts w:ascii="Arial" w:hAnsi="Arial" w:cs="Arial"/>
                <w:sz w:val="22"/>
                <w:szCs w:val="22"/>
                <w:lang w:val="es-ES"/>
              </w:rPr>
              <w:t xml:space="preserve"> </w:t>
            </w:r>
          </w:p>
          <w:p w14:paraId="76F39286" w14:textId="77777777" w:rsidR="00FE49C3" w:rsidRPr="005B5D7C" w:rsidRDefault="00FE49C3" w:rsidP="00FE49C3">
            <w:pPr>
              <w:jc w:val="both"/>
              <w:rPr>
                <w:rFonts w:ascii="Arial" w:hAnsi="Arial" w:cs="Arial"/>
                <w:sz w:val="22"/>
                <w:szCs w:val="22"/>
                <w:lang w:val="es-ES"/>
              </w:rPr>
            </w:pPr>
          </w:p>
          <w:p w14:paraId="79492852" w14:textId="77777777" w:rsidR="00FE49C3" w:rsidRPr="005B5D7C" w:rsidRDefault="00FE49C3" w:rsidP="00FE49C3">
            <w:pPr>
              <w:jc w:val="both"/>
              <w:rPr>
                <w:rFonts w:ascii="Arial" w:hAnsi="Arial" w:cs="Arial"/>
                <w:sz w:val="22"/>
                <w:szCs w:val="22"/>
                <w:lang w:val="es-ES"/>
              </w:rPr>
            </w:pPr>
          </w:p>
          <w:p w14:paraId="069CC58F" w14:textId="024BFD2B" w:rsidR="00FE49C3" w:rsidRPr="005B5D7C" w:rsidRDefault="00FE49C3" w:rsidP="00FE49C3">
            <w:pPr>
              <w:jc w:val="both"/>
              <w:rPr>
                <w:rFonts w:ascii="Arial" w:hAnsi="Arial" w:cs="Arial"/>
                <w:sz w:val="22"/>
                <w:szCs w:val="22"/>
                <w:lang w:val="es-ES"/>
              </w:rPr>
            </w:pPr>
            <w:r w:rsidRPr="005B5D7C">
              <w:rPr>
                <w:rFonts w:ascii="Arial" w:hAnsi="Arial" w:cs="Arial"/>
                <w:sz w:val="22"/>
                <w:szCs w:val="22"/>
                <w:lang w:val="es-ES"/>
              </w:rPr>
              <w:t>El establecimiento de las tarifas se basa</w:t>
            </w:r>
            <w:r w:rsidR="00B76801">
              <w:rPr>
                <w:rFonts w:ascii="Arial" w:hAnsi="Arial" w:cs="Arial"/>
                <w:sz w:val="22"/>
                <w:szCs w:val="22"/>
                <w:lang w:val="es-ES"/>
              </w:rPr>
              <w:t>rá</w:t>
            </w:r>
            <w:r w:rsidRPr="005B5D7C">
              <w:rPr>
                <w:rFonts w:ascii="Arial" w:hAnsi="Arial" w:cs="Arial"/>
                <w:sz w:val="22"/>
                <w:szCs w:val="22"/>
                <w:lang w:val="es-ES"/>
              </w:rPr>
              <w:t xml:space="preserve"> en el principio de mantenimiento de su condición financiera y promoción de acceso en la prestación de servicios de saneamiento a la población.</w:t>
            </w:r>
          </w:p>
          <w:p w14:paraId="4753A47D" w14:textId="77777777" w:rsidR="00FE49C3" w:rsidRPr="005B5D7C" w:rsidRDefault="00FE49C3" w:rsidP="00FE49C3">
            <w:pPr>
              <w:jc w:val="both"/>
              <w:rPr>
                <w:rFonts w:ascii="Arial" w:hAnsi="Arial" w:cs="Arial"/>
                <w:sz w:val="22"/>
                <w:szCs w:val="22"/>
                <w:lang w:val="es-ES"/>
              </w:rPr>
            </w:pPr>
          </w:p>
          <w:p w14:paraId="6EDA2952" w14:textId="047F32C4" w:rsidR="00FE49C3" w:rsidRPr="005B5D7C" w:rsidRDefault="00FE49C3" w:rsidP="00FE49C3">
            <w:pPr>
              <w:jc w:val="both"/>
              <w:rPr>
                <w:rFonts w:ascii="Arial" w:hAnsi="Arial" w:cs="Arial"/>
                <w:sz w:val="22"/>
                <w:szCs w:val="22"/>
                <w:lang w:val="es-ES"/>
              </w:rPr>
            </w:pPr>
            <w:r w:rsidRPr="005B5D7C">
              <w:rPr>
                <w:rFonts w:ascii="Arial" w:hAnsi="Arial" w:cs="Arial"/>
                <w:sz w:val="22"/>
                <w:szCs w:val="22"/>
                <w:lang w:val="es-ES"/>
              </w:rPr>
              <w:t>Sostenibilidad ambiental: La política tarifaria que se diseñar</w:t>
            </w:r>
            <w:r w:rsidR="00CC6F43" w:rsidRPr="005B5D7C">
              <w:rPr>
                <w:rFonts w:ascii="Arial" w:hAnsi="Arial" w:cs="Arial"/>
                <w:sz w:val="22"/>
                <w:szCs w:val="22"/>
                <w:lang w:val="es-ES"/>
              </w:rPr>
              <w:t>á</w:t>
            </w:r>
            <w:r w:rsidRPr="005B5D7C">
              <w:rPr>
                <w:rFonts w:ascii="Arial" w:hAnsi="Arial" w:cs="Arial"/>
                <w:sz w:val="22"/>
                <w:szCs w:val="22"/>
                <w:lang w:val="es-ES"/>
              </w:rPr>
              <w:t xml:space="preserve"> </w:t>
            </w:r>
            <w:r w:rsidR="005A0386" w:rsidRPr="005B5D7C">
              <w:rPr>
                <w:rFonts w:ascii="Arial" w:hAnsi="Arial" w:cs="Arial"/>
                <w:sz w:val="22"/>
                <w:szCs w:val="22"/>
                <w:lang w:val="es-ES"/>
              </w:rPr>
              <w:t xml:space="preserve">(HA-T1194) </w:t>
            </w:r>
            <w:r w:rsidRPr="005B5D7C">
              <w:rPr>
                <w:rFonts w:ascii="Arial" w:hAnsi="Arial" w:cs="Arial"/>
                <w:sz w:val="22"/>
                <w:szCs w:val="22"/>
                <w:lang w:val="es-ES"/>
              </w:rPr>
              <w:t>contemplará la necesidad de proteger los recursos hídricos.</w:t>
            </w:r>
          </w:p>
          <w:p w14:paraId="42702DCB" w14:textId="77777777" w:rsidR="00FE49C3" w:rsidRPr="005B5D7C" w:rsidRDefault="00FE49C3" w:rsidP="00FE49C3">
            <w:pPr>
              <w:jc w:val="both"/>
              <w:rPr>
                <w:rFonts w:ascii="Arial" w:hAnsi="Arial" w:cs="Arial"/>
                <w:sz w:val="22"/>
                <w:szCs w:val="22"/>
                <w:lang w:val="es-ES"/>
              </w:rPr>
            </w:pPr>
          </w:p>
          <w:p w14:paraId="12232382" w14:textId="035552CE" w:rsidR="000C5FC2" w:rsidRPr="005B5D7C" w:rsidRDefault="00FE49C3" w:rsidP="00FE49C3">
            <w:pPr>
              <w:jc w:val="both"/>
              <w:rPr>
                <w:rFonts w:ascii="Arial" w:hAnsi="Arial" w:cs="Arial"/>
                <w:sz w:val="20"/>
                <w:szCs w:val="20"/>
                <w:lang w:val="es-ES"/>
              </w:rPr>
            </w:pPr>
            <w:r w:rsidRPr="005B5D7C">
              <w:rPr>
                <w:rFonts w:ascii="Arial" w:hAnsi="Arial" w:cs="Arial"/>
                <w:i/>
                <w:sz w:val="22"/>
                <w:szCs w:val="22"/>
                <w:lang w:val="es-ES"/>
              </w:rPr>
              <w:t>Sostenibilidad Social</w:t>
            </w:r>
            <w:r w:rsidRPr="005B5D7C">
              <w:rPr>
                <w:rFonts w:ascii="Arial" w:hAnsi="Arial" w:cs="Arial"/>
                <w:sz w:val="22"/>
                <w:szCs w:val="22"/>
                <w:lang w:val="es-ES"/>
              </w:rPr>
              <w:t xml:space="preserve">: el diseño de la política de servicios públicos para el sector agua y saneamiento </w:t>
            </w:r>
            <w:r w:rsidR="005A0386" w:rsidRPr="005B5D7C">
              <w:rPr>
                <w:rFonts w:ascii="Arial" w:hAnsi="Arial" w:cs="Arial"/>
                <w:sz w:val="22"/>
                <w:szCs w:val="22"/>
                <w:lang w:val="es-ES"/>
              </w:rPr>
              <w:t>(HA-T1194</w:t>
            </w:r>
            <w:r w:rsidR="00F000EA" w:rsidRPr="005B5D7C">
              <w:rPr>
                <w:rFonts w:ascii="Arial" w:hAnsi="Arial" w:cs="Arial"/>
                <w:sz w:val="22"/>
                <w:szCs w:val="22"/>
                <w:lang w:val="es-ES"/>
              </w:rPr>
              <w:t>) incluirá</w:t>
            </w:r>
            <w:r w:rsidRPr="005B5D7C">
              <w:rPr>
                <w:rFonts w:ascii="Arial" w:hAnsi="Arial" w:cs="Arial"/>
                <w:sz w:val="22"/>
                <w:szCs w:val="22"/>
                <w:lang w:val="es-ES"/>
              </w:rPr>
              <w:t xml:space="preserve"> el aspecto de sostenibilidad social, incluyendo elementos de diseño de tarifas apropiadas a la capacidad de pago de la población y mecanismos de consulta con la comunidad</w:t>
            </w:r>
            <w:r w:rsidR="00CC6F43" w:rsidRPr="005B5D7C">
              <w:rPr>
                <w:rFonts w:ascii="Arial" w:hAnsi="Arial" w:cs="Arial"/>
                <w:sz w:val="22"/>
                <w:szCs w:val="22"/>
                <w:lang w:val="es-ES"/>
              </w:rPr>
              <w:t>.</w:t>
            </w:r>
            <w:r w:rsidR="000C5FC2" w:rsidRPr="005B5D7C">
              <w:rPr>
                <w:rFonts w:ascii="Arial" w:hAnsi="Arial" w:cs="Arial"/>
                <w:color w:val="FF0000"/>
                <w:sz w:val="20"/>
                <w:szCs w:val="20"/>
                <w:lang w:val="es-ES"/>
              </w:rPr>
              <w:t xml:space="preserve"> </w:t>
            </w:r>
          </w:p>
          <w:p w14:paraId="29C14E4C" w14:textId="1236F2A1" w:rsidR="000C5FC2" w:rsidRPr="005B5D7C" w:rsidRDefault="00ED21B5" w:rsidP="00AC28B1">
            <w:pPr>
              <w:jc w:val="both"/>
              <w:rPr>
                <w:rFonts w:ascii="Arial" w:hAnsi="Arial" w:cs="Arial"/>
                <w:sz w:val="20"/>
                <w:szCs w:val="20"/>
                <w:lang w:val="es-ES"/>
              </w:rPr>
            </w:pPr>
            <w:r w:rsidRPr="005B5D7C">
              <w:rPr>
                <w:rFonts w:ascii="Arial" w:hAnsi="Arial" w:cs="Arial"/>
                <w:sz w:val="20"/>
                <w:szCs w:val="20"/>
                <w:lang w:val="es-ES"/>
              </w:rPr>
              <w:t xml:space="preserve">Sostenibilidad Ambiental y </w:t>
            </w:r>
            <w:r w:rsidR="000C5FC2" w:rsidRPr="005B5D7C">
              <w:rPr>
                <w:rFonts w:ascii="Arial" w:hAnsi="Arial" w:cs="Arial"/>
                <w:sz w:val="20"/>
                <w:szCs w:val="20"/>
                <w:lang w:val="es-ES"/>
              </w:rPr>
              <w:t xml:space="preserve">Social </w:t>
            </w:r>
            <w:r w:rsidRPr="005B5D7C">
              <w:rPr>
                <w:rFonts w:ascii="Arial" w:hAnsi="Arial" w:cs="Arial"/>
                <w:sz w:val="20"/>
                <w:szCs w:val="20"/>
                <w:lang w:val="es-ES"/>
              </w:rPr>
              <w:t>en</w:t>
            </w:r>
            <w:r w:rsidR="000C5FC2" w:rsidRPr="005B5D7C">
              <w:rPr>
                <w:rFonts w:ascii="Arial" w:hAnsi="Arial" w:cs="Arial"/>
                <w:sz w:val="20"/>
                <w:szCs w:val="20"/>
                <w:lang w:val="es-ES"/>
              </w:rPr>
              <w:t xml:space="preserve"> </w:t>
            </w:r>
            <w:r w:rsidRPr="005B5D7C">
              <w:rPr>
                <w:rFonts w:ascii="Arial" w:hAnsi="Arial" w:cs="Arial"/>
                <w:sz w:val="20"/>
                <w:szCs w:val="20"/>
                <w:lang w:val="es-ES"/>
              </w:rPr>
              <w:t xml:space="preserve">Cumplimiento con la Política Ambiental y de Salvaguardias </w:t>
            </w:r>
            <w:r w:rsidR="000C5FC2" w:rsidRPr="005B5D7C">
              <w:rPr>
                <w:rFonts w:ascii="Arial" w:hAnsi="Arial" w:cs="Arial"/>
                <w:sz w:val="20"/>
                <w:szCs w:val="20"/>
                <w:lang w:val="es-ES"/>
              </w:rPr>
              <w:t>OP-703)</w:t>
            </w:r>
            <w:r w:rsidRPr="005B5D7C">
              <w:rPr>
                <w:rFonts w:ascii="Arial" w:hAnsi="Arial" w:cs="Arial"/>
                <w:sz w:val="20"/>
                <w:szCs w:val="20"/>
                <w:lang w:val="es-ES"/>
              </w:rPr>
              <w:t xml:space="preserve">: un análisis ambiental se llevó a cabo para identificar los impactos </w:t>
            </w:r>
            <w:r w:rsidR="00EA6898" w:rsidRPr="005B5D7C">
              <w:rPr>
                <w:rFonts w:ascii="Arial" w:hAnsi="Arial" w:cs="Arial"/>
                <w:sz w:val="20"/>
                <w:szCs w:val="20"/>
                <w:lang w:val="es-ES"/>
              </w:rPr>
              <w:t>ambientales</w:t>
            </w:r>
            <w:r w:rsidRPr="005B5D7C">
              <w:rPr>
                <w:rFonts w:ascii="Arial" w:hAnsi="Arial" w:cs="Arial"/>
                <w:sz w:val="20"/>
                <w:szCs w:val="20"/>
                <w:lang w:val="es-ES"/>
              </w:rPr>
              <w:t xml:space="preserve"> y sociales</w:t>
            </w:r>
            <w:r w:rsidR="000C5FC2" w:rsidRPr="005B5D7C">
              <w:rPr>
                <w:rFonts w:ascii="Arial" w:hAnsi="Arial" w:cs="Arial"/>
                <w:sz w:val="20"/>
                <w:szCs w:val="20"/>
                <w:lang w:val="es-ES"/>
              </w:rPr>
              <w:t xml:space="preserve"> (E&amp;S) </w:t>
            </w:r>
            <w:r w:rsidRPr="005B5D7C">
              <w:rPr>
                <w:rFonts w:ascii="Arial" w:hAnsi="Arial" w:cs="Arial"/>
                <w:sz w:val="20"/>
                <w:szCs w:val="20"/>
                <w:lang w:val="es-ES"/>
              </w:rPr>
              <w:t xml:space="preserve">y definir las medidas de mitigación correspondientes para cumplir con los requisitos de las Políticas y Directivas de Salvaguardias </w:t>
            </w:r>
            <w:r w:rsidRPr="005B5D7C">
              <w:rPr>
                <w:rFonts w:ascii="Arial" w:hAnsi="Arial" w:cs="Arial"/>
                <w:sz w:val="20"/>
                <w:szCs w:val="20"/>
                <w:lang w:val="es-ES"/>
              </w:rPr>
              <w:lastRenderedPageBreak/>
              <w:t xml:space="preserve">del BID y una </w:t>
            </w:r>
            <w:proofErr w:type="gramStart"/>
            <w:r w:rsidRPr="005B5D7C">
              <w:rPr>
                <w:rFonts w:ascii="Arial" w:hAnsi="Arial" w:cs="Arial"/>
                <w:sz w:val="20"/>
                <w:szCs w:val="20"/>
                <w:lang w:val="es-ES"/>
              </w:rPr>
              <w:t>clasificación  de</w:t>
            </w:r>
            <w:proofErr w:type="gramEnd"/>
            <w:r w:rsidRPr="005B5D7C">
              <w:rPr>
                <w:rFonts w:ascii="Arial" w:hAnsi="Arial" w:cs="Arial"/>
                <w:sz w:val="20"/>
                <w:szCs w:val="20"/>
                <w:lang w:val="es-ES"/>
              </w:rPr>
              <w:t xml:space="preserve"> categoría B se asignó al proyecto</w:t>
            </w:r>
            <w:r w:rsidR="000C5FC2" w:rsidRPr="005B5D7C">
              <w:rPr>
                <w:rFonts w:ascii="Arial" w:hAnsi="Arial" w:cs="Arial"/>
                <w:i/>
                <w:sz w:val="20"/>
                <w:szCs w:val="20"/>
                <w:lang w:val="es-ES"/>
              </w:rPr>
              <w:t>.</w:t>
            </w:r>
          </w:p>
          <w:p w14:paraId="77E58655" w14:textId="77777777" w:rsidR="000C5FC2" w:rsidRPr="005B5D7C" w:rsidRDefault="000C5FC2" w:rsidP="00882628">
            <w:pPr>
              <w:jc w:val="both"/>
              <w:rPr>
                <w:rFonts w:ascii="Arial" w:hAnsi="Arial" w:cs="Arial"/>
                <w:sz w:val="20"/>
                <w:szCs w:val="20"/>
                <w:lang w:val="es-ES"/>
              </w:rPr>
            </w:pPr>
          </w:p>
          <w:p w14:paraId="793C3BBE" w14:textId="0BCDC939" w:rsidR="000C5FC2" w:rsidRPr="005B5D7C" w:rsidRDefault="00140EFE" w:rsidP="00140EFE">
            <w:pPr>
              <w:jc w:val="both"/>
              <w:rPr>
                <w:rFonts w:ascii="Arial" w:hAnsi="Arial" w:cs="Arial"/>
                <w:sz w:val="20"/>
                <w:szCs w:val="20"/>
                <w:lang w:val="es-ES"/>
              </w:rPr>
            </w:pPr>
            <w:r w:rsidRPr="005B5D7C">
              <w:rPr>
                <w:rFonts w:ascii="Arial" w:hAnsi="Arial" w:cs="Arial"/>
                <w:sz w:val="20"/>
                <w:szCs w:val="20"/>
                <w:lang w:val="es-ES"/>
              </w:rPr>
              <w:t>El Reporte de Gestión Ambiental y Social (</w:t>
            </w:r>
            <w:r w:rsidR="000C5FC2" w:rsidRPr="005B5D7C">
              <w:rPr>
                <w:rFonts w:ascii="Arial" w:hAnsi="Arial" w:cs="Arial"/>
                <w:sz w:val="20"/>
                <w:szCs w:val="20"/>
                <w:lang w:val="es-ES"/>
              </w:rPr>
              <w:t xml:space="preserve">ESMR) </w:t>
            </w:r>
            <w:r w:rsidRPr="005B5D7C">
              <w:rPr>
                <w:rFonts w:ascii="Arial" w:hAnsi="Arial" w:cs="Arial"/>
                <w:sz w:val="20"/>
                <w:szCs w:val="20"/>
                <w:lang w:val="es-ES"/>
              </w:rPr>
              <w:t>tiene las acciones requeridas e identificadas para que el Proyecto cumpla con los requisitos de la Política de Salvaguardias del Banco</w:t>
            </w:r>
            <w:r w:rsidR="000C5FC2" w:rsidRPr="005B5D7C">
              <w:rPr>
                <w:rFonts w:ascii="Arial" w:hAnsi="Arial" w:cs="Arial"/>
                <w:sz w:val="20"/>
                <w:szCs w:val="20"/>
                <w:lang w:val="es-ES"/>
              </w:rPr>
              <w:t>.</w:t>
            </w:r>
          </w:p>
        </w:tc>
      </w:tr>
    </w:tbl>
    <w:p w14:paraId="4F4BDB80" w14:textId="77777777" w:rsidR="001B48E1" w:rsidRPr="005B5D7C" w:rsidRDefault="001B48E1" w:rsidP="001B48E1">
      <w:pPr>
        <w:rPr>
          <w:rFonts w:ascii="Arial" w:hAnsi="Arial" w:cs="Arial"/>
          <w:sz w:val="22"/>
          <w:szCs w:val="22"/>
          <w:lang w:val="es-ES"/>
        </w:rPr>
      </w:pPr>
      <w:r w:rsidRPr="005B5D7C">
        <w:rPr>
          <w:rFonts w:ascii="Arial" w:hAnsi="Arial" w:cs="Arial"/>
          <w:sz w:val="22"/>
          <w:szCs w:val="22"/>
          <w:lang w:val="es-ES"/>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2893"/>
        <w:gridCol w:w="3491"/>
      </w:tblGrid>
      <w:tr w:rsidR="00CD0ADA" w:rsidRPr="005B5D7C" w14:paraId="39D0534E" w14:textId="77777777" w:rsidTr="00963271">
        <w:trPr>
          <w:trHeight w:val="701"/>
          <w:jc w:val="center"/>
        </w:trPr>
        <w:tc>
          <w:tcPr>
            <w:tcW w:w="2418" w:type="dxa"/>
            <w:shd w:val="clear" w:color="auto" w:fill="C0C0C0"/>
          </w:tcPr>
          <w:p w14:paraId="2C30AD25" w14:textId="47CC9D25" w:rsidR="001B48E1" w:rsidRPr="005B5D7C" w:rsidRDefault="00FB5AF0" w:rsidP="00027AFD">
            <w:pPr>
              <w:jc w:val="center"/>
              <w:rPr>
                <w:rFonts w:ascii="Arial" w:hAnsi="Arial" w:cs="Arial"/>
                <w:b/>
                <w:sz w:val="20"/>
                <w:szCs w:val="20"/>
                <w:lang w:val="es-ES"/>
              </w:rPr>
            </w:pPr>
            <w:r w:rsidRPr="005B5D7C">
              <w:rPr>
                <w:rFonts w:ascii="Arial" w:hAnsi="Arial" w:cs="Arial"/>
                <w:b/>
                <w:sz w:val="20"/>
                <w:szCs w:val="20"/>
                <w:lang w:val="es-ES"/>
              </w:rPr>
              <w:lastRenderedPageBreak/>
              <w:t>P</w:t>
            </w:r>
            <w:r w:rsidR="001B3419" w:rsidRPr="005B5D7C">
              <w:rPr>
                <w:rFonts w:ascii="Arial" w:hAnsi="Arial" w:cs="Arial"/>
                <w:b/>
                <w:sz w:val="20"/>
                <w:szCs w:val="20"/>
                <w:lang w:val="es-ES"/>
              </w:rPr>
              <w:t>rincipios de la Política que orientan el diseño de las operaciones del Banco</w:t>
            </w:r>
          </w:p>
        </w:tc>
        <w:tc>
          <w:tcPr>
            <w:tcW w:w="3330" w:type="dxa"/>
            <w:shd w:val="clear" w:color="auto" w:fill="C0C0C0"/>
            <w:vAlign w:val="center"/>
          </w:tcPr>
          <w:p w14:paraId="626F30A4" w14:textId="692677C4" w:rsidR="001B48E1" w:rsidRPr="005B5D7C" w:rsidRDefault="001B48E1" w:rsidP="00027AFD">
            <w:pPr>
              <w:jc w:val="center"/>
              <w:rPr>
                <w:rFonts w:ascii="Arial" w:hAnsi="Arial" w:cs="Arial"/>
                <w:b/>
                <w:sz w:val="20"/>
                <w:szCs w:val="20"/>
                <w:lang w:val="es-ES"/>
              </w:rPr>
            </w:pPr>
            <w:r w:rsidRPr="005B5D7C">
              <w:rPr>
                <w:rFonts w:ascii="Arial" w:hAnsi="Arial" w:cs="Arial"/>
                <w:b/>
                <w:sz w:val="20"/>
                <w:szCs w:val="20"/>
                <w:lang w:val="es-ES"/>
              </w:rPr>
              <w:t>Descrip</w:t>
            </w:r>
            <w:r w:rsidR="00144FA0" w:rsidRPr="005B5D7C">
              <w:rPr>
                <w:rFonts w:ascii="Arial" w:hAnsi="Arial" w:cs="Arial"/>
                <w:b/>
                <w:sz w:val="20"/>
                <w:szCs w:val="20"/>
                <w:lang w:val="es-ES"/>
              </w:rPr>
              <w:t>ción</w:t>
            </w:r>
          </w:p>
        </w:tc>
        <w:tc>
          <w:tcPr>
            <w:tcW w:w="4487" w:type="dxa"/>
            <w:shd w:val="clear" w:color="auto" w:fill="C0C0C0"/>
            <w:vAlign w:val="center"/>
          </w:tcPr>
          <w:p w14:paraId="5EA9F95D" w14:textId="0FAD34FA" w:rsidR="001B48E1" w:rsidRPr="005B5D7C" w:rsidRDefault="001B48E1" w:rsidP="00027AFD">
            <w:pPr>
              <w:jc w:val="center"/>
              <w:rPr>
                <w:rFonts w:ascii="Arial" w:hAnsi="Arial" w:cs="Arial"/>
                <w:b/>
                <w:sz w:val="20"/>
                <w:szCs w:val="20"/>
                <w:lang w:val="es-ES"/>
              </w:rPr>
            </w:pPr>
            <w:r w:rsidRPr="005B5D7C">
              <w:rPr>
                <w:rFonts w:ascii="Arial" w:hAnsi="Arial" w:cs="Arial"/>
                <w:b/>
                <w:sz w:val="20"/>
                <w:szCs w:val="20"/>
                <w:lang w:val="es-ES"/>
              </w:rPr>
              <w:t>Com</w:t>
            </w:r>
            <w:r w:rsidR="00144FA0" w:rsidRPr="005B5D7C">
              <w:rPr>
                <w:rFonts w:ascii="Arial" w:hAnsi="Arial" w:cs="Arial"/>
                <w:b/>
                <w:sz w:val="20"/>
                <w:szCs w:val="20"/>
                <w:lang w:val="es-ES"/>
              </w:rPr>
              <w:t>entarios</w:t>
            </w:r>
          </w:p>
        </w:tc>
      </w:tr>
      <w:tr w:rsidR="00BD0AE9" w:rsidRPr="000F22DF" w14:paraId="1023914F" w14:textId="77777777" w:rsidTr="00963271">
        <w:trPr>
          <w:jc w:val="center"/>
        </w:trPr>
        <w:tc>
          <w:tcPr>
            <w:tcW w:w="2418" w:type="dxa"/>
            <w:shd w:val="clear" w:color="auto" w:fill="auto"/>
          </w:tcPr>
          <w:p w14:paraId="0818AE1B" w14:textId="79F79415" w:rsidR="001B48E1" w:rsidRPr="005B5D7C" w:rsidRDefault="001B48E1" w:rsidP="00762F70">
            <w:pPr>
              <w:rPr>
                <w:rFonts w:ascii="Arial" w:hAnsi="Arial" w:cs="Arial"/>
                <w:b/>
                <w:bCs/>
                <w:sz w:val="20"/>
                <w:szCs w:val="20"/>
                <w:lang w:val="es-ES"/>
              </w:rPr>
            </w:pPr>
            <w:r w:rsidRPr="005B5D7C">
              <w:rPr>
                <w:rFonts w:ascii="Arial" w:hAnsi="Arial" w:cs="Arial"/>
                <w:b/>
                <w:bCs/>
                <w:sz w:val="20"/>
                <w:szCs w:val="20"/>
                <w:lang w:val="es-ES"/>
              </w:rPr>
              <w:t xml:space="preserve">1. </w:t>
            </w:r>
            <w:r w:rsidR="00762F70" w:rsidRPr="005B5D7C">
              <w:rPr>
                <w:rFonts w:ascii="Arial" w:hAnsi="Arial" w:cs="Arial"/>
                <w:b/>
                <w:bCs/>
                <w:sz w:val="20"/>
                <w:szCs w:val="20"/>
                <w:lang w:val="es-ES"/>
              </w:rPr>
              <w:t>Apoyar a los países para atender las necesidades básicas</w:t>
            </w:r>
          </w:p>
        </w:tc>
        <w:tc>
          <w:tcPr>
            <w:tcW w:w="3330" w:type="dxa"/>
            <w:shd w:val="clear" w:color="auto" w:fill="auto"/>
          </w:tcPr>
          <w:p w14:paraId="35DC0253" w14:textId="45EB6549" w:rsidR="001B48E1" w:rsidRPr="005B5D7C" w:rsidRDefault="00443E4C" w:rsidP="00FB4D45">
            <w:pPr>
              <w:jc w:val="both"/>
              <w:rPr>
                <w:rFonts w:ascii="Arial" w:hAnsi="Arial" w:cs="Arial"/>
                <w:sz w:val="22"/>
                <w:szCs w:val="22"/>
                <w:lang w:val="es-ES"/>
              </w:rPr>
            </w:pPr>
            <w:r w:rsidRPr="005B5D7C">
              <w:rPr>
                <w:rFonts w:ascii="Arial" w:hAnsi="Arial" w:cs="Arial"/>
                <w:sz w:val="22"/>
                <w:szCs w:val="22"/>
                <w:lang w:val="es-ES"/>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r w:rsidR="00FB5AF0" w:rsidRPr="005B5D7C">
              <w:rPr>
                <w:rFonts w:ascii="Arial" w:hAnsi="Arial" w:cs="Arial"/>
                <w:sz w:val="22"/>
                <w:szCs w:val="22"/>
                <w:lang w:val="es-ES"/>
              </w:rPr>
              <w:t>.</w:t>
            </w:r>
          </w:p>
        </w:tc>
        <w:tc>
          <w:tcPr>
            <w:tcW w:w="4487" w:type="dxa"/>
            <w:shd w:val="clear" w:color="auto" w:fill="auto"/>
          </w:tcPr>
          <w:p w14:paraId="65F2012A" w14:textId="1CB925F8" w:rsidR="00CB2956" w:rsidRPr="005B5D7C" w:rsidRDefault="00443E4C" w:rsidP="00E54E70">
            <w:pPr>
              <w:jc w:val="both"/>
              <w:rPr>
                <w:rFonts w:ascii="Arial" w:hAnsi="Arial" w:cs="Arial"/>
                <w:sz w:val="22"/>
                <w:szCs w:val="22"/>
                <w:lang w:val="es-ES"/>
              </w:rPr>
            </w:pPr>
            <w:r w:rsidRPr="005B5D7C">
              <w:rPr>
                <w:rFonts w:ascii="Arial" w:hAnsi="Arial" w:cs="Arial"/>
                <w:sz w:val="22"/>
                <w:szCs w:val="22"/>
                <w:lang w:val="es-ES"/>
              </w:rPr>
              <w:t xml:space="preserve">Las soluciones propuestas para incrementar el acceso a agua potable en el área del Proyecto son técnicamente viables y probadas en </w:t>
            </w:r>
            <w:r w:rsidR="00EA6898" w:rsidRPr="005B5D7C">
              <w:rPr>
                <w:rFonts w:ascii="Arial" w:hAnsi="Arial" w:cs="Arial"/>
                <w:sz w:val="22"/>
                <w:szCs w:val="22"/>
                <w:lang w:val="es-ES"/>
              </w:rPr>
              <w:t>Haití</w:t>
            </w:r>
            <w:r w:rsidRPr="005B5D7C">
              <w:rPr>
                <w:rFonts w:ascii="Arial" w:hAnsi="Arial" w:cs="Arial"/>
                <w:sz w:val="22"/>
                <w:szCs w:val="22"/>
                <w:lang w:val="es-ES"/>
              </w:rPr>
              <w:t xml:space="preserve"> y en la región</w:t>
            </w:r>
            <w:r w:rsidR="00406169" w:rsidRPr="005B5D7C">
              <w:rPr>
                <w:rFonts w:ascii="Arial" w:hAnsi="Arial" w:cs="Arial"/>
                <w:sz w:val="22"/>
                <w:szCs w:val="22"/>
                <w:lang w:val="es-ES"/>
              </w:rPr>
              <w:t>.</w:t>
            </w:r>
            <w:r w:rsidR="00BB0F7A">
              <w:rPr>
                <w:rFonts w:ascii="Arial" w:hAnsi="Arial" w:cs="Arial"/>
                <w:sz w:val="22"/>
                <w:szCs w:val="22"/>
                <w:lang w:val="es-ES"/>
              </w:rPr>
              <w:t xml:space="preserve"> Se incluirán soluciones como el agua potable condominial que permiten </w:t>
            </w:r>
            <w:r w:rsidR="00E10ECA">
              <w:rPr>
                <w:rFonts w:ascii="Arial" w:hAnsi="Arial" w:cs="Arial"/>
                <w:sz w:val="22"/>
                <w:szCs w:val="22"/>
                <w:lang w:val="es-ES"/>
              </w:rPr>
              <w:t>disponer de acceso a nivel de las viviendas y han probado su costo-efectiva en contextos similares como Brasil o Burkina Faso.</w:t>
            </w:r>
            <w:r w:rsidR="00406169" w:rsidRPr="005B5D7C">
              <w:rPr>
                <w:rFonts w:ascii="Arial" w:hAnsi="Arial" w:cs="Arial"/>
                <w:sz w:val="22"/>
                <w:szCs w:val="22"/>
                <w:lang w:val="es-ES"/>
              </w:rPr>
              <w:t xml:space="preserve"> </w:t>
            </w:r>
          </w:p>
        </w:tc>
      </w:tr>
      <w:tr w:rsidR="00CD0ADA" w:rsidRPr="005B5D7C" w14:paraId="7FD45C03" w14:textId="77777777" w:rsidTr="00963271">
        <w:trPr>
          <w:jc w:val="center"/>
        </w:trPr>
        <w:tc>
          <w:tcPr>
            <w:tcW w:w="2418" w:type="dxa"/>
            <w:shd w:val="clear" w:color="auto" w:fill="auto"/>
          </w:tcPr>
          <w:p w14:paraId="3F8A5080" w14:textId="2DA9E5A7" w:rsidR="001B48E1" w:rsidRPr="005B5D7C" w:rsidRDefault="001B48E1" w:rsidP="00BD0AE9">
            <w:pPr>
              <w:rPr>
                <w:rFonts w:ascii="Arial" w:hAnsi="Arial" w:cs="Arial"/>
                <w:b/>
                <w:bCs/>
                <w:sz w:val="20"/>
                <w:szCs w:val="20"/>
                <w:lang w:val="es-ES"/>
              </w:rPr>
            </w:pPr>
            <w:r w:rsidRPr="005B5D7C">
              <w:rPr>
                <w:rFonts w:ascii="Arial" w:hAnsi="Arial" w:cs="Arial"/>
                <w:b/>
                <w:bCs/>
                <w:sz w:val="20"/>
                <w:szCs w:val="20"/>
                <w:lang w:val="es-ES"/>
              </w:rPr>
              <w:t xml:space="preserve">2. </w:t>
            </w:r>
            <w:r w:rsidR="00BD0AE9" w:rsidRPr="005B5D7C">
              <w:rPr>
                <w:rFonts w:ascii="Arial" w:hAnsi="Arial" w:cs="Arial"/>
                <w:b/>
                <w:bCs/>
                <w:sz w:val="20"/>
                <w:szCs w:val="20"/>
                <w:lang w:val="es-ES"/>
              </w:rPr>
              <w:t>Las mejoras continuas en la gobernanza de los servicios públicos domiciliarios serán clave para incrementar la eficiencia en su provisión y proteger satisfactoriamente</w:t>
            </w:r>
            <w:r w:rsidR="00633C72" w:rsidRPr="005B5D7C">
              <w:rPr>
                <w:rFonts w:ascii="Arial" w:hAnsi="Arial" w:cs="Arial"/>
                <w:b/>
                <w:bCs/>
                <w:sz w:val="20"/>
                <w:szCs w:val="20"/>
                <w:lang w:val="es-ES"/>
              </w:rPr>
              <w:t xml:space="preserve"> los intereses de los usuarios</w:t>
            </w:r>
          </w:p>
        </w:tc>
        <w:tc>
          <w:tcPr>
            <w:tcW w:w="3330" w:type="dxa"/>
            <w:shd w:val="clear" w:color="auto" w:fill="auto"/>
          </w:tcPr>
          <w:p w14:paraId="383F1F4F" w14:textId="1E9319C8" w:rsidR="001B48E1" w:rsidRPr="005B5D7C" w:rsidRDefault="00633C72" w:rsidP="00FB4D45">
            <w:pPr>
              <w:jc w:val="both"/>
              <w:rPr>
                <w:rFonts w:ascii="Arial" w:hAnsi="Arial" w:cs="Arial"/>
                <w:sz w:val="22"/>
                <w:szCs w:val="22"/>
                <w:lang w:val="es-ES"/>
              </w:rPr>
            </w:pPr>
            <w:r w:rsidRPr="005B5D7C">
              <w:rPr>
                <w:rFonts w:ascii="Arial" w:hAnsi="Arial" w:cs="Arial"/>
                <w:sz w:val="22"/>
                <w:szCs w:val="22"/>
                <w:lang w:val="es-ES"/>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4487" w:type="dxa"/>
            <w:shd w:val="clear" w:color="auto" w:fill="auto"/>
          </w:tcPr>
          <w:p w14:paraId="3EBA4D88" w14:textId="2BC434FD" w:rsidR="00350314" w:rsidRDefault="00633C72" w:rsidP="00E63F33">
            <w:pPr>
              <w:jc w:val="both"/>
              <w:rPr>
                <w:rFonts w:ascii="Arial" w:hAnsi="Arial" w:cs="Arial"/>
                <w:sz w:val="22"/>
                <w:szCs w:val="22"/>
                <w:lang w:val="es-ES"/>
              </w:rPr>
            </w:pPr>
            <w:r w:rsidRPr="005B5D7C">
              <w:rPr>
                <w:rFonts w:ascii="Arial" w:hAnsi="Arial" w:cs="Arial"/>
                <w:sz w:val="22"/>
                <w:szCs w:val="22"/>
                <w:lang w:val="es-ES"/>
              </w:rPr>
              <w:t>El programa propone avanzar en la implementación de la reforma sectorial, aprobada en el 2009, la cual considera esencialmente mejorar varios aspectos de gobernanza sectorial incluyendo separación de roles y funciones, diversificación de operadores y descentralización de toma de decisiones</w:t>
            </w:r>
            <w:r w:rsidR="00B76801">
              <w:rPr>
                <w:rFonts w:ascii="Arial" w:hAnsi="Arial" w:cs="Arial"/>
                <w:sz w:val="22"/>
                <w:szCs w:val="22"/>
                <w:lang w:val="es-ES"/>
              </w:rPr>
              <w:t>.</w:t>
            </w:r>
          </w:p>
          <w:p w14:paraId="2131AA26" w14:textId="1F1C8963" w:rsidR="00B76801" w:rsidRPr="005B5D7C" w:rsidRDefault="00B76801" w:rsidP="00E63F33">
            <w:pPr>
              <w:jc w:val="both"/>
              <w:rPr>
                <w:rFonts w:ascii="Arial" w:hAnsi="Arial" w:cs="Arial"/>
                <w:sz w:val="22"/>
                <w:szCs w:val="22"/>
                <w:lang w:val="es-ES"/>
              </w:rPr>
            </w:pPr>
            <w:r>
              <w:rPr>
                <w:rFonts w:ascii="Arial" w:hAnsi="Arial" w:cs="Arial"/>
                <w:sz w:val="22"/>
                <w:szCs w:val="22"/>
                <w:lang w:val="es-ES"/>
              </w:rPr>
              <w:t xml:space="preserve">El programa apoyará el establecimiento de la DINEPA en sur role como Regulador del sector a través de la </w:t>
            </w:r>
            <w:r w:rsidR="006A7DF2">
              <w:rPr>
                <w:rFonts w:ascii="Arial" w:hAnsi="Arial" w:cs="Arial"/>
                <w:sz w:val="22"/>
                <w:szCs w:val="22"/>
                <w:lang w:val="es-ES"/>
              </w:rPr>
              <w:t>capacitación</w:t>
            </w:r>
            <w:r>
              <w:rPr>
                <w:rFonts w:ascii="Arial" w:hAnsi="Arial" w:cs="Arial"/>
                <w:sz w:val="22"/>
                <w:szCs w:val="22"/>
                <w:lang w:val="es-ES"/>
              </w:rPr>
              <w:t xml:space="preserve"> de </w:t>
            </w:r>
            <w:r w:rsidR="006A7DF2">
              <w:rPr>
                <w:rFonts w:ascii="Arial" w:hAnsi="Arial" w:cs="Arial"/>
                <w:sz w:val="22"/>
                <w:szCs w:val="22"/>
                <w:lang w:val="es-ES"/>
              </w:rPr>
              <w:t xml:space="preserve">su </w:t>
            </w:r>
            <w:r>
              <w:rPr>
                <w:rFonts w:ascii="Arial" w:hAnsi="Arial" w:cs="Arial"/>
                <w:sz w:val="22"/>
                <w:szCs w:val="22"/>
                <w:lang w:val="es-ES"/>
              </w:rPr>
              <w:t xml:space="preserve">personal y una asistencia técnica externa </w:t>
            </w:r>
            <w:r w:rsidR="006A7DF2">
              <w:rPr>
                <w:rFonts w:ascii="Arial" w:hAnsi="Arial" w:cs="Arial"/>
                <w:sz w:val="22"/>
                <w:szCs w:val="22"/>
                <w:lang w:val="es-ES"/>
              </w:rPr>
              <w:t>dirigida sobretodo al seguimiento de contratos por resultados.</w:t>
            </w:r>
          </w:p>
          <w:p w14:paraId="1FF0E142" w14:textId="77777777" w:rsidR="00350314" w:rsidRPr="005B5D7C" w:rsidRDefault="00350314" w:rsidP="00E63F33">
            <w:pPr>
              <w:jc w:val="both"/>
              <w:rPr>
                <w:rFonts w:ascii="Arial" w:hAnsi="Arial" w:cs="Arial"/>
                <w:sz w:val="22"/>
                <w:szCs w:val="22"/>
                <w:lang w:val="es-ES"/>
              </w:rPr>
            </w:pPr>
          </w:p>
          <w:p w14:paraId="68A0E73F" w14:textId="0C3D1F92" w:rsidR="001B48E1" w:rsidRPr="00C618D5" w:rsidRDefault="00465863" w:rsidP="00E63F33">
            <w:pPr>
              <w:jc w:val="both"/>
              <w:rPr>
                <w:rFonts w:ascii="Arial" w:hAnsi="Arial" w:cs="Arial"/>
                <w:sz w:val="22"/>
                <w:szCs w:val="22"/>
              </w:rPr>
            </w:pPr>
            <w:r w:rsidRPr="00C618D5">
              <w:rPr>
                <w:rFonts w:ascii="Arial" w:hAnsi="Arial" w:cs="Arial"/>
                <w:sz w:val="22"/>
                <w:szCs w:val="22"/>
              </w:rPr>
              <w:t xml:space="preserve">See </w:t>
            </w:r>
            <w:r w:rsidR="00E05A38" w:rsidRPr="00C618D5">
              <w:rPr>
                <w:rFonts w:ascii="Arial" w:hAnsi="Arial" w:cs="Arial"/>
                <w:sz w:val="22"/>
                <w:szCs w:val="22"/>
              </w:rPr>
              <w:t>points A to G below</w:t>
            </w:r>
            <w:r w:rsidR="005D0049" w:rsidRPr="00C618D5">
              <w:rPr>
                <w:rFonts w:ascii="Arial" w:hAnsi="Arial" w:cs="Arial"/>
                <w:sz w:val="22"/>
                <w:szCs w:val="22"/>
              </w:rPr>
              <w:t>:</w:t>
            </w:r>
          </w:p>
        </w:tc>
      </w:tr>
      <w:tr w:rsidR="00CD0ADA" w:rsidRPr="000F22DF" w14:paraId="521E2798" w14:textId="77777777" w:rsidTr="00963271">
        <w:trPr>
          <w:jc w:val="center"/>
        </w:trPr>
        <w:tc>
          <w:tcPr>
            <w:tcW w:w="2418" w:type="dxa"/>
            <w:shd w:val="clear" w:color="auto" w:fill="auto"/>
          </w:tcPr>
          <w:p w14:paraId="10DAD029" w14:textId="519F67BC" w:rsidR="001B48E1" w:rsidRPr="005B5D7C" w:rsidRDefault="001B48E1" w:rsidP="00CD0ADA">
            <w:pPr>
              <w:ind w:left="330" w:hanging="150"/>
              <w:rPr>
                <w:rFonts w:ascii="Arial" w:hAnsi="Arial" w:cs="Arial"/>
                <w:b/>
                <w:bCs/>
                <w:i/>
                <w:sz w:val="20"/>
                <w:szCs w:val="20"/>
                <w:lang w:val="es-ES"/>
              </w:rPr>
            </w:pPr>
            <w:r w:rsidRPr="005B5D7C">
              <w:rPr>
                <w:rFonts w:ascii="Arial" w:hAnsi="Arial" w:cs="Arial"/>
                <w:b/>
                <w:bCs/>
                <w:i/>
                <w:sz w:val="20"/>
                <w:szCs w:val="20"/>
                <w:lang w:val="es-ES"/>
              </w:rPr>
              <w:t xml:space="preserve">A. </w:t>
            </w:r>
            <w:r w:rsidR="00FB5AF0" w:rsidRPr="005B5D7C">
              <w:rPr>
                <w:rFonts w:ascii="Arial" w:hAnsi="Arial" w:cs="Arial"/>
                <w:b/>
                <w:bCs/>
                <w:i/>
                <w:sz w:val="20"/>
                <w:szCs w:val="20"/>
                <w:lang w:val="es-ES"/>
              </w:rPr>
              <w:t>Promo</w:t>
            </w:r>
            <w:r w:rsidR="00CD0ADA" w:rsidRPr="005B5D7C">
              <w:rPr>
                <w:rFonts w:ascii="Arial" w:hAnsi="Arial" w:cs="Arial"/>
                <w:b/>
                <w:bCs/>
                <w:i/>
                <w:sz w:val="20"/>
                <w:szCs w:val="20"/>
                <w:lang w:val="es-ES"/>
              </w:rPr>
              <w:t>ver la integridad, la transparencia y la rendición de cuentas</w:t>
            </w:r>
          </w:p>
        </w:tc>
        <w:tc>
          <w:tcPr>
            <w:tcW w:w="3330" w:type="dxa"/>
            <w:shd w:val="clear" w:color="auto" w:fill="auto"/>
          </w:tcPr>
          <w:p w14:paraId="3864C510" w14:textId="57B4FBB1" w:rsidR="00F71B9E" w:rsidRPr="005B5D7C" w:rsidRDefault="00F71B9E" w:rsidP="00F71B9E">
            <w:pPr>
              <w:rPr>
                <w:rFonts w:ascii="Arial" w:hAnsi="Arial" w:cs="Arial"/>
                <w:sz w:val="22"/>
                <w:szCs w:val="22"/>
                <w:lang w:val="es-ES"/>
              </w:rPr>
            </w:pPr>
            <w:r w:rsidRPr="005B5D7C">
              <w:rPr>
                <w:rFonts w:ascii="Arial" w:hAnsi="Arial" w:cs="Arial"/>
                <w:sz w:val="22"/>
                <w:szCs w:val="22"/>
                <w:lang w:val="es-ES"/>
              </w:rPr>
              <w:t xml:space="preserve"> Las operaciones financiadas por el Banco impulsarán los arreglos institucionales básicos para que los países de la región adopten medidas que promuevan la integridad y aumenten la transparencia en la provisión de los servicios públicos domiciliarios, con el objetivo de mejorar la rendición de </w:t>
            </w:r>
            <w:proofErr w:type="gramStart"/>
            <w:r w:rsidRPr="005B5D7C">
              <w:rPr>
                <w:rFonts w:ascii="Arial" w:hAnsi="Arial" w:cs="Arial"/>
                <w:sz w:val="22"/>
                <w:szCs w:val="22"/>
                <w:lang w:val="es-ES"/>
              </w:rPr>
              <w:t>cuentas  y</w:t>
            </w:r>
            <w:proofErr w:type="gramEnd"/>
            <w:r w:rsidRPr="005B5D7C">
              <w:rPr>
                <w:rFonts w:ascii="Arial" w:hAnsi="Arial" w:cs="Arial"/>
                <w:sz w:val="22"/>
                <w:szCs w:val="22"/>
                <w:lang w:val="es-ES"/>
              </w:rPr>
              <w:t xml:space="preserve"> fortalecer el cumplimiento </w:t>
            </w:r>
            <w:r w:rsidRPr="005B5D7C">
              <w:rPr>
                <w:rFonts w:ascii="Arial" w:hAnsi="Arial" w:cs="Arial"/>
                <w:sz w:val="22"/>
                <w:szCs w:val="22"/>
                <w:lang w:val="es-ES"/>
              </w:rPr>
              <w:lastRenderedPageBreak/>
              <w:t xml:space="preserve">de los derecho s de los usuarios. El Banco hará los mayores esfuerzos para que sus operaciones contribuyan al desarrollo de sistemas de buena gobernanza en los actores públicos y privados. </w:t>
            </w:r>
          </w:p>
          <w:p w14:paraId="0CE8BF1F" w14:textId="77777777" w:rsidR="00F71B9E" w:rsidRPr="005B5D7C" w:rsidRDefault="00F71B9E" w:rsidP="00F71B9E">
            <w:pPr>
              <w:rPr>
                <w:rFonts w:ascii="Arial" w:hAnsi="Arial" w:cs="Arial"/>
                <w:sz w:val="22"/>
                <w:szCs w:val="22"/>
                <w:lang w:val="es-ES"/>
              </w:rPr>
            </w:pPr>
          </w:p>
          <w:p w14:paraId="35706C1E" w14:textId="57F8C69A" w:rsidR="00530BC8" w:rsidRPr="005B5D7C" w:rsidRDefault="00F71B9E" w:rsidP="00F71B9E">
            <w:pPr>
              <w:jc w:val="both"/>
              <w:rPr>
                <w:rFonts w:ascii="Arial" w:hAnsi="Arial" w:cs="Arial"/>
                <w:sz w:val="22"/>
                <w:szCs w:val="22"/>
                <w:lang w:val="es-ES"/>
              </w:rPr>
            </w:pPr>
            <w:r w:rsidRPr="005B5D7C">
              <w:rPr>
                <w:rFonts w:ascii="Arial" w:hAnsi="Arial" w:cs="Arial"/>
                <w:sz w:val="22"/>
                <w:szCs w:val="22"/>
                <w:lang w:val="es-ES"/>
              </w:rPr>
              <w:t>Adicionalmente, esta Política reconoce que la debilidad en la información estadística pública y la escasez de la información estadística privada son factores que, frecuentemente, privan de respuestas adecuadas a preguntas básicas sobre las necesidades de inversión en infraestructura, el desempeño de las empresas proveedoras de servicios, o la estructura y evolución de las tarifas. Por lo tanto, el Banco impulsará la transparencia focalizada teniendo en cuenta las necesidades de los usuarios de la información, la manera más efectiva en que debe hacerse disponible y los canales idóneos para distribuirla.</w:t>
            </w:r>
          </w:p>
        </w:tc>
        <w:tc>
          <w:tcPr>
            <w:tcW w:w="4487" w:type="dxa"/>
            <w:shd w:val="clear" w:color="auto" w:fill="auto"/>
          </w:tcPr>
          <w:p w14:paraId="35ED368F" w14:textId="612F08CF" w:rsidR="009C01DB" w:rsidRPr="005B5D7C" w:rsidRDefault="009C01DB" w:rsidP="00BC630D">
            <w:pPr>
              <w:jc w:val="both"/>
              <w:rPr>
                <w:rFonts w:ascii="Arial" w:hAnsi="Arial" w:cs="Arial"/>
                <w:sz w:val="22"/>
                <w:szCs w:val="22"/>
                <w:lang w:val="es-ES"/>
              </w:rPr>
            </w:pPr>
            <w:r w:rsidRPr="005B5D7C">
              <w:rPr>
                <w:rFonts w:ascii="Arial" w:hAnsi="Arial" w:cs="Arial"/>
                <w:sz w:val="22"/>
                <w:szCs w:val="22"/>
                <w:lang w:val="es-ES"/>
              </w:rPr>
              <w:lastRenderedPageBreak/>
              <w:t>El CTE</w:t>
            </w:r>
            <w:r w:rsidR="00923396">
              <w:rPr>
                <w:rFonts w:ascii="Arial" w:hAnsi="Arial" w:cs="Arial"/>
                <w:sz w:val="22"/>
                <w:szCs w:val="22"/>
                <w:lang w:val="es-ES"/>
              </w:rPr>
              <w:t xml:space="preserve"> de Cabo Haiti</w:t>
            </w:r>
            <w:r w:rsidR="005516DC">
              <w:rPr>
                <w:rFonts w:ascii="Arial" w:hAnsi="Arial" w:cs="Arial"/>
                <w:sz w:val="22"/>
                <w:szCs w:val="22"/>
                <w:lang w:val="es-ES"/>
              </w:rPr>
              <w:t>an</w:t>
            </w:r>
            <w:r w:rsidR="00923396">
              <w:rPr>
                <w:rFonts w:ascii="Arial" w:hAnsi="Arial" w:cs="Arial"/>
                <w:sz w:val="22"/>
                <w:szCs w:val="22"/>
                <w:lang w:val="es-ES"/>
              </w:rPr>
              <w:t>o</w:t>
            </w:r>
            <w:r w:rsidRPr="005B5D7C">
              <w:rPr>
                <w:rFonts w:ascii="Arial" w:hAnsi="Arial" w:cs="Arial"/>
                <w:sz w:val="22"/>
                <w:szCs w:val="22"/>
                <w:lang w:val="es-ES"/>
              </w:rPr>
              <w:t xml:space="preserve"> tiene su </w:t>
            </w:r>
            <w:r w:rsidR="005A0386" w:rsidRPr="005B5D7C">
              <w:rPr>
                <w:rFonts w:ascii="Arial" w:hAnsi="Arial" w:cs="Arial"/>
                <w:sz w:val="22"/>
                <w:szCs w:val="22"/>
                <w:lang w:val="es-ES"/>
              </w:rPr>
              <w:t xml:space="preserve">propio </w:t>
            </w:r>
            <w:r w:rsidRPr="005B5D7C">
              <w:rPr>
                <w:rFonts w:ascii="Arial" w:hAnsi="Arial" w:cs="Arial"/>
                <w:sz w:val="22"/>
                <w:szCs w:val="22"/>
                <w:lang w:val="es-ES"/>
              </w:rPr>
              <w:t>directorio</w:t>
            </w:r>
            <w:r w:rsidR="00F000EA" w:rsidRPr="005B5D7C">
              <w:rPr>
                <w:rFonts w:ascii="Arial" w:hAnsi="Arial" w:cs="Arial"/>
                <w:sz w:val="22"/>
                <w:szCs w:val="22"/>
                <w:lang w:val="es-ES"/>
              </w:rPr>
              <w:t xml:space="preserve"> </w:t>
            </w:r>
            <w:r w:rsidR="005A0386" w:rsidRPr="005B5D7C">
              <w:rPr>
                <w:rFonts w:ascii="Arial" w:hAnsi="Arial" w:cs="Arial"/>
                <w:sz w:val="22"/>
                <w:szCs w:val="22"/>
                <w:lang w:val="es-ES"/>
              </w:rPr>
              <w:t xml:space="preserve">y la OREPA </w:t>
            </w:r>
            <w:r w:rsidR="006D6B6F">
              <w:rPr>
                <w:rFonts w:ascii="Arial" w:hAnsi="Arial" w:cs="Arial"/>
                <w:sz w:val="22"/>
                <w:szCs w:val="22"/>
                <w:lang w:val="es-ES"/>
              </w:rPr>
              <w:t>Norte</w:t>
            </w:r>
            <w:r w:rsidR="005A0386" w:rsidRPr="005B5D7C">
              <w:rPr>
                <w:rFonts w:ascii="Arial" w:hAnsi="Arial" w:cs="Arial"/>
                <w:sz w:val="22"/>
                <w:szCs w:val="22"/>
                <w:lang w:val="es-ES"/>
              </w:rPr>
              <w:t xml:space="preserve"> tiene responsabilidad de asegurarse del funcionamiento adecuado de la empresa y de la prestación de servicios a la población.</w:t>
            </w:r>
            <w:r w:rsidRPr="005B5D7C">
              <w:rPr>
                <w:rFonts w:ascii="Arial" w:hAnsi="Arial" w:cs="Arial"/>
                <w:sz w:val="22"/>
                <w:szCs w:val="22"/>
                <w:lang w:val="es-ES"/>
              </w:rPr>
              <w:t xml:space="preserve"> </w:t>
            </w:r>
          </w:p>
          <w:p w14:paraId="4B4F95B5" w14:textId="77777777" w:rsidR="009C01DB" w:rsidRPr="005B5D7C" w:rsidRDefault="009C01DB" w:rsidP="00BC630D">
            <w:pPr>
              <w:jc w:val="both"/>
              <w:rPr>
                <w:rFonts w:ascii="Arial" w:hAnsi="Arial" w:cs="Arial"/>
                <w:sz w:val="22"/>
                <w:szCs w:val="22"/>
                <w:lang w:val="es-ES"/>
              </w:rPr>
            </w:pPr>
          </w:p>
          <w:p w14:paraId="3A033124" w14:textId="0078554C" w:rsidR="004D0752" w:rsidRDefault="005A0386" w:rsidP="00ED7723">
            <w:pPr>
              <w:jc w:val="both"/>
              <w:rPr>
                <w:rFonts w:ascii="Arial" w:hAnsi="Arial" w:cs="Arial"/>
                <w:sz w:val="22"/>
                <w:szCs w:val="22"/>
                <w:lang w:val="es-ES"/>
              </w:rPr>
            </w:pPr>
            <w:r w:rsidRPr="005B5D7C">
              <w:rPr>
                <w:rFonts w:ascii="Arial" w:hAnsi="Arial" w:cs="Arial"/>
                <w:sz w:val="22"/>
                <w:szCs w:val="22"/>
                <w:lang w:val="es-ES"/>
              </w:rPr>
              <w:t xml:space="preserve">En enero 2017, se </w:t>
            </w:r>
            <w:r w:rsidR="00F000EA" w:rsidRPr="005B5D7C">
              <w:rPr>
                <w:rFonts w:ascii="Arial" w:hAnsi="Arial" w:cs="Arial"/>
                <w:sz w:val="22"/>
                <w:szCs w:val="22"/>
                <w:lang w:val="es-ES"/>
              </w:rPr>
              <w:t>publicó</w:t>
            </w:r>
            <w:r w:rsidRPr="005B5D7C">
              <w:rPr>
                <w:rFonts w:ascii="Arial" w:hAnsi="Arial" w:cs="Arial"/>
                <w:sz w:val="22"/>
                <w:szCs w:val="22"/>
                <w:lang w:val="es-ES"/>
              </w:rPr>
              <w:t xml:space="preserve"> en el Diario oficial la norma administrativa de constitución del</w:t>
            </w:r>
            <w:r w:rsidR="00ED7723" w:rsidRPr="005B5D7C">
              <w:rPr>
                <w:rFonts w:ascii="Arial" w:hAnsi="Arial" w:cs="Arial"/>
                <w:sz w:val="22"/>
                <w:szCs w:val="22"/>
                <w:lang w:val="es-ES"/>
              </w:rPr>
              <w:t xml:space="preserve"> Directorio de la DINEPA, lo cual fortalecerá la gobernanza del sector agua y saneamiento. </w:t>
            </w:r>
          </w:p>
          <w:p w14:paraId="236CFAA2" w14:textId="26D7F145" w:rsidR="00FB77A6" w:rsidRDefault="00FB77A6" w:rsidP="00ED7723">
            <w:pPr>
              <w:jc w:val="both"/>
              <w:rPr>
                <w:rFonts w:ascii="Arial" w:hAnsi="Arial" w:cs="Arial"/>
                <w:sz w:val="22"/>
                <w:szCs w:val="22"/>
                <w:lang w:val="es-ES"/>
              </w:rPr>
            </w:pPr>
          </w:p>
          <w:p w14:paraId="454FAFEE" w14:textId="7F6FAA42" w:rsidR="00FB77A6" w:rsidRDefault="00FB77A6" w:rsidP="00ED7723">
            <w:pPr>
              <w:jc w:val="both"/>
              <w:rPr>
                <w:rFonts w:ascii="Arial" w:hAnsi="Arial" w:cs="Arial"/>
                <w:sz w:val="22"/>
                <w:szCs w:val="22"/>
                <w:lang w:val="es-ES"/>
              </w:rPr>
            </w:pPr>
            <w:r>
              <w:rPr>
                <w:rFonts w:ascii="Arial" w:hAnsi="Arial" w:cs="Arial"/>
                <w:sz w:val="22"/>
                <w:szCs w:val="22"/>
                <w:lang w:val="es-ES"/>
              </w:rPr>
              <w:t>Un comité de seguimiento c</w:t>
            </w:r>
            <w:r w:rsidR="002259EA">
              <w:rPr>
                <w:rFonts w:ascii="Arial" w:hAnsi="Arial" w:cs="Arial"/>
                <w:sz w:val="22"/>
                <w:szCs w:val="22"/>
                <w:lang w:val="es-ES"/>
              </w:rPr>
              <w:t>onstituido</w:t>
            </w:r>
            <w:r>
              <w:rPr>
                <w:rFonts w:ascii="Arial" w:hAnsi="Arial" w:cs="Arial"/>
                <w:sz w:val="22"/>
                <w:szCs w:val="22"/>
                <w:lang w:val="es-ES"/>
              </w:rPr>
              <w:t xml:space="preserve"> por miembros de la sociedad de Cabo Haitiano debe de ser conformado</w:t>
            </w:r>
            <w:r w:rsidR="002259EA">
              <w:rPr>
                <w:rFonts w:ascii="Arial" w:hAnsi="Arial" w:cs="Arial"/>
                <w:sz w:val="22"/>
                <w:szCs w:val="22"/>
                <w:lang w:val="es-ES"/>
              </w:rPr>
              <w:t xml:space="preserve">. El comité será constituido entre otros por: </w:t>
            </w:r>
            <w:r w:rsidR="005516DC">
              <w:rPr>
                <w:rFonts w:ascii="Arial" w:hAnsi="Arial" w:cs="Arial"/>
                <w:sz w:val="22"/>
                <w:szCs w:val="22"/>
                <w:lang w:val="es-ES"/>
              </w:rPr>
              <w:t xml:space="preserve">sector privado, alcaldía de Cabo Haitiano, </w:t>
            </w:r>
            <w:r w:rsidR="00D362DB">
              <w:rPr>
                <w:rFonts w:ascii="Arial" w:hAnsi="Arial" w:cs="Arial"/>
                <w:sz w:val="22"/>
                <w:szCs w:val="22"/>
                <w:lang w:val="es-ES"/>
              </w:rPr>
              <w:t>asociación de mujeres, la universidad de Limonade, ministerio de obras públicas</w:t>
            </w:r>
            <w:r w:rsidR="003C1AF6">
              <w:rPr>
                <w:rFonts w:ascii="Arial" w:hAnsi="Arial" w:cs="Arial"/>
                <w:sz w:val="22"/>
                <w:szCs w:val="22"/>
                <w:lang w:val="es-ES"/>
              </w:rPr>
              <w:t xml:space="preserve"> </w:t>
            </w:r>
            <w:proofErr w:type="spellStart"/>
            <w:r w:rsidR="003C1AF6">
              <w:rPr>
                <w:rFonts w:ascii="Arial" w:hAnsi="Arial" w:cs="Arial"/>
                <w:sz w:val="22"/>
                <w:szCs w:val="22"/>
                <w:lang w:val="es-ES"/>
              </w:rPr>
              <w:t>etc</w:t>
            </w:r>
            <w:proofErr w:type="spellEnd"/>
          </w:p>
          <w:p w14:paraId="79E39158" w14:textId="0856DDF4" w:rsidR="0035761C" w:rsidRPr="005B5D7C" w:rsidRDefault="0035761C" w:rsidP="00ED7723">
            <w:pPr>
              <w:jc w:val="both"/>
              <w:rPr>
                <w:rFonts w:ascii="Arial" w:hAnsi="Arial" w:cs="Arial"/>
                <w:sz w:val="22"/>
                <w:szCs w:val="22"/>
                <w:lang w:val="es-ES"/>
              </w:rPr>
            </w:pPr>
          </w:p>
          <w:p w14:paraId="0BC65100" w14:textId="02F6A7CF" w:rsidR="00BC630D" w:rsidRPr="005B5D7C" w:rsidRDefault="00BC630D" w:rsidP="00980110">
            <w:pPr>
              <w:jc w:val="both"/>
              <w:rPr>
                <w:rFonts w:ascii="Arial" w:hAnsi="Arial" w:cs="Arial"/>
                <w:sz w:val="22"/>
                <w:szCs w:val="22"/>
                <w:lang w:val="es-ES"/>
              </w:rPr>
            </w:pPr>
          </w:p>
        </w:tc>
      </w:tr>
      <w:tr w:rsidR="00CD0ADA" w:rsidRPr="005B5D7C" w14:paraId="55011B60" w14:textId="77777777" w:rsidTr="00963271">
        <w:trPr>
          <w:jc w:val="center"/>
        </w:trPr>
        <w:tc>
          <w:tcPr>
            <w:tcW w:w="2418" w:type="dxa"/>
            <w:shd w:val="clear" w:color="auto" w:fill="auto"/>
          </w:tcPr>
          <w:p w14:paraId="69E1CDB4" w14:textId="40F3FF91" w:rsidR="001B48E1" w:rsidRPr="005B5D7C" w:rsidRDefault="001B48E1" w:rsidP="007F7E1E">
            <w:pPr>
              <w:ind w:left="330" w:hanging="150"/>
              <w:jc w:val="both"/>
              <w:rPr>
                <w:rFonts w:ascii="Arial" w:hAnsi="Arial" w:cs="Arial"/>
                <w:b/>
                <w:bCs/>
                <w:i/>
                <w:sz w:val="20"/>
                <w:szCs w:val="20"/>
                <w:lang w:val="es-ES"/>
              </w:rPr>
            </w:pPr>
            <w:r w:rsidRPr="005B5D7C">
              <w:rPr>
                <w:rFonts w:ascii="Arial" w:hAnsi="Arial" w:cs="Arial"/>
                <w:b/>
                <w:bCs/>
                <w:i/>
                <w:sz w:val="20"/>
                <w:szCs w:val="20"/>
                <w:lang w:val="es-ES"/>
              </w:rPr>
              <w:lastRenderedPageBreak/>
              <w:t xml:space="preserve">B. </w:t>
            </w:r>
            <w:r w:rsidR="00FB5AF0" w:rsidRPr="005B5D7C">
              <w:rPr>
                <w:rFonts w:ascii="Arial" w:hAnsi="Arial" w:cs="Arial"/>
                <w:b/>
                <w:bCs/>
                <w:i/>
                <w:sz w:val="20"/>
                <w:szCs w:val="20"/>
                <w:lang w:val="es-ES"/>
              </w:rPr>
              <w:t>Anal</w:t>
            </w:r>
            <w:r w:rsidR="007F7E1E" w:rsidRPr="005B5D7C">
              <w:rPr>
                <w:rFonts w:ascii="Arial" w:hAnsi="Arial" w:cs="Arial"/>
                <w:b/>
                <w:bCs/>
                <w:i/>
                <w:sz w:val="20"/>
                <w:szCs w:val="20"/>
                <w:lang w:val="es-ES"/>
              </w:rPr>
              <w:t xml:space="preserve">izar las características e impactos de los </w:t>
            </w:r>
            <w:r w:rsidR="005B5D7C" w:rsidRPr="005B5D7C">
              <w:rPr>
                <w:rFonts w:ascii="Arial" w:hAnsi="Arial" w:cs="Arial"/>
                <w:b/>
                <w:bCs/>
                <w:i/>
                <w:sz w:val="20"/>
                <w:szCs w:val="20"/>
                <w:lang w:val="es-ES"/>
              </w:rPr>
              <w:t>subsidios</w:t>
            </w:r>
          </w:p>
        </w:tc>
        <w:tc>
          <w:tcPr>
            <w:tcW w:w="3330" w:type="dxa"/>
            <w:shd w:val="clear" w:color="auto" w:fill="auto"/>
          </w:tcPr>
          <w:p w14:paraId="169D6A47" w14:textId="181266F6" w:rsidR="001B48E1" w:rsidRPr="005B5D7C" w:rsidRDefault="00E141B7" w:rsidP="007B3F45">
            <w:pPr>
              <w:jc w:val="both"/>
              <w:rPr>
                <w:rFonts w:ascii="Arial" w:hAnsi="Arial" w:cs="Arial"/>
                <w:sz w:val="22"/>
                <w:szCs w:val="22"/>
                <w:lang w:val="es-ES"/>
              </w:rPr>
            </w:pPr>
            <w:r w:rsidRPr="005B5D7C">
              <w:rPr>
                <w:rFonts w:ascii="Arial" w:hAnsi="Arial" w:cs="Arial"/>
                <w:sz w:val="22"/>
                <w:szCs w:val="22"/>
                <w:lang w:val="es-ES"/>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w:t>
            </w:r>
            <w:r w:rsidRPr="005B5D7C">
              <w:rPr>
                <w:rFonts w:ascii="Arial" w:hAnsi="Arial" w:cs="Arial"/>
                <w:sz w:val="22"/>
                <w:szCs w:val="22"/>
                <w:lang w:val="es-ES"/>
              </w:rPr>
              <w:lastRenderedPageBreak/>
              <w:t>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4487" w:type="dxa"/>
            <w:shd w:val="clear" w:color="auto" w:fill="auto"/>
          </w:tcPr>
          <w:p w14:paraId="21EF3155" w14:textId="716EAB16" w:rsidR="00E141B7" w:rsidRPr="005B5D7C" w:rsidRDefault="00E141B7" w:rsidP="00E141B7">
            <w:pPr>
              <w:jc w:val="both"/>
              <w:rPr>
                <w:rFonts w:ascii="Arial" w:hAnsi="Arial" w:cs="Arial"/>
                <w:sz w:val="22"/>
                <w:szCs w:val="22"/>
                <w:lang w:val="es-ES"/>
              </w:rPr>
            </w:pPr>
            <w:r w:rsidRPr="005B5D7C">
              <w:rPr>
                <w:rFonts w:ascii="Arial" w:hAnsi="Arial" w:cs="Arial"/>
                <w:sz w:val="22"/>
                <w:szCs w:val="22"/>
                <w:lang w:val="es-ES"/>
              </w:rPr>
              <w:lastRenderedPageBreak/>
              <w:t xml:space="preserve">En la actualidad los ingresos tarifarios de los operadores urbanos </w:t>
            </w:r>
            <w:r w:rsidR="00D3577F">
              <w:rPr>
                <w:rFonts w:ascii="Arial" w:hAnsi="Arial" w:cs="Arial"/>
                <w:sz w:val="22"/>
                <w:szCs w:val="22"/>
                <w:lang w:val="es-ES"/>
              </w:rPr>
              <w:t>solo</w:t>
            </w:r>
            <w:r w:rsidRPr="005B5D7C">
              <w:rPr>
                <w:rFonts w:ascii="Arial" w:hAnsi="Arial" w:cs="Arial"/>
                <w:sz w:val="22"/>
                <w:szCs w:val="22"/>
                <w:lang w:val="es-ES"/>
              </w:rPr>
              <w:t xml:space="preserve"> alcanzan para cubrir los costos de administración, operación y mantenimiento de los sistemas</w:t>
            </w:r>
            <w:r w:rsidR="00D3577F">
              <w:rPr>
                <w:rFonts w:ascii="Arial" w:hAnsi="Arial" w:cs="Arial"/>
                <w:sz w:val="22"/>
                <w:szCs w:val="22"/>
                <w:lang w:val="es-ES"/>
              </w:rPr>
              <w:t xml:space="preserve"> en dos de los CTEs de Haiti (Port de </w:t>
            </w:r>
            <w:proofErr w:type="spellStart"/>
            <w:r w:rsidR="00D3577F">
              <w:rPr>
                <w:rFonts w:ascii="Arial" w:hAnsi="Arial" w:cs="Arial"/>
                <w:sz w:val="22"/>
                <w:szCs w:val="22"/>
                <w:lang w:val="es-ES"/>
              </w:rPr>
              <w:t>Paix</w:t>
            </w:r>
            <w:proofErr w:type="spellEnd"/>
            <w:r w:rsidR="00D3577F">
              <w:rPr>
                <w:rFonts w:ascii="Arial" w:hAnsi="Arial" w:cs="Arial"/>
                <w:sz w:val="22"/>
                <w:szCs w:val="22"/>
                <w:lang w:val="es-ES"/>
              </w:rPr>
              <w:t xml:space="preserve"> y </w:t>
            </w:r>
            <w:proofErr w:type="spellStart"/>
            <w:r w:rsidR="00D3577F">
              <w:rPr>
                <w:rFonts w:ascii="Arial" w:hAnsi="Arial" w:cs="Arial"/>
                <w:sz w:val="22"/>
                <w:szCs w:val="22"/>
                <w:lang w:val="es-ES"/>
              </w:rPr>
              <w:t>Ouanaminthe</w:t>
            </w:r>
            <w:proofErr w:type="spellEnd"/>
            <w:r w:rsidR="00D3577F">
              <w:rPr>
                <w:rFonts w:ascii="Arial" w:hAnsi="Arial" w:cs="Arial"/>
                <w:sz w:val="22"/>
                <w:szCs w:val="22"/>
                <w:lang w:val="es-ES"/>
              </w:rPr>
              <w:t>)</w:t>
            </w:r>
            <w:r w:rsidRPr="005B5D7C">
              <w:rPr>
                <w:rFonts w:ascii="Arial" w:hAnsi="Arial" w:cs="Arial"/>
                <w:sz w:val="22"/>
                <w:szCs w:val="22"/>
                <w:lang w:val="es-ES"/>
              </w:rPr>
              <w:t xml:space="preserve">. </w:t>
            </w:r>
            <w:r w:rsidR="00264801">
              <w:rPr>
                <w:rFonts w:ascii="Arial" w:hAnsi="Arial" w:cs="Arial"/>
                <w:sz w:val="22"/>
                <w:szCs w:val="22"/>
                <w:lang w:val="es-ES"/>
              </w:rPr>
              <w:t xml:space="preserve">Una subvención está prevista al CTE de Cabo Haitiano durante los primeros </w:t>
            </w:r>
            <w:r w:rsidR="00D3577F">
              <w:rPr>
                <w:rFonts w:ascii="Arial" w:hAnsi="Arial" w:cs="Arial"/>
                <w:sz w:val="22"/>
                <w:szCs w:val="22"/>
                <w:lang w:val="es-ES"/>
              </w:rPr>
              <w:t>dos años hasta que se alcance el equilibrio financiero.</w:t>
            </w:r>
          </w:p>
          <w:p w14:paraId="7231202D" w14:textId="5E1B8A44" w:rsidR="00E141B7" w:rsidRPr="005B5D7C" w:rsidRDefault="00E141B7" w:rsidP="00E141B7">
            <w:pPr>
              <w:jc w:val="both"/>
              <w:rPr>
                <w:rFonts w:ascii="Arial" w:hAnsi="Arial" w:cs="Arial"/>
                <w:sz w:val="22"/>
                <w:szCs w:val="22"/>
                <w:lang w:val="es-ES"/>
              </w:rPr>
            </w:pPr>
            <w:r w:rsidRPr="005B5D7C">
              <w:rPr>
                <w:rFonts w:ascii="Arial" w:hAnsi="Arial" w:cs="Arial"/>
                <w:sz w:val="22"/>
                <w:szCs w:val="22"/>
                <w:lang w:val="es-ES"/>
              </w:rPr>
              <w:t xml:space="preserve">Siendo el nivel de pobreza en </w:t>
            </w:r>
            <w:r w:rsidR="00EA6898" w:rsidRPr="005B5D7C">
              <w:rPr>
                <w:rFonts w:ascii="Arial" w:hAnsi="Arial" w:cs="Arial"/>
                <w:sz w:val="22"/>
                <w:szCs w:val="22"/>
                <w:lang w:val="es-ES"/>
              </w:rPr>
              <w:t>Haití</w:t>
            </w:r>
            <w:r w:rsidRPr="005B5D7C">
              <w:rPr>
                <w:rFonts w:ascii="Arial" w:hAnsi="Arial" w:cs="Arial"/>
                <w:sz w:val="22"/>
                <w:szCs w:val="22"/>
                <w:lang w:val="es-ES"/>
              </w:rPr>
              <w:t xml:space="preserve"> </w:t>
            </w:r>
            <w:r w:rsidR="00510DBA" w:rsidRPr="005B5D7C">
              <w:rPr>
                <w:rFonts w:ascii="Arial" w:hAnsi="Arial" w:cs="Arial"/>
                <w:sz w:val="22"/>
                <w:szCs w:val="22"/>
                <w:lang w:val="es-ES"/>
              </w:rPr>
              <w:t>muy</w:t>
            </w:r>
            <w:r w:rsidRPr="005B5D7C">
              <w:rPr>
                <w:rFonts w:ascii="Arial" w:hAnsi="Arial" w:cs="Arial"/>
                <w:sz w:val="22"/>
                <w:szCs w:val="22"/>
                <w:lang w:val="es-ES"/>
              </w:rPr>
              <w:t xml:space="preserve"> elevado, no cabe duda </w:t>
            </w:r>
            <w:proofErr w:type="gramStart"/>
            <w:r w:rsidRPr="005B5D7C">
              <w:rPr>
                <w:rFonts w:ascii="Arial" w:hAnsi="Arial" w:cs="Arial"/>
                <w:sz w:val="22"/>
                <w:szCs w:val="22"/>
                <w:lang w:val="es-ES"/>
              </w:rPr>
              <w:t>que</w:t>
            </w:r>
            <w:proofErr w:type="gramEnd"/>
            <w:r w:rsidRPr="005B5D7C">
              <w:rPr>
                <w:rFonts w:ascii="Arial" w:hAnsi="Arial" w:cs="Arial"/>
                <w:sz w:val="22"/>
                <w:szCs w:val="22"/>
                <w:lang w:val="es-ES"/>
              </w:rPr>
              <w:t xml:space="preserve"> el financiamiento de </w:t>
            </w:r>
            <w:r w:rsidRPr="005B5D7C">
              <w:rPr>
                <w:rFonts w:ascii="Arial" w:hAnsi="Arial" w:cs="Arial"/>
                <w:sz w:val="22"/>
                <w:szCs w:val="22"/>
                <w:lang w:val="es-ES"/>
              </w:rPr>
              <w:lastRenderedPageBreak/>
              <w:t xml:space="preserve">inversiones y de costos de operación y mantenimiento por medio de transferencias del gobierno representa un subsidio substancial a estas familias. No </w:t>
            </w:r>
            <w:proofErr w:type="gramStart"/>
            <w:r w:rsidRPr="005B5D7C">
              <w:rPr>
                <w:rFonts w:ascii="Arial" w:hAnsi="Arial" w:cs="Arial"/>
                <w:sz w:val="22"/>
                <w:szCs w:val="22"/>
                <w:lang w:val="es-ES"/>
              </w:rPr>
              <w:t>obstante</w:t>
            </w:r>
            <w:proofErr w:type="gramEnd"/>
            <w:r w:rsidRPr="005B5D7C">
              <w:rPr>
                <w:rFonts w:ascii="Arial" w:hAnsi="Arial" w:cs="Arial"/>
                <w:sz w:val="22"/>
                <w:szCs w:val="22"/>
                <w:lang w:val="es-ES"/>
              </w:rPr>
              <w:t xml:space="preserve"> es necesario mejorar su estructura y focalización, para lo cual se prevé la formulación de una adecuada política tarifaria.</w:t>
            </w:r>
          </w:p>
          <w:p w14:paraId="0790B1C9" w14:textId="08E39057" w:rsidR="001B48E1" w:rsidRPr="005B5D7C" w:rsidRDefault="00980110" w:rsidP="0095339D">
            <w:pPr>
              <w:jc w:val="both"/>
              <w:rPr>
                <w:rFonts w:ascii="Arial" w:hAnsi="Arial" w:cs="Arial"/>
                <w:sz w:val="20"/>
                <w:szCs w:val="20"/>
                <w:lang w:val="es-ES"/>
              </w:rPr>
            </w:pPr>
            <w:r w:rsidRPr="005B5D7C">
              <w:rPr>
                <w:rFonts w:ascii="Arial" w:hAnsi="Arial" w:cs="Arial"/>
                <w:sz w:val="22"/>
                <w:szCs w:val="22"/>
                <w:lang w:val="es-ES"/>
              </w:rPr>
              <w:t>.</w:t>
            </w:r>
          </w:p>
        </w:tc>
      </w:tr>
      <w:tr w:rsidR="00CD0ADA" w:rsidRPr="000F22DF" w14:paraId="24BCD917" w14:textId="77777777" w:rsidTr="00963271">
        <w:trPr>
          <w:jc w:val="center"/>
        </w:trPr>
        <w:tc>
          <w:tcPr>
            <w:tcW w:w="2418" w:type="dxa"/>
            <w:shd w:val="clear" w:color="auto" w:fill="auto"/>
          </w:tcPr>
          <w:p w14:paraId="268403EC" w14:textId="4B5FF205" w:rsidR="00406169" w:rsidRPr="005B5D7C" w:rsidRDefault="00406169" w:rsidP="005A5C47">
            <w:pPr>
              <w:ind w:left="330" w:hanging="150"/>
              <w:rPr>
                <w:rFonts w:ascii="Arial" w:hAnsi="Arial" w:cs="Arial"/>
                <w:i/>
                <w:sz w:val="20"/>
                <w:szCs w:val="20"/>
                <w:lang w:val="es-ES"/>
              </w:rPr>
            </w:pPr>
            <w:r w:rsidRPr="005B5D7C">
              <w:rPr>
                <w:rFonts w:ascii="Arial" w:hAnsi="Arial" w:cs="Arial"/>
                <w:b/>
                <w:bCs/>
                <w:i/>
                <w:sz w:val="20"/>
                <w:szCs w:val="20"/>
                <w:lang w:val="es-ES"/>
              </w:rPr>
              <w:lastRenderedPageBreak/>
              <w:t>C. Separa</w:t>
            </w:r>
            <w:r w:rsidR="005A5C47" w:rsidRPr="005B5D7C">
              <w:rPr>
                <w:rFonts w:ascii="Arial" w:hAnsi="Arial" w:cs="Arial"/>
                <w:b/>
                <w:bCs/>
                <w:i/>
                <w:sz w:val="20"/>
                <w:szCs w:val="20"/>
                <w:lang w:val="es-ES"/>
              </w:rPr>
              <w:t>ción de Funciones para mejorar la gobernanza sectorial</w:t>
            </w:r>
          </w:p>
        </w:tc>
        <w:tc>
          <w:tcPr>
            <w:tcW w:w="3330" w:type="dxa"/>
            <w:shd w:val="clear" w:color="auto" w:fill="auto"/>
          </w:tcPr>
          <w:p w14:paraId="31974A9A" w14:textId="77E72672" w:rsidR="00406169" w:rsidRPr="005B5D7C" w:rsidRDefault="00727563" w:rsidP="00C46C02">
            <w:pPr>
              <w:jc w:val="both"/>
              <w:rPr>
                <w:rFonts w:ascii="Arial" w:hAnsi="Arial" w:cs="Arial"/>
                <w:sz w:val="22"/>
                <w:szCs w:val="22"/>
                <w:lang w:val="es-ES"/>
              </w:rPr>
            </w:pPr>
            <w:r w:rsidRPr="005B5D7C">
              <w:rPr>
                <w:rFonts w:ascii="Arial" w:hAnsi="Arial" w:cs="Arial"/>
                <w:sz w:val="22"/>
                <w:szCs w:val="22"/>
                <w:lang w:val="es-ES"/>
              </w:rPr>
              <w:t xml:space="preserve">Deben separarse las funciones de </w:t>
            </w:r>
            <w:r w:rsidRPr="005B5D7C">
              <w:rPr>
                <w:rFonts w:ascii="Arial" w:hAnsi="Arial" w:cs="Arial"/>
                <w:b/>
                <w:bCs/>
                <w:sz w:val="22"/>
                <w:szCs w:val="22"/>
                <w:lang w:val="es-ES"/>
              </w:rPr>
              <w:t>formulador de políticas, regulador</w:t>
            </w:r>
            <w:r w:rsidRPr="005B5D7C">
              <w:rPr>
                <w:rFonts w:ascii="Arial" w:hAnsi="Arial" w:cs="Arial"/>
                <w:sz w:val="22"/>
                <w:szCs w:val="22"/>
                <w:lang w:val="es-ES"/>
              </w:rPr>
              <w:t xml:space="preserve"> y </w:t>
            </w:r>
            <w:r w:rsidRPr="005B5D7C">
              <w:rPr>
                <w:rFonts w:ascii="Arial" w:hAnsi="Arial" w:cs="Arial"/>
                <w:b/>
                <w:bCs/>
                <w:sz w:val="22"/>
                <w:szCs w:val="22"/>
                <w:lang w:val="es-ES"/>
              </w:rPr>
              <w:t>empresario</w:t>
            </w:r>
            <w:r w:rsidRPr="005B5D7C">
              <w:rPr>
                <w:rFonts w:ascii="Arial" w:hAnsi="Arial" w:cs="Arial"/>
                <w:sz w:val="22"/>
                <w:szCs w:val="22"/>
                <w:lang w:val="es-ES"/>
              </w:rPr>
              <w:t xml:space="preserve"> y asignarse a instituciones distintas y apropiadas. De esta manera, las autoridades conservarán la responsabilidad de </w:t>
            </w:r>
            <w:r w:rsidRPr="005B5D7C">
              <w:rPr>
                <w:rFonts w:ascii="Arial" w:hAnsi="Arial" w:cs="Arial"/>
                <w:b/>
                <w:bCs/>
                <w:sz w:val="22"/>
                <w:szCs w:val="22"/>
                <w:lang w:val="es-ES"/>
              </w:rPr>
              <w:t>formular la política</w:t>
            </w:r>
            <w:r w:rsidRPr="005B5D7C">
              <w:rPr>
                <w:rFonts w:ascii="Arial" w:hAnsi="Arial" w:cs="Arial"/>
                <w:sz w:val="22"/>
                <w:szCs w:val="22"/>
                <w:lang w:val="es-ES"/>
              </w:rPr>
              <w:t xml:space="preserve">, un ente público separado dictará el </w:t>
            </w:r>
            <w:r w:rsidRPr="005B5D7C">
              <w:rPr>
                <w:rFonts w:ascii="Arial" w:hAnsi="Arial" w:cs="Arial"/>
                <w:b/>
                <w:bCs/>
                <w:sz w:val="22"/>
                <w:szCs w:val="22"/>
                <w:lang w:val="es-ES"/>
              </w:rPr>
              <w:t>régimen reglamentario</w:t>
            </w:r>
            <w:r w:rsidRPr="005B5D7C">
              <w:rPr>
                <w:rFonts w:ascii="Arial" w:hAnsi="Arial" w:cs="Arial"/>
                <w:sz w:val="22"/>
                <w:szCs w:val="22"/>
                <w:lang w:val="es-ES"/>
              </w:rPr>
              <w:t xml:space="preserve"> y se asignará al proveedor del servicio una función exclusivamente </w:t>
            </w:r>
            <w:r w:rsidRPr="005B5D7C">
              <w:rPr>
                <w:rFonts w:ascii="Arial" w:hAnsi="Arial" w:cs="Arial"/>
                <w:b/>
                <w:bCs/>
                <w:sz w:val="22"/>
                <w:szCs w:val="22"/>
                <w:lang w:val="es-ES"/>
              </w:rPr>
              <w:t>empresarial</w:t>
            </w:r>
            <w:r w:rsidRPr="005B5D7C">
              <w:rPr>
                <w:rFonts w:ascii="Arial" w:hAnsi="Arial" w:cs="Arial"/>
                <w:sz w:val="22"/>
                <w:szCs w:val="22"/>
                <w:lang w:val="es-ES"/>
              </w:rPr>
              <w:t xml:space="preserve">, sea ésta de propiedad estatal o privada. Esta Política reconoce, sin embargo, que la organización institucional no puede responder a un modelo único, debiendo adaptarse a las </w:t>
            </w:r>
            <w:r w:rsidRPr="005B5D7C">
              <w:rPr>
                <w:rFonts w:ascii="Arial" w:hAnsi="Arial" w:cs="Arial"/>
                <w:sz w:val="22"/>
                <w:szCs w:val="22"/>
                <w:lang w:val="es-ES"/>
              </w:rPr>
              <w:lastRenderedPageBreak/>
              <w:t>particularidades de cada sector y país. En varios países de la región, la responsabilidad de la formulación de políticas, la 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w:t>
            </w:r>
          </w:p>
        </w:tc>
        <w:tc>
          <w:tcPr>
            <w:tcW w:w="4487" w:type="dxa"/>
            <w:shd w:val="clear" w:color="auto" w:fill="auto"/>
          </w:tcPr>
          <w:p w14:paraId="39BB7DC2" w14:textId="77777777" w:rsidR="00727563" w:rsidRPr="005B5D7C" w:rsidRDefault="00727563" w:rsidP="00727563">
            <w:pPr>
              <w:jc w:val="both"/>
              <w:rPr>
                <w:rFonts w:ascii="Arial" w:hAnsi="Arial" w:cs="Arial"/>
                <w:sz w:val="22"/>
                <w:szCs w:val="22"/>
                <w:lang w:val="es-ES"/>
              </w:rPr>
            </w:pPr>
            <w:r w:rsidRPr="005B5D7C">
              <w:rPr>
                <w:rFonts w:ascii="Arial" w:hAnsi="Arial" w:cs="Arial"/>
                <w:sz w:val="22"/>
                <w:szCs w:val="22"/>
                <w:lang w:val="es-ES"/>
              </w:rPr>
              <w:lastRenderedPageBreak/>
              <w:t xml:space="preserve">La Ley de Reforma del sector, aprobada en el 2009, contempla explícitamente: (i) la clara separación de roles y funciones en el sector, asignando a la DINEPA un rol rector y regulador; a las OREPAS un rol de dueño de la infraestructura y a los CTEs un rol de operación de los servicios; (ii) la misma Ley contempla la posibilidad de prestación privada de los servicios orientando la gestión empresarial del mismo. </w:t>
            </w:r>
          </w:p>
          <w:p w14:paraId="68D43B8A" w14:textId="77777777" w:rsidR="00727563" w:rsidRPr="005B5D7C" w:rsidRDefault="00727563" w:rsidP="00727563">
            <w:pPr>
              <w:jc w:val="both"/>
              <w:rPr>
                <w:rFonts w:ascii="Arial" w:hAnsi="Arial" w:cs="Arial"/>
                <w:sz w:val="22"/>
                <w:szCs w:val="22"/>
                <w:lang w:val="es-ES"/>
              </w:rPr>
            </w:pPr>
          </w:p>
          <w:p w14:paraId="1415D5EE" w14:textId="3CAE9932" w:rsidR="00963271" w:rsidRPr="005B5D7C" w:rsidRDefault="00727563" w:rsidP="00F000EA">
            <w:pPr>
              <w:jc w:val="both"/>
              <w:rPr>
                <w:rFonts w:ascii="Arial" w:hAnsi="Arial" w:cs="Arial"/>
                <w:color w:val="FF0000"/>
                <w:sz w:val="22"/>
                <w:szCs w:val="22"/>
                <w:lang w:val="es-ES"/>
              </w:rPr>
            </w:pPr>
            <w:r w:rsidRPr="005B5D7C">
              <w:rPr>
                <w:rFonts w:ascii="Arial" w:hAnsi="Arial" w:cs="Arial"/>
                <w:sz w:val="22"/>
                <w:szCs w:val="22"/>
                <w:lang w:val="es-ES"/>
              </w:rPr>
              <w:t xml:space="preserve">El </w:t>
            </w:r>
            <w:proofErr w:type="gramStart"/>
            <w:r w:rsidRPr="005B5D7C">
              <w:rPr>
                <w:rFonts w:ascii="Arial" w:hAnsi="Arial" w:cs="Arial"/>
                <w:sz w:val="22"/>
                <w:szCs w:val="22"/>
                <w:lang w:val="es-ES"/>
              </w:rPr>
              <w:t>pro</w:t>
            </w:r>
            <w:r w:rsidR="00F72BE0" w:rsidRPr="005B5D7C">
              <w:rPr>
                <w:rFonts w:ascii="Arial" w:hAnsi="Arial" w:cs="Arial"/>
                <w:sz w:val="22"/>
                <w:szCs w:val="22"/>
                <w:lang w:val="es-ES"/>
              </w:rPr>
              <w:t>grama  de</w:t>
            </w:r>
            <w:proofErr w:type="gramEnd"/>
            <w:r w:rsidR="00B64B91" w:rsidRPr="005B5D7C">
              <w:rPr>
                <w:rFonts w:ascii="Arial" w:hAnsi="Arial" w:cs="Arial"/>
                <w:sz w:val="22"/>
                <w:szCs w:val="22"/>
                <w:lang w:val="es-ES"/>
              </w:rPr>
              <w:t xml:space="preserve"> PBG (HA-L1090</w:t>
            </w:r>
            <w:r w:rsidR="00F72BE0" w:rsidRPr="005B5D7C">
              <w:rPr>
                <w:rFonts w:ascii="Arial" w:hAnsi="Arial" w:cs="Arial"/>
                <w:sz w:val="22"/>
                <w:szCs w:val="22"/>
                <w:lang w:val="es-ES"/>
              </w:rPr>
              <w:t>, aprobado en 2014</w:t>
            </w:r>
            <w:r w:rsidR="00B64B91" w:rsidRPr="005B5D7C">
              <w:rPr>
                <w:rFonts w:ascii="Arial" w:hAnsi="Arial" w:cs="Arial"/>
                <w:sz w:val="22"/>
                <w:szCs w:val="22"/>
                <w:lang w:val="es-ES"/>
              </w:rPr>
              <w:t xml:space="preserve">) y HA-L1105 </w:t>
            </w:r>
            <w:r w:rsidR="00F72BE0" w:rsidRPr="005B5D7C">
              <w:rPr>
                <w:rFonts w:ascii="Arial" w:hAnsi="Arial" w:cs="Arial"/>
                <w:sz w:val="22"/>
                <w:szCs w:val="22"/>
                <w:lang w:val="es-ES"/>
              </w:rPr>
              <w:t xml:space="preserve">(por </w:t>
            </w:r>
            <w:r w:rsidR="00F000EA" w:rsidRPr="005B5D7C">
              <w:rPr>
                <w:rFonts w:ascii="Arial" w:hAnsi="Arial" w:cs="Arial"/>
                <w:sz w:val="22"/>
                <w:szCs w:val="22"/>
                <w:lang w:val="es-ES"/>
              </w:rPr>
              <w:t>confirmar</w:t>
            </w:r>
            <w:r w:rsidR="00F72BE0" w:rsidRPr="005B5D7C">
              <w:rPr>
                <w:rFonts w:ascii="Arial" w:hAnsi="Arial" w:cs="Arial"/>
                <w:sz w:val="22"/>
                <w:szCs w:val="22"/>
                <w:lang w:val="es-ES"/>
              </w:rPr>
              <w:t>)</w:t>
            </w:r>
            <w:r w:rsidR="00B64B91" w:rsidRPr="005B5D7C">
              <w:rPr>
                <w:rFonts w:ascii="Arial" w:hAnsi="Arial" w:cs="Arial"/>
                <w:sz w:val="22"/>
                <w:szCs w:val="22"/>
                <w:lang w:val="es-ES"/>
              </w:rPr>
              <w:t xml:space="preserve"> p</w:t>
            </w:r>
            <w:r w:rsidRPr="005B5D7C">
              <w:rPr>
                <w:rFonts w:ascii="Arial" w:hAnsi="Arial" w:cs="Arial"/>
                <w:sz w:val="22"/>
                <w:szCs w:val="22"/>
                <w:lang w:val="es-ES"/>
              </w:rPr>
              <w:t>ropone avanzar y profundizar en estas reformas para cumplir con los objetivos descritos.</w:t>
            </w:r>
          </w:p>
        </w:tc>
      </w:tr>
      <w:tr w:rsidR="00CD0ADA" w:rsidRPr="000F22DF" w14:paraId="43671A53" w14:textId="77777777" w:rsidTr="00963271">
        <w:trPr>
          <w:jc w:val="center"/>
        </w:trPr>
        <w:tc>
          <w:tcPr>
            <w:tcW w:w="2418" w:type="dxa"/>
            <w:shd w:val="clear" w:color="auto" w:fill="auto"/>
          </w:tcPr>
          <w:p w14:paraId="7BE101B9" w14:textId="7AB2A950" w:rsidR="00406169" w:rsidRPr="005B5D7C" w:rsidRDefault="00406169" w:rsidP="00DC3ED1">
            <w:pPr>
              <w:ind w:left="330" w:hanging="150"/>
              <w:rPr>
                <w:rFonts w:ascii="Arial" w:hAnsi="Arial" w:cs="Arial"/>
                <w:i/>
                <w:sz w:val="20"/>
                <w:szCs w:val="20"/>
                <w:lang w:val="es-ES"/>
              </w:rPr>
            </w:pPr>
            <w:r w:rsidRPr="005B5D7C">
              <w:rPr>
                <w:rFonts w:ascii="Arial" w:hAnsi="Arial" w:cs="Arial"/>
                <w:b/>
                <w:bCs/>
                <w:i/>
                <w:sz w:val="20"/>
                <w:szCs w:val="20"/>
                <w:lang w:val="es-ES"/>
              </w:rPr>
              <w:t>D. Establ</w:t>
            </w:r>
            <w:r w:rsidR="00DC3ED1" w:rsidRPr="005B5D7C">
              <w:rPr>
                <w:rFonts w:ascii="Arial" w:hAnsi="Arial" w:cs="Arial"/>
                <w:b/>
                <w:bCs/>
                <w:i/>
                <w:sz w:val="20"/>
                <w:szCs w:val="20"/>
                <w:lang w:val="es-ES"/>
              </w:rPr>
              <w:t xml:space="preserve">ecer la </w:t>
            </w:r>
            <w:r w:rsidR="005B5D7C" w:rsidRPr="005B5D7C">
              <w:rPr>
                <w:rFonts w:ascii="Arial" w:hAnsi="Arial" w:cs="Arial"/>
                <w:b/>
                <w:bCs/>
                <w:i/>
                <w:sz w:val="20"/>
                <w:szCs w:val="20"/>
                <w:lang w:val="es-ES"/>
              </w:rPr>
              <w:t>estructura</w:t>
            </w:r>
            <w:r w:rsidR="00DC3ED1" w:rsidRPr="005B5D7C">
              <w:rPr>
                <w:rFonts w:ascii="Arial" w:hAnsi="Arial" w:cs="Arial"/>
                <w:b/>
                <w:bCs/>
                <w:i/>
                <w:sz w:val="20"/>
                <w:szCs w:val="20"/>
                <w:lang w:val="es-ES"/>
              </w:rPr>
              <w:t xml:space="preserve"> sectorial más apropiada en el contexto de las </w:t>
            </w:r>
            <w:r w:rsidR="00EA6898" w:rsidRPr="005B5D7C">
              <w:rPr>
                <w:rFonts w:ascii="Arial" w:hAnsi="Arial" w:cs="Arial"/>
                <w:b/>
                <w:bCs/>
                <w:i/>
                <w:sz w:val="20"/>
                <w:szCs w:val="20"/>
                <w:lang w:val="es-ES"/>
              </w:rPr>
              <w:t>características</w:t>
            </w:r>
            <w:r w:rsidR="00DC3ED1" w:rsidRPr="005B5D7C">
              <w:rPr>
                <w:rFonts w:ascii="Arial" w:hAnsi="Arial" w:cs="Arial"/>
                <w:b/>
                <w:bCs/>
                <w:i/>
                <w:sz w:val="20"/>
                <w:szCs w:val="20"/>
                <w:lang w:val="es-ES"/>
              </w:rPr>
              <w:t xml:space="preserve"> del servicio y los objetivos de la política</w:t>
            </w:r>
          </w:p>
        </w:tc>
        <w:tc>
          <w:tcPr>
            <w:tcW w:w="3330" w:type="dxa"/>
            <w:shd w:val="clear" w:color="auto" w:fill="auto"/>
          </w:tcPr>
          <w:p w14:paraId="020C0328" w14:textId="751281EE" w:rsidR="00406169" w:rsidRPr="005B5D7C" w:rsidRDefault="005D6953" w:rsidP="008A2C24">
            <w:pPr>
              <w:jc w:val="both"/>
              <w:rPr>
                <w:rFonts w:ascii="Arial" w:hAnsi="Arial" w:cs="Arial"/>
                <w:sz w:val="22"/>
                <w:szCs w:val="22"/>
                <w:lang w:val="es-ES"/>
              </w:rPr>
            </w:pPr>
            <w:r w:rsidRPr="005B5D7C">
              <w:rPr>
                <w:rFonts w:ascii="Arial" w:hAnsi="Arial" w:cs="Arial"/>
                <w:sz w:val="22"/>
                <w:szCs w:val="22"/>
                <w:lang w:val="es-ES"/>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4487" w:type="dxa"/>
            <w:shd w:val="clear" w:color="auto" w:fill="auto"/>
          </w:tcPr>
          <w:p w14:paraId="26514469" w14:textId="77777777" w:rsidR="005D6953" w:rsidRPr="005B5D7C" w:rsidRDefault="005D6953" w:rsidP="005D6953">
            <w:pPr>
              <w:rPr>
                <w:rFonts w:ascii="Arial" w:hAnsi="Arial" w:cs="Arial"/>
                <w:sz w:val="22"/>
                <w:szCs w:val="22"/>
                <w:lang w:val="es-ES"/>
              </w:rPr>
            </w:pPr>
            <w:r w:rsidRPr="005B5D7C">
              <w:rPr>
                <w:rFonts w:ascii="Arial" w:hAnsi="Arial" w:cs="Arial"/>
                <w:sz w:val="22"/>
                <w:szCs w:val="22"/>
                <w:lang w:val="es-ES"/>
              </w:rPr>
              <w:t>La ley de reforma del 2009 contempla la formulación de un marco de gobernanza y regulador claro, ajustado a la realidad de Haití.</w:t>
            </w:r>
          </w:p>
          <w:p w14:paraId="16BA2E90" w14:textId="77777777" w:rsidR="005D6953" w:rsidRPr="005B5D7C" w:rsidRDefault="005D6953" w:rsidP="005D6953">
            <w:pPr>
              <w:rPr>
                <w:rFonts w:ascii="Arial" w:hAnsi="Arial" w:cs="Arial"/>
                <w:sz w:val="22"/>
                <w:szCs w:val="22"/>
                <w:lang w:val="es-ES"/>
              </w:rPr>
            </w:pPr>
          </w:p>
          <w:p w14:paraId="7F99098C" w14:textId="77777777" w:rsidR="005D6953" w:rsidRPr="005B5D7C" w:rsidRDefault="005D6953" w:rsidP="005D6953">
            <w:pPr>
              <w:rPr>
                <w:rFonts w:ascii="Arial" w:hAnsi="Arial" w:cs="Arial"/>
                <w:sz w:val="22"/>
                <w:szCs w:val="22"/>
                <w:lang w:val="es-ES"/>
              </w:rPr>
            </w:pPr>
            <w:r w:rsidRPr="005B5D7C">
              <w:rPr>
                <w:rFonts w:ascii="Arial" w:hAnsi="Arial" w:cs="Arial"/>
                <w:sz w:val="22"/>
                <w:szCs w:val="22"/>
                <w:lang w:val="es-ES"/>
              </w:rPr>
              <w:t>En lo sustancial, por ejemplo, esta Ley reconoce explícitamente diversas modalidades de prestación de los servicios, separando los operadores a nivel de ciudades y regiones, en los cuales se podrán incorporar diversas formas de gestión.</w:t>
            </w:r>
          </w:p>
          <w:p w14:paraId="2D104BC1" w14:textId="77777777" w:rsidR="005D6953" w:rsidRPr="005B5D7C" w:rsidRDefault="005D6953" w:rsidP="005D6953">
            <w:pPr>
              <w:rPr>
                <w:rFonts w:ascii="Arial" w:hAnsi="Arial" w:cs="Arial"/>
                <w:sz w:val="22"/>
                <w:szCs w:val="22"/>
                <w:lang w:val="es-ES"/>
              </w:rPr>
            </w:pPr>
          </w:p>
          <w:p w14:paraId="6536E362" w14:textId="4A179085" w:rsidR="005D6953" w:rsidRPr="005B5D7C" w:rsidRDefault="005D6953" w:rsidP="005D6953">
            <w:pPr>
              <w:rPr>
                <w:rFonts w:ascii="Arial" w:hAnsi="Arial" w:cs="Arial"/>
                <w:sz w:val="22"/>
                <w:szCs w:val="22"/>
                <w:lang w:val="es-ES"/>
              </w:rPr>
            </w:pPr>
            <w:r w:rsidRPr="005B5D7C">
              <w:rPr>
                <w:rFonts w:ascii="Arial" w:hAnsi="Arial" w:cs="Arial"/>
                <w:sz w:val="22"/>
                <w:szCs w:val="22"/>
                <w:lang w:val="es-ES"/>
              </w:rPr>
              <w:t>A raíz de ello, por ejemplo, e</w:t>
            </w:r>
            <w:r w:rsidR="00AA12AB" w:rsidRPr="005B5D7C">
              <w:rPr>
                <w:rFonts w:ascii="Arial" w:hAnsi="Arial" w:cs="Arial"/>
                <w:sz w:val="22"/>
                <w:szCs w:val="22"/>
                <w:lang w:val="es-ES"/>
              </w:rPr>
              <w:t>l CTE</w:t>
            </w:r>
            <w:r w:rsidR="002F1B59">
              <w:rPr>
                <w:rFonts w:ascii="Arial" w:hAnsi="Arial" w:cs="Arial"/>
                <w:sz w:val="22"/>
                <w:szCs w:val="22"/>
                <w:lang w:val="es-ES"/>
              </w:rPr>
              <w:t xml:space="preserve"> de Cabo Haitiano</w:t>
            </w:r>
            <w:r w:rsidRPr="005B5D7C">
              <w:rPr>
                <w:rFonts w:ascii="Arial" w:hAnsi="Arial" w:cs="Arial"/>
                <w:sz w:val="22"/>
                <w:szCs w:val="22"/>
                <w:lang w:val="es-ES"/>
              </w:rPr>
              <w:t xml:space="preserve"> es una empresa pública autónoma. Actualmente el CTE</w:t>
            </w:r>
            <w:r w:rsidR="002F1B59">
              <w:rPr>
                <w:rFonts w:ascii="Arial" w:hAnsi="Arial" w:cs="Arial"/>
                <w:sz w:val="22"/>
                <w:szCs w:val="22"/>
                <w:lang w:val="es-ES"/>
              </w:rPr>
              <w:t xml:space="preserve"> de Cabo Haitiano</w:t>
            </w:r>
            <w:r w:rsidRPr="005B5D7C">
              <w:rPr>
                <w:rFonts w:ascii="Arial" w:hAnsi="Arial" w:cs="Arial"/>
                <w:sz w:val="22"/>
                <w:szCs w:val="22"/>
                <w:lang w:val="es-ES"/>
              </w:rPr>
              <w:t xml:space="preserve"> atiende a l</w:t>
            </w:r>
            <w:r w:rsidR="002F1B59">
              <w:rPr>
                <w:rFonts w:ascii="Arial" w:hAnsi="Arial" w:cs="Arial"/>
                <w:sz w:val="22"/>
                <w:szCs w:val="22"/>
                <w:lang w:val="es-ES"/>
              </w:rPr>
              <w:t>a</w:t>
            </w:r>
            <w:r w:rsidRPr="005B5D7C">
              <w:rPr>
                <w:rFonts w:ascii="Arial" w:hAnsi="Arial" w:cs="Arial"/>
                <w:sz w:val="22"/>
                <w:szCs w:val="22"/>
                <w:lang w:val="es-ES"/>
              </w:rPr>
              <w:t xml:space="preserve">s </w:t>
            </w:r>
            <w:r w:rsidR="002F1B59">
              <w:rPr>
                <w:rFonts w:ascii="Arial" w:hAnsi="Arial" w:cs="Arial"/>
                <w:sz w:val="22"/>
                <w:szCs w:val="22"/>
                <w:lang w:val="es-ES"/>
              </w:rPr>
              <w:t xml:space="preserve">comunas </w:t>
            </w:r>
            <w:r w:rsidR="002F1B59">
              <w:rPr>
                <w:rFonts w:ascii="Arial" w:hAnsi="Arial" w:cs="Arial"/>
                <w:sz w:val="22"/>
                <w:szCs w:val="22"/>
                <w:lang w:val="es-ES"/>
              </w:rPr>
              <w:lastRenderedPageBreak/>
              <w:t xml:space="preserve">de Cabo Haitiano (incluyendo Petite Anse y </w:t>
            </w:r>
            <w:proofErr w:type="spellStart"/>
            <w:r w:rsidR="002F1B59">
              <w:rPr>
                <w:rFonts w:ascii="Arial" w:hAnsi="Arial" w:cs="Arial"/>
                <w:sz w:val="22"/>
                <w:szCs w:val="22"/>
                <w:lang w:val="es-ES"/>
              </w:rPr>
              <w:t>Haut</w:t>
            </w:r>
            <w:proofErr w:type="spellEnd"/>
            <w:r w:rsidR="002F1B59">
              <w:rPr>
                <w:rFonts w:ascii="Arial" w:hAnsi="Arial" w:cs="Arial"/>
                <w:sz w:val="22"/>
                <w:szCs w:val="22"/>
                <w:lang w:val="es-ES"/>
              </w:rPr>
              <w:t xml:space="preserve"> du </w:t>
            </w:r>
            <w:proofErr w:type="spellStart"/>
            <w:r w:rsidR="002F1B59">
              <w:rPr>
                <w:rFonts w:ascii="Arial" w:hAnsi="Arial" w:cs="Arial"/>
                <w:sz w:val="22"/>
                <w:szCs w:val="22"/>
                <w:lang w:val="es-ES"/>
              </w:rPr>
              <w:t>Cap</w:t>
            </w:r>
            <w:proofErr w:type="spellEnd"/>
            <w:r w:rsidR="002F1B59">
              <w:rPr>
                <w:rFonts w:ascii="Arial" w:hAnsi="Arial" w:cs="Arial"/>
                <w:sz w:val="22"/>
                <w:szCs w:val="22"/>
                <w:lang w:val="es-ES"/>
              </w:rPr>
              <w:t>).</w:t>
            </w:r>
          </w:p>
          <w:p w14:paraId="05BE1041" w14:textId="77777777" w:rsidR="005D6953" w:rsidRPr="005B5D7C" w:rsidRDefault="005D6953" w:rsidP="005D6953">
            <w:pPr>
              <w:rPr>
                <w:rFonts w:ascii="Arial" w:hAnsi="Arial" w:cs="Arial"/>
                <w:sz w:val="22"/>
                <w:szCs w:val="22"/>
                <w:lang w:val="es-ES"/>
              </w:rPr>
            </w:pPr>
          </w:p>
          <w:p w14:paraId="6782456F" w14:textId="77777777" w:rsidR="005D6953" w:rsidRPr="005B5D7C" w:rsidRDefault="005D6953" w:rsidP="005D6953">
            <w:pPr>
              <w:rPr>
                <w:rFonts w:ascii="Arial" w:hAnsi="Arial" w:cs="Arial"/>
                <w:sz w:val="22"/>
                <w:szCs w:val="22"/>
                <w:lang w:val="es-ES"/>
              </w:rPr>
            </w:pPr>
            <w:r w:rsidRPr="005B5D7C">
              <w:rPr>
                <w:rFonts w:ascii="Arial" w:hAnsi="Arial" w:cs="Arial"/>
                <w:sz w:val="22"/>
                <w:szCs w:val="22"/>
                <w:lang w:val="es-ES"/>
              </w:rPr>
              <w:t xml:space="preserve">El CTE de </w:t>
            </w:r>
            <w:proofErr w:type="spellStart"/>
            <w:r w:rsidRPr="005B5D7C">
              <w:rPr>
                <w:rFonts w:ascii="Arial" w:hAnsi="Arial" w:cs="Arial"/>
                <w:sz w:val="22"/>
                <w:szCs w:val="22"/>
                <w:lang w:val="es-ES"/>
              </w:rPr>
              <w:t>St</w:t>
            </w:r>
            <w:proofErr w:type="spellEnd"/>
            <w:r w:rsidRPr="005B5D7C">
              <w:rPr>
                <w:rFonts w:ascii="Arial" w:hAnsi="Arial" w:cs="Arial"/>
                <w:sz w:val="22"/>
                <w:szCs w:val="22"/>
                <w:lang w:val="es-ES"/>
              </w:rPr>
              <w:t xml:space="preserve"> Marc es una empresa pública cuya prestación del servicio fue delegada a una empresa privada.</w:t>
            </w:r>
          </w:p>
          <w:p w14:paraId="0BAE9988" w14:textId="77777777" w:rsidR="005D6953" w:rsidRPr="005B5D7C" w:rsidRDefault="005D6953" w:rsidP="005D6953">
            <w:pPr>
              <w:rPr>
                <w:rFonts w:ascii="Arial" w:hAnsi="Arial" w:cs="Arial"/>
                <w:sz w:val="22"/>
                <w:szCs w:val="22"/>
                <w:lang w:val="es-ES"/>
              </w:rPr>
            </w:pPr>
          </w:p>
          <w:p w14:paraId="6E8A1C28" w14:textId="36836BCC" w:rsidR="00406169" w:rsidRPr="005B5D7C" w:rsidRDefault="005D6953" w:rsidP="00027AFD">
            <w:pPr>
              <w:jc w:val="both"/>
              <w:rPr>
                <w:rFonts w:ascii="Arial" w:hAnsi="Arial" w:cs="Arial"/>
                <w:sz w:val="22"/>
                <w:szCs w:val="22"/>
                <w:lang w:val="es-ES"/>
              </w:rPr>
            </w:pPr>
            <w:r w:rsidRPr="005B5D7C">
              <w:rPr>
                <w:rFonts w:ascii="Arial" w:hAnsi="Arial" w:cs="Arial"/>
                <w:sz w:val="22"/>
                <w:szCs w:val="22"/>
                <w:lang w:val="es-ES"/>
              </w:rPr>
              <w:t xml:space="preserve">Similarmente para los servicios rurales se ha establecido el funcionamiento de las </w:t>
            </w:r>
            <w:proofErr w:type="spellStart"/>
            <w:r w:rsidRPr="005B5D7C">
              <w:rPr>
                <w:rFonts w:ascii="Arial" w:hAnsi="Arial" w:cs="Arial"/>
                <w:sz w:val="22"/>
                <w:szCs w:val="22"/>
                <w:lang w:val="es-ES"/>
              </w:rPr>
              <w:t>URDs</w:t>
            </w:r>
            <w:proofErr w:type="spellEnd"/>
            <w:r w:rsidRPr="005B5D7C">
              <w:rPr>
                <w:rFonts w:ascii="Arial" w:hAnsi="Arial" w:cs="Arial"/>
                <w:sz w:val="22"/>
                <w:szCs w:val="22"/>
                <w:lang w:val="es-ES"/>
              </w:rPr>
              <w:t xml:space="preserve"> (Unidades Rurales Departamentales) las que apoyan a las comunidades rurales quienes prestan directamente el servicio.</w:t>
            </w:r>
          </w:p>
        </w:tc>
      </w:tr>
      <w:tr w:rsidR="00CD0ADA" w:rsidRPr="000F22DF" w14:paraId="5F8D588A" w14:textId="77777777" w:rsidTr="00963271">
        <w:trPr>
          <w:jc w:val="center"/>
        </w:trPr>
        <w:tc>
          <w:tcPr>
            <w:tcW w:w="2418" w:type="dxa"/>
            <w:shd w:val="clear" w:color="auto" w:fill="auto"/>
          </w:tcPr>
          <w:p w14:paraId="6569BC4A" w14:textId="30E58C86" w:rsidR="00406169" w:rsidRPr="005B5D7C" w:rsidRDefault="00406169" w:rsidP="00DE2CC5">
            <w:pPr>
              <w:ind w:left="330" w:hanging="150"/>
              <w:rPr>
                <w:rFonts w:ascii="Arial" w:hAnsi="Arial" w:cs="Arial"/>
                <w:i/>
                <w:sz w:val="20"/>
                <w:szCs w:val="20"/>
                <w:lang w:val="es-ES"/>
              </w:rPr>
            </w:pPr>
            <w:r w:rsidRPr="005B5D7C">
              <w:rPr>
                <w:rFonts w:ascii="Arial" w:hAnsi="Arial" w:cs="Arial"/>
                <w:b/>
                <w:bCs/>
                <w:i/>
                <w:sz w:val="20"/>
                <w:szCs w:val="20"/>
                <w:lang w:val="es-ES"/>
              </w:rPr>
              <w:lastRenderedPageBreak/>
              <w:t>E.</w:t>
            </w:r>
            <w:r w:rsidRPr="005B5D7C">
              <w:rPr>
                <w:rFonts w:ascii="Arial" w:hAnsi="Arial" w:cs="Arial"/>
                <w:i/>
                <w:sz w:val="20"/>
                <w:szCs w:val="20"/>
                <w:lang w:val="es-ES"/>
              </w:rPr>
              <w:t xml:space="preserve"> </w:t>
            </w:r>
            <w:r w:rsidR="00DE2CC5" w:rsidRPr="005B5D7C">
              <w:rPr>
                <w:rFonts w:ascii="Arial" w:hAnsi="Arial" w:cs="Arial"/>
                <w:b/>
                <w:i/>
                <w:sz w:val="20"/>
                <w:szCs w:val="20"/>
                <w:lang w:val="es-ES"/>
              </w:rPr>
              <w:t>El rol de la regulación económica para incentivar la eficiencia, la inversión y proteger los derechos de los usuarios</w:t>
            </w:r>
          </w:p>
        </w:tc>
        <w:tc>
          <w:tcPr>
            <w:tcW w:w="3330" w:type="dxa"/>
            <w:shd w:val="clear" w:color="auto" w:fill="auto"/>
          </w:tcPr>
          <w:p w14:paraId="2469506E" w14:textId="1C739FB1" w:rsidR="00406169" w:rsidRPr="005B5D7C" w:rsidRDefault="00973326" w:rsidP="00583787">
            <w:pPr>
              <w:jc w:val="both"/>
              <w:rPr>
                <w:rFonts w:ascii="Arial" w:hAnsi="Arial" w:cs="Arial"/>
                <w:sz w:val="22"/>
                <w:szCs w:val="22"/>
                <w:lang w:val="es-ES"/>
              </w:rPr>
            </w:pPr>
            <w:r w:rsidRPr="005B5D7C">
              <w:rPr>
                <w:rFonts w:ascii="Arial" w:hAnsi="Arial" w:cs="Arial"/>
                <w:bCs/>
                <w:sz w:val="22"/>
                <w:szCs w:val="22"/>
                <w:lang w:val="es-ES"/>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w:t>
            </w:r>
            <w:r w:rsidRPr="005B5D7C">
              <w:rPr>
                <w:rFonts w:ascii="Arial" w:hAnsi="Arial" w:cs="Arial"/>
                <w:bCs/>
                <w:sz w:val="22"/>
                <w:szCs w:val="22"/>
                <w:lang w:val="es-ES"/>
              </w:rPr>
              <w:lastRenderedPageBreak/>
              <w:t>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4487" w:type="dxa"/>
            <w:shd w:val="clear" w:color="auto" w:fill="auto"/>
          </w:tcPr>
          <w:p w14:paraId="435C42F6" w14:textId="77777777" w:rsidR="00973326" w:rsidRPr="005B5D7C" w:rsidRDefault="00973326" w:rsidP="00973326">
            <w:pPr>
              <w:jc w:val="both"/>
              <w:rPr>
                <w:rFonts w:ascii="Arial" w:hAnsi="Arial" w:cs="Arial"/>
                <w:sz w:val="22"/>
                <w:szCs w:val="22"/>
                <w:lang w:val="es-ES"/>
              </w:rPr>
            </w:pPr>
            <w:r w:rsidRPr="005B5D7C">
              <w:rPr>
                <w:rFonts w:ascii="Arial" w:hAnsi="Arial" w:cs="Arial"/>
                <w:sz w:val="22"/>
                <w:szCs w:val="22"/>
                <w:lang w:val="es-ES"/>
              </w:rPr>
              <w:lastRenderedPageBreak/>
              <w:t>El marco regulatorio contemplado en la Ley de Reforma del sector del 2009 incorpora los elementos esenciales propios de la política moderan de regulación de servicios públicos. Aun se requiere, sin embargo, de una ley y reglamentos específicos para implementar estas funciones.</w:t>
            </w:r>
          </w:p>
          <w:p w14:paraId="4581B21B" w14:textId="77777777" w:rsidR="00973326" w:rsidRPr="005B5D7C" w:rsidRDefault="00973326" w:rsidP="00973326">
            <w:pPr>
              <w:jc w:val="both"/>
              <w:rPr>
                <w:rFonts w:ascii="Arial" w:hAnsi="Arial" w:cs="Arial"/>
                <w:sz w:val="22"/>
                <w:szCs w:val="22"/>
                <w:lang w:val="es-ES"/>
              </w:rPr>
            </w:pPr>
          </w:p>
          <w:p w14:paraId="2DE69604" w14:textId="48FE11A3" w:rsidR="00F72BE0" w:rsidRPr="005B5D7C" w:rsidRDefault="00973326" w:rsidP="00973326">
            <w:pPr>
              <w:jc w:val="both"/>
              <w:rPr>
                <w:rFonts w:ascii="Arial" w:hAnsi="Arial" w:cs="Arial"/>
                <w:sz w:val="22"/>
                <w:szCs w:val="22"/>
                <w:lang w:val="es-ES"/>
              </w:rPr>
            </w:pPr>
            <w:r w:rsidRPr="005B5D7C">
              <w:rPr>
                <w:rFonts w:ascii="Arial" w:hAnsi="Arial" w:cs="Arial"/>
                <w:sz w:val="22"/>
                <w:szCs w:val="22"/>
                <w:lang w:val="es-ES"/>
              </w:rPr>
              <w:t xml:space="preserve">Con </w:t>
            </w:r>
            <w:r w:rsidR="00F72BE0" w:rsidRPr="005B5D7C">
              <w:rPr>
                <w:rFonts w:ascii="Arial" w:hAnsi="Arial" w:cs="Arial"/>
                <w:sz w:val="22"/>
                <w:szCs w:val="22"/>
                <w:lang w:val="es-ES"/>
              </w:rPr>
              <w:t>la operación HA-L1103</w:t>
            </w:r>
            <w:r w:rsidRPr="005B5D7C">
              <w:rPr>
                <w:rFonts w:ascii="Arial" w:hAnsi="Arial" w:cs="Arial"/>
                <w:sz w:val="22"/>
                <w:szCs w:val="22"/>
                <w:lang w:val="es-ES"/>
              </w:rPr>
              <w:t xml:space="preserve"> se financiará el fortalecimiento del ente regulador DINEP</w:t>
            </w:r>
            <w:r w:rsidR="0046768F">
              <w:rPr>
                <w:rFonts w:ascii="Arial" w:hAnsi="Arial" w:cs="Arial"/>
                <w:sz w:val="22"/>
                <w:szCs w:val="22"/>
                <w:lang w:val="es-ES"/>
              </w:rPr>
              <w:t>A que será complementado con la presente operación, es decir la HA-L1135.</w:t>
            </w:r>
            <w:r w:rsidRPr="005B5D7C">
              <w:rPr>
                <w:rFonts w:ascii="Arial" w:hAnsi="Arial" w:cs="Arial"/>
                <w:sz w:val="22"/>
                <w:szCs w:val="22"/>
                <w:lang w:val="es-ES"/>
              </w:rPr>
              <w:t xml:space="preserve"> </w:t>
            </w:r>
          </w:p>
          <w:p w14:paraId="53A7985F" w14:textId="3E77758A" w:rsidR="00406169" w:rsidRPr="005B5D7C" w:rsidRDefault="00406169" w:rsidP="00973326">
            <w:pPr>
              <w:jc w:val="both"/>
              <w:rPr>
                <w:rFonts w:ascii="Arial" w:hAnsi="Arial" w:cs="Arial"/>
                <w:sz w:val="22"/>
                <w:szCs w:val="22"/>
                <w:lang w:val="es-ES"/>
              </w:rPr>
            </w:pPr>
          </w:p>
        </w:tc>
      </w:tr>
      <w:tr w:rsidR="00CD0ADA" w:rsidRPr="000F22DF" w14:paraId="2A37219A" w14:textId="77777777" w:rsidTr="00963271">
        <w:trPr>
          <w:jc w:val="center"/>
        </w:trPr>
        <w:tc>
          <w:tcPr>
            <w:tcW w:w="2418" w:type="dxa"/>
            <w:shd w:val="clear" w:color="auto" w:fill="auto"/>
          </w:tcPr>
          <w:p w14:paraId="4C8A92C7" w14:textId="776C33F2" w:rsidR="00406169" w:rsidRPr="005B5D7C" w:rsidRDefault="00406169" w:rsidP="00973326">
            <w:pPr>
              <w:ind w:left="330" w:hanging="150"/>
              <w:rPr>
                <w:rFonts w:ascii="Arial" w:hAnsi="Arial" w:cs="Arial"/>
                <w:b/>
                <w:i/>
                <w:sz w:val="20"/>
                <w:szCs w:val="20"/>
                <w:lang w:val="es-ES"/>
              </w:rPr>
            </w:pPr>
            <w:r w:rsidRPr="005B5D7C">
              <w:rPr>
                <w:rFonts w:ascii="Arial" w:hAnsi="Arial" w:cs="Arial"/>
                <w:b/>
                <w:i/>
                <w:sz w:val="20"/>
                <w:szCs w:val="20"/>
                <w:lang w:val="es-ES"/>
              </w:rPr>
              <w:t>F</w:t>
            </w:r>
            <w:r w:rsidR="00973326" w:rsidRPr="005B5D7C">
              <w:rPr>
                <w:rFonts w:ascii="Arial" w:hAnsi="Arial" w:cs="Arial"/>
                <w:b/>
                <w:i/>
                <w:sz w:val="20"/>
                <w:szCs w:val="20"/>
                <w:lang w:val="es-ES"/>
              </w:rPr>
              <w:t>. Generar condiciones adecuadas para que la participación privada sea una opción viable para la provisión de servicios públicos domiciliarios</w:t>
            </w:r>
          </w:p>
        </w:tc>
        <w:tc>
          <w:tcPr>
            <w:tcW w:w="3330" w:type="dxa"/>
            <w:shd w:val="clear" w:color="auto" w:fill="auto"/>
          </w:tcPr>
          <w:p w14:paraId="7B2DC4AA" w14:textId="6481EDB9" w:rsidR="00406169" w:rsidRPr="005B5D7C" w:rsidRDefault="00B56F09" w:rsidP="00E17991">
            <w:pPr>
              <w:jc w:val="both"/>
              <w:rPr>
                <w:rFonts w:ascii="Arial" w:hAnsi="Arial" w:cs="Arial"/>
                <w:sz w:val="22"/>
                <w:szCs w:val="22"/>
                <w:lang w:val="es-ES"/>
              </w:rPr>
            </w:pPr>
            <w:r w:rsidRPr="005B5D7C">
              <w:rPr>
                <w:rFonts w:ascii="Arial" w:hAnsi="Arial" w:cs="Arial"/>
                <w:sz w:val="22"/>
                <w:szCs w:val="22"/>
                <w:lang w:val="es-ES"/>
              </w:rPr>
              <w:t>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w:t>
            </w:r>
          </w:p>
        </w:tc>
        <w:tc>
          <w:tcPr>
            <w:tcW w:w="4487" w:type="dxa"/>
            <w:shd w:val="clear" w:color="auto" w:fill="auto"/>
          </w:tcPr>
          <w:p w14:paraId="6AE9E65B" w14:textId="2D2D5089" w:rsidR="00CC50BE" w:rsidRPr="005B5D7C" w:rsidRDefault="00B56F09" w:rsidP="00027AFD">
            <w:pPr>
              <w:pStyle w:val="PlainText"/>
              <w:jc w:val="both"/>
              <w:rPr>
                <w:rFonts w:ascii="Arial" w:hAnsi="Arial" w:cs="Arial"/>
                <w:sz w:val="22"/>
                <w:szCs w:val="22"/>
                <w:highlight w:val="yellow"/>
                <w:lang w:val="es-ES"/>
              </w:rPr>
            </w:pPr>
            <w:r w:rsidRPr="005B5D7C">
              <w:rPr>
                <w:rFonts w:ascii="Arial" w:hAnsi="Arial" w:cs="Arial"/>
                <w:sz w:val="22"/>
                <w:szCs w:val="22"/>
                <w:lang w:val="es-ES"/>
              </w:rPr>
              <w:t>En el 201</w:t>
            </w:r>
            <w:r w:rsidR="00CC50BE" w:rsidRPr="005B5D7C">
              <w:rPr>
                <w:rFonts w:ascii="Arial" w:hAnsi="Arial" w:cs="Arial"/>
                <w:sz w:val="22"/>
                <w:szCs w:val="22"/>
                <w:lang w:val="es-ES"/>
              </w:rPr>
              <w:t>1</w:t>
            </w:r>
            <w:r w:rsidRPr="005B5D7C">
              <w:rPr>
                <w:rFonts w:ascii="Arial" w:hAnsi="Arial" w:cs="Arial"/>
                <w:sz w:val="22"/>
                <w:szCs w:val="22"/>
                <w:lang w:val="es-ES"/>
              </w:rPr>
              <w:t xml:space="preserve">, la DINEPA firmó un contrato de Asistencia Técnica Operativa con el consorcio internacional Suez </w:t>
            </w:r>
            <w:proofErr w:type="spellStart"/>
            <w:r w:rsidRPr="005B5D7C">
              <w:rPr>
                <w:rFonts w:ascii="Arial" w:hAnsi="Arial" w:cs="Arial"/>
                <w:sz w:val="22"/>
                <w:szCs w:val="22"/>
                <w:lang w:val="es-ES"/>
              </w:rPr>
              <w:t>Environnement</w:t>
            </w:r>
            <w:proofErr w:type="spellEnd"/>
            <w:r w:rsidRPr="005B5D7C">
              <w:rPr>
                <w:rFonts w:ascii="Arial" w:hAnsi="Arial" w:cs="Arial"/>
                <w:sz w:val="22"/>
                <w:szCs w:val="22"/>
                <w:lang w:val="es-ES"/>
              </w:rPr>
              <w:t>-AGBAR-</w:t>
            </w:r>
            <w:proofErr w:type="spellStart"/>
            <w:r w:rsidRPr="005B5D7C">
              <w:rPr>
                <w:rFonts w:ascii="Arial" w:hAnsi="Arial" w:cs="Arial"/>
                <w:sz w:val="22"/>
                <w:szCs w:val="22"/>
                <w:lang w:val="es-ES"/>
              </w:rPr>
              <w:t>United</w:t>
            </w:r>
            <w:proofErr w:type="spellEnd"/>
            <w:r w:rsidRPr="005B5D7C">
              <w:rPr>
                <w:rFonts w:ascii="Arial" w:hAnsi="Arial" w:cs="Arial"/>
                <w:sz w:val="22"/>
                <w:szCs w:val="22"/>
                <w:lang w:val="es-ES"/>
              </w:rPr>
              <w:t xml:space="preserve"> </w:t>
            </w:r>
            <w:proofErr w:type="spellStart"/>
            <w:r w:rsidRPr="005B5D7C">
              <w:rPr>
                <w:rFonts w:ascii="Arial" w:hAnsi="Arial" w:cs="Arial"/>
                <w:sz w:val="22"/>
                <w:szCs w:val="22"/>
                <w:lang w:val="es-ES"/>
              </w:rPr>
              <w:t>Water</w:t>
            </w:r>
            <w:proofErr w:type="spellEnd"/>
            <w:r w:rsidRPr="005B5D7C">
              <w:rPr>
                <w:rFonts w:ascii="Arial" w:hAnsi="Arial" w:cs="Arial"/>
                <w:sz w:val="22"/>
                <w:szCs w:val="22"/>
                <w:lang w:val="es-ES"/>
              </w:rPr>
              <w:t xml:space="preserve"> para apoyar al CTE de Puerto Príncipe durante </w:t>
            </w:r>
            <w:r w:rsidR="0082031E">
              <w:rPr>
                <w:rFonts w:ascii="Arial" w:hAnsi="Arial" w:cs="Arial"/>
                <w:sz w:val="22"/>
                <w:szCs w:val="22"/>
                <w:lang w:val="es-ES"/>
              </w:rPr>
              <w:t>3</w:t>
            </w:r>
            <w:r w:rsidRPr="005B5D7C">
              <w:rPr>
                <w:rFonts w:ascii="Arial" w:hAnsi="Arial" w:cs="Arial"/>
                <w:sz w:val="22"/>
                <w:szCs w:val="22"/>
                <w:lang w:val="es-ES"/>
              </w:rPr>
              <w:t xml:space="preserve"> años. </w:t>
            </w:r>
            <w:r w:rsidR="00CC50BE" w:rsidRPr="005B5D7C">
              <w:rPr>
                <w:rFonts w:ascii="Arial" w:hAnsi="Arial" w:cs="Arial"/>
                <w:sz w:val="22"/>
                <w:szCs w:val="22"/>
                <w:lang w:val="es-ES"/>
              </w:rPr>
              <w:t xml:space="preserve">Ese contrato se extendió por </w:t>
            </w:r>
            <w:r w:rsidR="0082031E">
              <w:rPr>
                <w:rFonts w:ascii="Arial" w:hAnsi="Arial" w:cs="Arial"/>
                <w:sz w:val="22"/>
                <w:szCs w:val="22"/>
                <w:lang w:val="es-ES"/>
              </w:rPr>
              <w:t>4</w:t>
            </w:r>
            <w:r w:rsidR="00CC50BE" w:rsidRPr="005B5D7C">
              <w:rPr>
                <w:rFonts w:ascii="Arial" w:hAnsi="Arial" w:cs="Arial"/>
                <w:sz w:val="22"/>
                <w:szCs w:val="22"/>
                <w:lang w:val="es-ES"/>
              </w:rPr>
              <w:t xml:space="preserve"> años adicionales</w:t>
            </w:r>
            <w:r w:rsidR="00F72BE0" w:rsidRPr="005B5D7C">
              <w:rPr>
                <w:rFonts w:ascii="Arial" w:hAnsi="Arial" w:cs="Arial"/>
                <w:sz w:val="22"/>
                <w:szCs w:val="22"/>
                <w:lang w:val="es-ES"/>
              </w:rPr>
              <w:t>. E</w:t>
            </w:r>
            <w:r w:rsidR="00CC50BE" w:rsidRPr="005B5D7C">
              <w:rPr>
                <w:rFonts w:ascii="Arial" w:hAnsi="Arial" w:cs="Arial"/>
                <w:sz w:val="22"/>
                <w:szCs w:val="22"/>
                <w:lang w:val="es-ES"/>
              </w:rPr>
              <w:t xml:space="preserve">n </w:t>
            </w:r>
            <w:r w:rsidR="002C0D92">
              <w:rPr>
                <w:rFonts w:ascii="Arial" w:hAnsi="Arial" w:cs="Arial"/>
                <w:sz w:val="22"/>
                <w:szCs w:val="22"/>
                <w:lang w:val="es-ES"/>
              </w:rPr>
              <w:t xml:space="preserve">la actualidad está prevista en la operación HA-L1103 </w:t>
            </w:r>
            <w:r w:rsidR="00392EED">
              <w:rPr>
                <w:rFonts w:ascii="Arial" w:hAnsi="Arial" w:cs="Arial"/>
                <w:sz w:val="22"/>
                <w:szCs w:val="22"/>
                <w:lang w:val="es-ES"/>
              </w:rPr>
              <w:t xml:space="preserve">están previstas dos APP dirigidas en </w:t>
            </w:r>
            <w:proofErr w:type="gramStart"/>
            <w:r w:rsidR="00392EED">
              <w:rPr>
                <w:rFonts w:ascii="Arial" w:hAnsi="Arial" w:cs="Arial"/>
                <w:sz w:val="22"/>
                <w:szCs w:val="22"/>
                <w:lang w:val="es-ES"/>
              </w:rPr>
              <w:t>una caso</w:t>
            </w:r>
            <w:proofErr w:type="gramEnd"/>
            <w:r w:rsidR="00392EED">
              <w:rPr>
                <w:rFonts w:ascii="Arial" w:hAnsi="Arial" w:cs="Arial"/>
                <w:sz w:val="22"/>
                <w:szCs w:val="22"/>
                <w:lang w:val="es-ES"/>
              </w:rPr>
              <w:t xml:space="preserve"> a la producción de agua en la RMPP y en el otro caso a la mejora de la gestión técnica y comercial de la agencia de Delmas.</w:t>
            </w:r>
          </w:p>
        </w:tc>
      </w:tr>
      <w:tr w:rsidR="000D6A16" w:rsidRPr="000F22DF" w14:paraId="7B5E47AE" w14:textId="77777777" w:rsidTr="005B5D7C">
        <w:trPr>
          <w:trHeight w:val="3428"/>
          <w:jc w:val="center"/>
        </w:trPr>
        <w:tc>
          <w:tcPr>
            <w:tcW w:w="2418" w:type="dxa"/>
            <w:shd w:val="clear" w:color="auto" w:fill="auto"/>
          </w:tcPr>
          <w:p w14:paraId="2010E431" w14:textId="710373A8" w:rsidR="000D6A16" w:rsidRPr="005B5D7C" w:rsidRDefault="000D6A16" w:rsidP="000D6A16">
            <w:pPr>
              <w:ind w:left="330" w:hanging="150"/>
              <w:rPr>
                <w:rFonts w:ascii="Arial" w:hAnsi="Arial" w:cs="Arial"/>
                <w:b/>
                <w:i/>
                <w:sz w:val="20"/>
                <w:szCs w:val="20"/>
                <w:lang w:val="es-ES"/>
              </w:rPr>
            </w:pPr>
            <w:r w:rsidRPr="005B5D7C">
              <w:rPr>
                <w:rFonts w:ascii="Arial" w:hAnsi="Arial" w:cs="Arial"/>
                <w:b/>
                <w:i/>
                <w:sz w:val="20"/>
                <w:szCs w:val="20"/>
                <w:lang w:val="es-ES"/>
              </w:rPr>
              <w:lastRenderedPageBreak/>
              <w:t xml:space="preserve">G. Fortalecer la gestión de la infraestructura utilizada para la prestación de los servicios públicos </w:t>
            </w:r>
            <w:r w:rsidR="00EA6898" w:rsidRPr="005B5D7C">
              <w:rPr>
                <w:rFonts w:ascii="Arial" w:hAnsi="Arial" w:cs="Arial"/>
                <w:b/>
                <w:i/>
                <w:sz w:val="20"/>
                <w:szCs w:val="20"/>
                <w:lang w:val="es-ES"/>
              </w:rPr>
              <w:t>domiciliarios</w:t>
            </w:r>
          </w:p>
        </w:tc>
        <w:tc>
          <w:tcPr>
            <w:tcW w:w="3330" w:type="dxa"/>
            <w:shd w:val="clear" w:color="auto" w:fill="auto"/>
          </w:tcPr>
          <w:p w14:paraId="430EFE12" w14:textId="6D8CE1D2" w:rsidR="000D6A16" w:rsidRPr="005B5D7C" w:rsidRDefault="000D6A16" w:rsidP="006347AE">
            <w:pPr>
              <w:jc w:val="both"/>
              <w:rPr>
                <w:rFonts w:ascii="Arial" w:hAnsi="Arial" w:cs="Arial"/>
                <w:sz w:val="22"/>
                <w:szCs w:val="22"/>
                <w:lang w:val="es-ES"/>
              </w:rPr>
            </w:pPr>
            <w:r w:rsidRPr="005B5D7C">
              <w:rPr>
                <w:rFonts w:ascii="Arial" w:hAnsi="Arial" w:cs="Arial"/>
                <w:sz w:val="22"/>
                <w:szCs w:val="22"/>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4487" w:type="dxa"/>
            <w:shd w:val="clear" w:color="auto" w:fill="auto"/>
          </w:tcPr>
          <w:p w14:paraId="50C02322" w14:textId="77777777" w:rsidR="000D6A16" w:rsidRPr="005B5D7C" w:rsidRDefault="000D6A16" w:rsidP="00A447D3">
            <w:pPr>
              <w:jc w:val="both"/>
              <w:rPr>
                <w:rFonts w:ascii="Arial" w:hAnsi="Arial" w:cs="Arial"/>
                <w:sz w:val="22"/>
                <w:szCs w:val="22"/>
                <w:lang w:val="es-ES"/>
              </w:rPr>
            </w:pPr>
            <w:r w:rsidRPr="005B5D7C">
              <w:rPr>
                <w:rFonts w:ascii="Arial" w:hAnsi="Arial" w:cs="Arial"/>
                <w:sz w:val="22"/>
                <w:szCs w:val="22"/>
                <w:lang w:val="es-ES"/>
              </w:rPr>
              <w:t xml:space="preserve">Los contratos de delegación de gestión </w:t>
            </w:r>
            <w:proofErr w:type="gramStart"/>
            <w:r w:rsidRPr="005B5D7C">
              <w:rPr>
                <w:rFonts w:ascii="Arial" w:hAnsi="Arial" w:cs="Arial"/>
                <w:sz w:val="22"/>
                <w:szCs w:val="22"/>
                <w:lang w:val="es-ES"/>
              </w:rPr>
              <w:t>y  de</w:t>
            </w:r>
            <w:proofErr w:type="gramEnd"/>
            <w:r w:rsidRPr="005B5D7C">
              <w:rPr>
                <w:rFonts w:ascii="Arial" w:hAnsi="Arial" w:cs="Arial"/>
                <w:sz w:val="22"/>
                <w:szCs w:val="22"/>
                <w:lang w:val="es-ES"/>
              </w:rPr>
              <w:t xml:space="preserve"> asistencia técnica operativa de Saint Marc y de Puerto Príncipe establecen metas de gestión de la empresa en el área de concesión. Los Contratos definen metas de atendimiento y calidad de los servicios.</w:t>
            </w:r>
          </w:p>
          <w:p w14:paraId="7610B421" w14:textId="77777777" w:rsidR="000D6A16" w:rsidRPr="005B5D7C" w:rsidRDefault="000D6A16" w:rsidP="00A447D3">
            <w:pPr>
              <w:jc w:val="both"/>
              <w:rPr>
                <w:rFonts w:ascii="Arial" w:hAnsi="Arial" w:cs="Arial"/>
                <w:sz w:val="22"/>
                <w:szCs w:val="22"/>
                <w:lang w:val="es-ES"/>
              </w:rPr>
            </w:pPr>
          </w:p>
          <w:p w14:paraId="3135E350" w14:textId="2BB0D5A2" w:rsidR="000D6A16" w:rsidRPr="005B5D7C" w:rsidRDefault="000D6A16" w:rsidP="006E1013">
            <w:pPr>
              <w:jc w:val="both"/>
              <w:rPr>
                <w:rFonts w:ascii="Arial" w:hAnsi="Arial" w:cs="Arial"/>
                <w:sz w:val="22"/>
                <w:szCs w:val="22"/>
                <w:lang w:val="es-ES"/>
              </w:rPr>
            </w:pPr>
          </w:p>
        </w:tc>
      </w:tr>
      <w:tr w:rsidR="00471B2A" w:rsidRPr="000F22DF" w14:paraId="6A2D4F6C" w14:textId="77777777" w:rsidTr="00963271">
        <w:trPr>
          <w:jc w:val="center"/>
        </w:trPr>
        <w:tc>
          <w:tcPr>
            <w:tcW w:w="2418" w:type="dxa"/>
            <w:shd w:val="clear" w:color="auto" w:fill="auto"/>
          </w:tcPr>
          <w:p w14:paraId="6AF0D352" w14:textId="284B4DD1" w:rsidR="00471B2A" w:rsidRPr="005B5D7C" w:rsidRDefault="00471B2A" w:rsidP="00A97EDD">
            <w:pPr>
              <w:rPr>
                <w:rFonts w:ascii="Arial" w:hAnsi="Arial" w:cs="Arial"/>
                <w:sz w:val="20"/>
                <w:szCs w:val="20"/>
                <w:lang w:val="es-ES"/>
              </w:rPr>
            </w:pPr>
            <w:r w:rsidRPr="005B5D7C">
              <w:rPr>
                <w:rFonts w:ascii="Arial" w:hAnsi="Arial" w:cs="Arial"/>
                <w:b/>
                <w:sz w:val="20"/>
                <w:szCs w:val="20"/>
                <w:lang w:val="es-ES"/>
              </w:rPr>
              <w:t>3. Promover la innovación para fomentar la eficiencia, el acceso y la sostenibilidad ambiental</w:t>
            </w:r>
          </w:p>
        </w:tc>
        <w:tc>
          <w:tcPr>
            <w:tcW w:w="3330" w:type="dxa"/>
            <w:shd w:val="clear" w:color="auto" w:fill="auto"/>
          </w:tcPr>
          <w:p w14:paraId="33E7ED65" w14:textId="690706BF" w:rsidR="00471B2A" w:rsidRPr="005B5D7C" w:rsidRDefault="00471B2A" w:rsidP="006347AE">
            <w:pPr>
              <w:jc w:val="both"/>
              <w:rPr>
                <w:rFonts w:ascii="Arial" w:hAnsi="Arial" w:cs="Arial"/>
                <w:sz w:val="22"/>
                <w:szCs w:val="22"/>
                <w:lang w:val="es-ES"/>
              </w:rPr>
            </w:pPr>
            <w:r w:rsidRPr="005B5D7C">
              <w:rPr>
                <w:rFonts w:ascii="Arial" w:hAnsi="Arial" w:cs="Arial"/>
                <w:sz w:val="22"/>
                <w:szCs w:val="22"/>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4487" w:type="dxa"/>
            <w:shd w:val="clear" w:color="auto" w:fill="auto"/>
          </w:tcPr>
          <w:p w14:paraId="638B183A" w14:textId="34CBCFBD" w:rsidR="00471B2A" w:rsidRPr="005B5D7C" w:rsidRDefault="00471B2A" w:rsidP="00AD7E20">
            <w:pPr>
              <w:jc w:val="both"/>
              <w:rPr>
                <w:rFonts w:ascii="Arial" w:hAnsi="Arial" w:cs="Arial"/>
                <w:sz w:val="22"/>
                <w:szCs w:val="22"/>
                <w:highlight w:val="yellow"/>
                <w:lang w:val="es-ES"/>
              </w:rPr>
            </w:pPr>
            <w:r w:rsidRPr="005B5D7C">
              <w:rPr>
                <w:rFonts w:ascii="Arial" w:hAnsi="Arial" w:cs="Arial"/>
                <w:sz w:val="22"/>
                <w:szCs w:val="22"/>
                <w:lang w:val="es-ES"/>
              </w:rPr>
              <w:t xml:space="preserve">En </w:t>
            </w:r>
            <w:r w:rsidR="00EA6898" w:rsidRPr="005B5D7C">
              <w:rPr>
                <w:rFonts w:ascii="Arial" w:hAnsi="Arial" w:cs="Arial"/>
                <w:sz w:val="22"/>
                <w:szCs w:val="22"/>
                <w:lang w:val="es-ES"/>
              </w:rPr>
              <w:t>Haití</w:t>
            </w:r>
            <w:r w:rsidRPr="005B5D7C">
              <w:rPr>
                <w:rFonts w:ascii="Arial" w:hAnsi="Arial" w:cs="Arial"/>
                <w:sz w:val="22"/>
                <w:szCs w:val="22"/>
                <w:lang w:val="es-ES"/>
              </w:rPr>
              <w:t xml:space="preserve"> es necesario identificar opciones de solución que sean técnicamente viables, y que a la vez cumplan con los requerimientos ambientales y sociales. A este nivel el uso de provisión pública (como s</w:t>
            </w:r>
            <w:r w:rsidR="00AD7E20" w:rsidRPr="005B5D7C">
              <w:rPr>
                <w:rFonts w:ascii="Arial" w:hAnsi="Arial" w:cs="Arial"/>
                <w:sz w:val="22"/>
                <w:szCs w:val="22"/>
                <w:lang w:val="es-ES"/>
              </w:rPr>
              <w:t>on</w:t>
            </w:r>
            <w:r w:rsidRPr="005B5D7C">
              <w:rPr>
                <w:rFonts w:ascii="Arial" w:hAnsi="Arial" w:cs="Arial"/>
                <w:sz w:val="22"/>
                <w:szCs w:val="22"/>
                <w:lang w:val="es-ES"/>
              </w:rPr>
              <w:t xml:space="preserve"> los kioscos) ha demostrado ser una solución razonable a este contexto. </w:t>
            </w:r>
          </w:p>
        </w:tc>
      </w:tr>
    </w:tbl>
    <w:p w14:paraId="674CC0B8" w14:textId="77777777" w:rsidR="001B48E1" w:rsidRPr="005B5D7C" w:rsidRDefault="001B48E1" w:rsidP="001B48E1">
      <w:pPr>
        <w:rPr>
          <w:rFonts w:ascii="Arial" w:hAnsi="Arial" w:cs="Arial"/>
          <w:sz w:val="22"/>
          <w:szCs w:val="22"/>
          <w:lang w:val="es-ES"/>
        </w:rPr>
      </w:pPr>
    </w:p>
    <w:p w14:paraId="096D7D48" w14:textId="77777777" w:rsidR="00973326" w:rsidRPr="005B5D7C" w:rsidRDefault="00973326">
      <w:pPr>
        <w:rPr>
          <w:rFonts w:ascii="Arial" w:hAnsi="Arial" w:cs="Arial"/>
          <w:sz w:val="22"/>
          <w:szCs w:val="22"/>
          <w:lang w:val="es-ES"/>
        </w:rPr>
      </w:pPr>
    </w:p>
    <w:p w14:paraId="6A75B8D0" w14:textId="77777777" w:rsidR="009877B5" w:rsidRPr="005B5D7C" w:rsidRDefault="009877B5">
      <w:pPr>
        <w:rPr>
          <w:rFonts w:ascii="Arial" w:hAnsi="Arial" w:cs="Arial"/>
          <w:sz w:val="22"/>
          <w:szCs w:val="22"/>
          <w:lang w:val="es-ES"/>
        </w:rPr>
      </w:pPr>
    </w:p>
    <w:sectPr w:rsidR="009877B5" w:rsidRPr="005B5D7C" w:rsidSect="005B5D7C">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F5218" w14:textId="77777777" w:rsidR="000131DA" w:rsidRDefault="000131DA">
      <w:r>
        <w:separator/>
      </w:r>
    </w:p>
  </w:endnote>
  <w:endnote w:type="continuationSeparator" w:id="0">
    <w:p w14:paraId="45B27A61" w14:textId="77777777" w:rsidR="000131DA" w:rsidRDefault="00013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6DC19" w14:textId="77777777" w:rsidR="000131DA" w:rsidRDefault="000131DA">
      <w:r>
        <w:separator/>
      </w:r>
    </w:p>
  </w:footnote>
  <w:footnote w:type="continuationSeparator" w:id="0">
    <w:p w14:paraId="21A9F7C9" w14:textId="77777777" w:rsidR="000131DA" w:rsidRDefault="00013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1168209085"/>
      <w:docPartObj>
        <w:docPartGallery w:val="Page Numbers (Top of Page)"/>
        <w:docPartUnique/>
      </w:docPartObj>
    </w:sdtPr>
    <w:sdtEndPr/>
    <w:sdtContent>
      <w:p w14:paraId="3FBE1737" w14:textId="1895B29C" w:rsidR="0007598A" w:rsidRPr="00FD39A9" w:rsidRDefault="00943069" w:rsidP="00027AFD">
        <w:pPr>
          <w:pStyle w:val="Header"/>
          <w:ind w:left="7200"/>
          <w:jc w:val="right"/>
          <w:rPr>
            <w:rFonts w:ascii="Arial" w:hAnsi="Arial" w:cs="Arial"/>
            <w:sz w:val="22"/>
            <w:szCs w:val="22"/>
          </w:rPr>
        </w:pPr>
        <w:r>
          <w:rPr>
            <w:rFonts w:ascii="Arial" w:hAnsi="Arial" w:cs="Arial"/>
            <w:sz w:val="22"/>
            <w:szCs w:val="22"/>
          </w:rPr>
          <w:t>HA</w:t>
        </w:r>
        <w:r w:rsidR="0007598A" w:rsidRPr="00FD39A9">
          <w:rPr>
            <w:rFonts w:ascii="Arial" w:hAnsi="Arial" w:cs="Arial"/>
            <w:sz w:val="22"/>
            <w:szCs w:val="22"/>
          </w:rPr>
          <w:t>-L1</w:t>
        </w:r>
        <w:r>
          <w:rPr>
            <w:rFonts w:ascii="Arial" w:hAnsi="Arial" w:cs="Arial"/>
            <w:sz w:val="22"/>
            <w:szCs w:val="22"/>
          </w:rPr>
          <w:t>103</w:t>
        </w:r>
      </w:p>
      <w:p w14:paraId="7B8F33AB" w14:textId="229EF73E" w:rsidR="0007598A" w:rsidRPr="00FD39A9" w:rsidRDefault="0007598A" w:rsidP="00027AFD">
        <w:pPr>
          <w:pStyle w:val="Header"/>
          <w:ind w:left="7110" w:hanging="90"/>
          <w:jc w:val="right"/>
          <w:rPr>
            <w:rFonts w:ascii="Arial" w:hAnsi="Arial" w:cs="Arial"/>
            <w:sz w:val="22"/>
            <w:szCs w:val="22"/>
          </w:rPr>
        </w:pPr>
        <w:proofErr w:type="spellStart"/>
        <w:r w:rsidRPr="00FD39A9">
          <w:rPr>
            <w:rFonts w:ascii="Arial" w:hAnsi="Arial" w:cs="Arial"/>
            <w:sz w:val="22"/>
            <w:szCs w:val="22"/>
          </w:rPr>
          <w:t>P</w:t>
        </w:r>
        <w:r w:rsidR="00027AFD">
          <w:rPr>
            <w:rFonts w:ascii="Arial" w:hAnsi="Arial" w:cs="Arial"/>
            <w:sz w:val="22"/>
            <w:szCs w:val="22"/>
          </w:rPr>
          <w:t>á</w:t>
        </w:r>
        <w:r w:rsidRPr="00FD39A9">
          <w:rPr>
            <w:rFonts w:ascii="Arial" w:hAnsi="Arial" w:cs="Arial"/>
            <w:sz w:val="22"/>
            <w:szCs w:val="22"/>
          </w:rPr>
          <w:t>g</w:t>
        </w:r>
        <w:r w:rsidR="00027AFD">
          <w:rPr>
            <w:rFonts w:ascii="Arial" w:hAnsi="Arial" w:cs="Arial"/>
            <w:sz w:val="22"/>
            <w:szCs w:val="22"/>
          </w:rPr>
          <w:t>ina</w:t>
        </w:r>
        <w:proofErr w:type="spellEnd"/>
        <w:r w:rsidRPr="00FD39A9">
          <w:rPr>
            <w:rFonts w:ascii="Arial" w:hAnsi="Arial" w:cs="Arial"/>
            <w:sz w:val="22"/>
            <w:szCs w:val="22"/>
          </w:rPr>
          <w:t xml:space="preserve"> </w:t>
        </w:r>
        <w:r w:rsidRPr="00FD39A9">
          <w:rPr>
            <w:rFonts w:ascii="Arial" w:hAnsi="Arial" w:cs="Arial"/>
            <w:bCs/>
            <w:sz w:val="22"/>
            <w:szCs w:val="22"/>
          </w:rPr>
          <w:fldChar w:fldCharType="begin"/>
        </w:r>
        <w:r w:rsidRPr="00FD39A9">
          <w:rPr>
            <w:rFonts w:ascii="Arial" w:hAnsi="Arial" w:cs="Arial"/>
            <w:bCs/>
            <w:sz w:val="22"/>
            <w:szCs w:val="22"/>
          </w:rPr>
          <w:instrText xml:space="preserve"> PAGE </w:instrText>
        </w:r>
        <w:r w:rsidRPr="00FD39A9">
          <w:rPr>
            <w:rFonts w:ascii="Arial" w:hAnsi="Arial" w:cs="Arial"/>
            <w:bCs/>
            <w:sz w:val="22"/>
            <w:szCs w:val="22"/>
          </w:rPr>
          <w:fldChar w:fldCharType="separate"/>
        </w:r>
        <w:r w:rsidR="0020381D">
          <w:rPr>
            <w:rFonts w:ascii="Arial" w:hAnsi="Arial" w:cs="Arial"/>
            <w:bCs/>
            <w:noProof/>
            <w:sz w:val="22"/>
            <w:szCs w:val="22"/>
          </w:rPr>
          <w:t>1</w:t>
        </w:r>
        <w:r w:rsidRPr="00FD39A9">
          <w:rPr>
            <w:rFonts w:ascii="Arial" w:hAnsi="Arial" w:cs="Arial"/>
            <w:bCs/>
            <w:sz w:val="22"/>
            <w:szCs w:val="22"/>
          </w:rPr>
          <w:fldChar w:fldCharType="end"/>
        </w:r>
        <w:r w:rsidRPr="00FD39A9">
          <w:rPr>
            <w:rFonts w:ascii="Arial" w:hAnsi="Arial" w:cs="Arial"/>
            <w:sz w:val="22"/>
            <w:szCs w:val="22"/>
          </w:rPr>
          <w:t xml:space="preserve"> </w:t>
        </w:r>
        <w:r w:rsidR="00027AFD">
          <w:rPr>
            <w:rFonts w:ascii="Arial" w:hAnsi="Arial" w:cs="Arial"/>
            <w:sz w:val="22"/>
            <w:szCs w:val="22"/>
          </w:rPr>
          <w:t>de</w:t>
        </w:r>
        <w:r w:rsidRPr="00FD39A9">
          <w:rPr>
            <w:rFonts w:ascii="Arial" w:hAnsi="Arial" w:cs="Arial"/>
            <w:sz w:val="22"/>
            <w:szCs w:val="22"/>
          </w:rPr>
          <w:t xml:space="preserve"> </w:t>
        </w:r>
        <w:r w:rsidRPr="00FD39A9">
          <w:rPr>
            <w:rFonts w:ascii="Arial" w:hAnsi="Arial" w:cs="Arial"/>
            <w:bCs/>
            <w:sz w:val="22"/>
            <w:szCs w:val="22"/>
          </w:rPr>
          <w:fldChar w:fldCharType="begin"/>
        </w:r>
        <w:r w:rsidRPr="00FD39A9">
          <w:rPr>
            <w:rFonts w:ascii="Arial" w:hAnsi="Arial" w:cs="Arial"/>
            <w:bCs/>
            <w:sz w:val="22"/>
            <w:szCs w:val="22"/>
          </w:rPr>
          <w:instrText xml:space="preserve"> NUMPAGES  </w:instrText>
        </w:r>
        <w:r w:rsidRPr="00FD39A9">
          <w:rPr>
            <w:rFonts w:ascii="Arial" w:hAnsi="Arial" w:cs="Arial"/>
            <w:bCs/>
            <w:sz w:val="22"/>
            <w:szCs w:val="22"/>
          </w:rPr>
          <w:fldChar w:fldCharType="separate"/>
        </w:r>
        <w:r w:rsidR="0020381D">
          <w:rPr>
            <w:rFonts w:ascii="Arial" w:hAnsi="Arial" w:cs="Arial"/>
            <w:bCs/>
            <w:noProof/>
            <w:sz w:val="22"/>
            <w:szCs w:val="22"/>
          </w:rPr>
          <w:t>11</w:t>
        </w:r>
        <w:r w:rsidRPr="00FD39A9">
          <w:rPr>
            <w:rFonts w:ascii="Arial" w:hAnsi="Arial" w:cs="Arial"/>
            <w:bCs/>
            <w:sz w:val="22"/>
            <w:szCs w:val="22"/>
          </w:rPr>
          <w:fldChar w:fldCharType="end"/>
        </w:r>
      </w:p>
    </w:sdtContent>
  </w:sdt>
  <w:p w14:paraId="3D45223F" w14:textId="77777777" w:rsidR="0007598A" w:rsidRDefault="00075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E9CDF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8E2D78"/>
    <w:multiLevelType w:val="multilevel"/>
    <w:tmpl w:val="035EA7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5E2C72"/>
    <w:multiLevelType w:val="hybridMultilevel"/>
    <w:tmpl w:val="829AD96E"/>
    <w:lvl w:ilvl="0" w:tplc="8D068826">
      <w:start w:val="1"/>
      <w:numFmt w:val="lowerRoman"/>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79BE4EDE"/>
    <w:multiLevelType w:val="hybridMultilevel"/>
    <w:tmpl w:val="687E3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C95"/>
    <w:rsid w:val="000028AD"/>
    <w:rsid w:val="00002C4C"/>
    <w:rsid w:val="000043EF"/>
    <w:rsid w:val="00006020"/>
    <w:rsid w:val="00011823"/>
    <w:rsid w:val="00012A5A"/>
    <w:rsid w:val="000131DA"/>
    <w:rsid w:val="00015202"/>
    <w:rsid w:val="00015AAE"/>
    <w:rsid w:val="0002123E"/>
    <w:rsid w:val="00023ED8"/>
    <w:rsid w:val="00024482"/>
    <w:rsid w:val="0002660A"/>
    <w:rsid w:val="00026D4D"/>
    <w:rsid w:val="00026F59"/>
    <w:rsid w:val="00027AFD"/>
    <w:rsid w:val="000308D9"/>
    <w:rsid w:val="0003207A"/>
    <w:rsid w:val="00041F63"/>
    <w:rsid w:val="000427F7"/>
    <w:rsid w:val="0004321D"/>
    <w:rsid w:val="00043446"/>
    <w:rsid w:val="00046120"/>
    <w:rsid w:val="00047BAB"/>
    <w:rsid w:val="00051D5F"/>
    <w:rsid w:val="000521B7"/>
    <w:rsid w:val="000526BA"/>
    <w:rsid w:val="000530A6"/>
    <w:rsid w:val="00053DD5"/>
    <w:rsid w:val="00054D4F"/>
    <w:rsid w:val="00055241"/>
    <w:rsid w:val="0005528E"/>
    <w:rsid w:val="000564B6"/>
    <w:rsid w:val="00057032"/>
    <w:rsid w:val="00061F64"/>
    <w:rsid w:val="00061FD2"/>
    <w:rsid w:val="00063DC9"/>
    <w:rsid w:val="00064C29"/>
    <w:rsid w:val="0006524A"/>
    <w:rsid w:val="0006569F"/>
    <w:rsid w:val="00065776"/>
    <w:rsid w:val="00066736"/>
    <w:rsid w:val="00066BA7"/>
    <w:rsid w:val="00070E9A"/>
    <w:rsid w:val="000710A5"/>
    <w:rsid w:val="00071BDA"/>
    <w:rsid w:val="00072ED0"/>
    <w:rsid w:val="00074294"/>
    <w:rsid w:val="0007598A"/>
    <w:rsid w:val="00075AF8"/>
    <w:rsid w:val="0007669E"/>
    <w:rsid w:val="000771EB"/>
    <w:rsid w:val="0007788E"/>
    <w:rsid w:val="000861F1"/>
    <w:rsid w:val="00087B10"/>
    <w:rsid w:val="0009445A"/>
    <w:rsid w:val="000946F5"/>
    <w:rsid w:val="0009497E"/>
    <w:rsid w:val="00094BC9"/>
    <w:rsid w:val="00094CAF"/>
    <w:rsid w:val="00097720"/>
    <w:rsid w:val="000A2219"/>
    <w:rsid w:val="000A29E2"/>
    <w:rsid w:val="000A33BE"/>
    <w:rsid w:val="000A42B3"/>
    <w:rsid w:val="000A4A68"/>
    <w:rsid w:val="000A7C95"/>
    <w:rsid w:val="000B237A"/>
    <w:rsid w:val="000B2640"/>
    <w:rsid w:val="000B3E36"/>
    <w:rsid w:val="000B407C"/>
    <w:rsid w:val="000B64B4"/>
    <w:rsid w:val="000B7323"/>
    <w:rsid w:val="000C1204"/>
    <w:rsid w:val="000C12F0"/>
    <w:rsid w:val="000C5FC2"/>
    <w:rsid w:val="000C65F2"/>
    <w:rsid w:val="000C71B1"/>
    <w:rsid w:val="000D0E9F"/>
    <w:rsid w:val="000D16AE"/>
    <w:rsid w:val="000D30C3"/>
    <w:rsid w:val="000D3C70"/>
    <w:rsid w:val="000D6A16"/>
    <w:rsid w:val="000E0081"/>
    <w:rsid w:val="000E010C"/>
    <w:rsid w:val="000E267F"/>
    <w:rsid w:val="000E451B"/>
    <w:rsid w:val="000E52F5"/>
    <w:rsid w:val="000E5BFB"/>
    <w:rsid w:val="000E6186"/>
    <w:rsid w:val="000E63AE"/>
    <w:rsid w:val="000F22DF"/>
    <w:rsid w:val="000F4C66"/>
    <w:rsid w:val="000F648A"/>
    <w:rsid w:val="000F6C0C"/>
    <w:rsid w:val="000F7AA7"/>
    <w:rsid w:val="00100358"/>
    <w:rsid w:val="00101072"/>
    <w:rsid w:val="00102B66"/>
    <w:rsid w:val="00104DA2"/>
    <w:rsid w:val="001062CD"/>
    <w:rsid w:val="001064A1"/>
    <w:rsid w:val="00107682"/>
    <w:rsid w:val="0011093F"/>
    <w:rsid w:val="00110C21"/>
    <w:rsid w:val="00111F7F"/>
    <w:rsid w:val="0011250C"/>
    <w:rsid w:val="00112CAA"/>
    <w:rsid w:val="00114058"/>
    <w:rsid w:val="00120394"/>
    <w:rsid w:val="00120DEC"/>
    <w:rsid w:val="00121658"/>
    <w:rsid w:val="00121DC7"/>
    <w:rsid w:val="001221C6"/>
    <w:rsid w:val="00124BBE"/>
    <w:rsid w:val="00124C81"/>
    <w:rsid w:val="001253CD"/>
    <w:rsid w:val="00125CAD"/>
    <w:rsid w:val="00125E35"/>
    <w:rsid w:val="00130653"/>
    <w:rsid w:val="001308D7"/>
    <w:rsid w:val="001311A5"/>
    <w:rsid w:val="0013133F"/>
    <w:rsid w:val="00131A30"/>
    <w:rsid w:val="00131A33"/>
    <w:rsid w:val="00132FD3"/>
    <w:rsid w:val="001334B9"/>
    <w:rsid w:val="00133F87"/>
    <w:rsid w:val="001352FE"/>
    <w:rsid w:val="001355B0"/>
    <w:rsid w:val="00136AAB"/>
    <w:rsid w:val="00137E54"/>
    <w:rsid w:val="00140499"/>
    <w:rsid w:val="00140EFE"/>
    <w:rsid w:val="00141B66"/>
    <w:rsid w:val="00144A81"/>
    <w:rsid w:val="00144FA0"/>
    <w:rsid w:val="00146CF7"/>
    <w:rsid w:val="00146FFD"/>
    <w:rsid w:val="00147E23"/>
    <w:rsid w:val="001512DD"/>
    <w:rsid w:val="00151FC8"/>
    <w:rsid w:val="00152894"/>
    <w:rsid w:val="0015417A"/>
    <w:rsid w:val="00154426"/>
    <w:rsid w:val="00154BCC"/>
    <w:rsid w:val="001552D2"/>
    <w:rsid w:val="00155446"/>
    <w:rsid w:val="00157C65"/>
    <w:rsid w:val="00160355"/>
    <w:rsid w:val="0016194B"/>
    <w:rsid w:val="00161C2A"/>
    <w:rsid w:val="00162CCA"/>
    <w:rsid w:val="0017023F"/>
    <w:rsid w:val="001705A4"/>
    <w:rsid w:val="0017509B"/>
    <w:rsid w:val="00181D86"/>
    <w:rsid w:val="00182A38"/>
    <w:rsid w:val="00183D4E"/>
    <w:rsid w:val="001854A0"/>
    <w:rsid w:val="00185759"/>
    <w:rsid w:val="00186740"/>
    <w:rsid w:val="001868A6"/>
    <w:rsid w:val="00187204"/>
    <w:rsid w:val="001874AB"/>
    <w:rsid w:val="0019512B"/>
    <w:rsid w:val="001A0780"/>
    <w:rsid w:val="001A2DC7"/>
    <w:rsid w:val="001A4081"/>
    <w:rsid w:val="001A4485"/>
    <w:rsid w:val="001A641E"/>
    <w:rsid w:val="001A6894"/>
    <w:rsid w:val="001B069F"/>
    <w:rsid w:val="001B2098"/>
    <w:rsid w:val="001B3419"/>
    <w:rsid w:val="001B48E1"/>
    <w:rsid w:val="001B66DF"/>
    <w:rsid w:val="001C0436"/>
    <w:rsid w:val="001C1543"/>
    <w:rsid w:val="001C1D6D"/>
    <w:rsid w:val="001C50A0"/>
    <w:rsid w:val="001D01E2"/>
    <w:rsid w:val="001D1CE9"/>
    <w:rsid w:val="001D3133"/>
    <w:rsid w:val="001D6820"/>
    <w:rsid w:val="001E06ED"/>
    <w:rsid w:val="001E267F"/>
    <w:rsid w:val="001E3CFE"/>
    <w:rsid w:val="001E434D"/>
    <w:rsid w:val="001E49C9"/>
    <w:rsid w:val="001E5538"/>
    <w:rsid w:val="001E562B"/>
    <w:rsid w:val="001E65F5"/>
    <w:rsid w:val="001E666F"/>
    <w:rsid w:val="001F09D7"/>
    <w:rsid w:val="001F0B5C"/>
    <w:rsid w:val="001F0F51"/>
    <w:rsid w:val="001F1853"/>
    <w:rsid w:val="001F4F74"/>
    <w:rsid w:val="001F5CC6"/>
    <w:rsid w:val="001F63C2"/>
    <w:rsid w:val="001F726A"/>
    <w:rsid w:val="001F7F1B"/>
    <w:rsid w:val="00200AC1"/>
    <w:rsid w:val="002010B1"/>
    <w:rsid w:val="0020183B"/>
    <w:rsid w:val="002033E2"/>
    <w:rsid w:val="0020381D"/>
    <w:rsid w:val="0020393E"/>
    <w:rsid w:val="002069C6"/>
    <w:rsid w:val="002072D9"/>
    <w:rsid w:val="0021013F"/>
    <w:rsid w:val="002119BC"/>
    <w:rsid w:val="00212077"/>
    <w:rsid w:val="00212209"/>
    <w:rsid w:val="002142B7"/>
    <w:rsid w:val="00215200"/>
    <w:rsid w:val="0021649D"/>
    <w:rsid w:val="00221298"/>
    <w:rsid w:val="00221425"/>
    <w:rsid w:val="00221868"/>
    <w:rsid w:val="0022476A"/>
    <w:rsid w:val="00224FFD"/>
    <w:rsid w:val="0022539D"/>
    <w:rsid w:val="002259EA"/>
    <w:rsid w:val="00225A02"/>
    <w:rsid w:val="002301DC"/>
    <w:rsid w:val="0023183C"/>
    <w:rsid w:val="00232B6F"/>
    <w:rsid w:val="002362C3"/>
    <w:rsid w:val="002363D9"/>
    <w:rsid w:val="00240FB5"/>
    <w:rsid w:val="002410A5"/>
    <w:rsid w:val="0024164D"/>
    <w:rsid w:val="00242335"/>
    <w:rsid w:val="002424DE"/>
    <w:rsid w:val="00244686"/>
    <w:rsid w:val="00245301"/>
    <w:rsid w:val="00251D16"/>
    <w:rsid w:val="00252DDB"/>
    <w:rsid w:val="0025768B"/>
    <w:rsid w:val="002621A5"/>
    <w:rsid w:val="0026234F"/>
    <w:rsid w:val="002624F3"/>
    <w:rsid w:val="0026382A"/>
    <w:rsid w:val="002640B4"/>
    <w:rsid w:val="00264801"/>
    <w:rsid w:val="00264E4D"/>
    <w:rsid w:val="00266630"/>
    <w:rsid w:val="0027042C"/>
    <w:rsid w:val="002733F8"/>
    <w:rsid w:val="002739DE"/>
    <w:rsid w:val="002748FC"/>
    <w:rsid w:val="002759EC"/>
    <w:rsid w:val="00276AC1"/>
    <w:rsid w:val="00276DB2"/>
    <w:rsid w:val="00280BEA"/>
    <w:rsid w:val="00280FF1"/>
    <w:rsid w:val="00281340"/>
    <w:rsid w:val="0028461A"/>
    <w:rsid w:val="00287404"/>
    <w:rsid w:val="002874BC"/>
    <w:rsid w:val="00291C91"/>
    <w:rsid w:val="00292888"/>
    <w:rsid w:val="0029578F"/>
    <w:rsid w:val="002A52F3"/>
    <w:rsid w:val="002B0BFD"/>
    <w:rsid w:val="002B1813"/>
    <w:rsid w:val="002B1DEB"/>
    <w:rsid w:val="002B2FA1"/>
    <w:rsid w:val="002B39B4"/>
    <w:rsid w:val="002B39E5"/>
    <w:rsid w:val="002B5295"/>
    <w:rsid w:val="002B7A2C"/>
    <w:rsid w:val="002B7A61"/>
    <w:rsid w:val="002C0D92"/>
    <w:rsid w:val="002C2E42"/>
    <w:rsid w:val="002C635A"/>
    <w:rsid w:val="002C726E"/>
    <w:rsid w:val="002D0C60"/>
    <w:rsid w:val="002D2EB2"/>
    <w:rsid w:val="002D3010"/>
    <w:rsid w:val="002D4677"/>
    <w:rsid w:val="002D62B7"/>
    <w:rsid w:val="002D715A"/>
    <w:rsid w:val="002E2066"/>
    <w:rsid w:val="002E3D80"/>
    <w:rsid w:val="002E604B"/>
    <w:rsid w:val="002F03ED"/>
    <w:rsid w:val="002F1B59"/>
    <w:rsid w:val="002F4142"/>
    <w:rsid w:val="002F47B1"/>
    <w:rsid w:val="002F48D1"/>
    <w:rsid w:val="002F6AE4"/>
    <w:rsid w:val="002F766B"/>
    <w:rsid w:val="00303246"/>
    <w:rsid w:val="00303B7E"/>
    <w:rsid w:val="00303D56"/>
    <w:rsid w:val="00306146"/>
    <w:rsid w:val="00307E9C"/>
    <w:rsid w:val="00312221"/>
    <w:rsid w:val="00313CFF"/>
    <w:rsid w:val="0031460C"/>
    <w:rsid w:val="00314E64"/>
    <w:rsid w:val="003159C8"/>
    <w:rsid w:val="00315A14"/>
    <w:rsid w:val="00315B0B"/>
    <w:rsid w:val="00316B60"/>
    <w:rsid w:val="00324A4F"/>
    <w:rsid w:val="003273F4"/>
    <w:rsid w:val="003274E2"/>
    <w:rsid w:val="003320B6"/>
    <w:rsid w:val="00332AD0"/>
    <w:rsid w:val="00333FAD"/>
    <w:rsid w:val="00333FE4"/>
    <w:rsid w:val="00334E19"/>
    <w:rsid w:val="00335363"/>
    <w:rsid w:val="00337455"/>
    <w:rsid w:val="00337ED6"/>
    <w:rsid w:val="00340DEA"/>
    <w:rsid w:val="003412E5"/>
    <w:rsid w:val="00343E93"/>
    <w:rsid w:val="00345314"/>
    <w:rsid w:val="00350314"/>
    <w:rsid w:val="0035255A"/>
    <w:rsid w:val="0035453B"/>
    <w:rsid w:val="00355465"/>
    <w:rsid w:val="003574E9"/>
    <w:rsid w:val="0035761C"/>
    <w:rsid w:val="003579BB"/>
    <w:rsid w:val="00361263"/>
    <w:rsid w:val="00364F39"/>
    <w:rsid w:val="00366B82"/>
    <w:rsid w:val="00367187"/>
    <w:rsid w:val="0037192C"/>
    <w:rsid w:val="00373C0D"/>
    <w:rsid w:val="003748D2"/>
    <w:rsid w:val="003812E0"/>
    <w:rsid w:val="00382D70"/>
    <w:rsid w:val="00383958"/>
    <w:rsid w:val="003876D0"/>
    <w:rsid w:val="00391E7F"/>
    <w:rsid w:val="00392EED"/>
    <w:rsid w:val="00395AF6"/>
    <w:rsid w:val="003A04DD"/>
    <w:rsid w:val="003A23A1"/>
    <w:rsid w:val="003A51E9"/>
    <w:rsid w:val="003A5488"/>
    <w:rsid w:val="003A667B"/>
    <w:rsid w:val="003B1D68"/>
    <w:rsid w:val="003B3F5E"/>
    <w:rsid w:val="003B549D"/>
    <w:rsid w:val="003B5622"/>
    <w:rsid w:val="003B562A"/>
    <w:rsid w:val="003C0A03"/>
    <w:rsid w:val="003C1AF6"/>
    <w:rsid w:val="003C22F2"/>
    <w:rsid w:val="003C27D9"/>
    <w:rsid w:val="003C4266"/>
    <w:rsid w:val="003C65E7"/>
    <w:rsid w:val="003C780F"/>
    <w:rsid w:val="003D2865"/>
    <w:rsid w:val="003D2DCA"/>
    <w:rsid w:val="003D3B4C"/>
    <w:rsid w:val="003D5189"/>
    <w:rsid w:val="003D5519"/>
    <w:rsid w:val="003D6C3E"/>
    <w:rsid w:val="003E39BB"/>
    <w:rsid w:val="003F0A67"/>
    <w:rsid w:val="003F102E"/>
    <w:rsid w:val="003F25D9"/>
    <w:rsid w:val="003F2955"/>
    <w:rsid w:val="003F47D4"/>
    <w:rsid w:val="003F55E5"/>
    <w:rsid w:val="003F69C4"/>
    <w:rsid w:val="0040315D"/>
    <w:rsid w:val="004047D6"/>
    <w:rsid w:val="0040551F"/>
    <w:rsid w:val="00406169"/>
    <w:rsid w:val="004065FE"/>
    <w:rsid w:val="00410620"/>
    <w:rsid w:val="00412003"/>
    <w:rsid w:val="00413569"/>
    <w:rsid w:val="00415683"/>
    <w:rsid w:val="004162E2"/>
    <w:rsid w:val="0041668D"/>
    <w:rsid w:val="004244D2"/>
    <w:rsid w:val="00424A39"/>
    <w:rsid w:val="004303B5"/>
    <w:rsid w:val="004303C5"/>
    <w:rsid w:val="00435ABE"/>
    <w:rsid w:val="00435F7F"/>
    <w:rsid w:val="00436023"/>
    <w:rsid w:val="004363BC"/>
    <w:rsid w:val="00442F7E"/>
    <w:rsid w:val="00443E4C"/>
    <w:rsid w:val="0044510E"/>
    <w:rsid w:val="00445A80"/>
    <w:rsid w:val="004461FA"/>
    <w:rsid w:val="00447B6F"/>
    <w:rsid w:val="00450CA7"/>
    <w:rsid w:val="00451B1A"/>
    <w:rsid w:val="00454A4A"/>
    <w:rsid w:val="00461B1C"/>
    <w:rsid w:val="00461D98"/>
    <w:rsid w:val="00462C44"/>
    <w:rsid w:val="004648CA"/>
    <w:rsid w:val="00465863"/>
    <w:rsid w:val="00466135"/>
    <w:rsid w:val="0046768F"/>
    <w:rsid w:val="00471B2A"/>
    <w:rsid w:val="00473566"/>
    <w:rsid w:val="004736EF"/>
    <w:rsid w:val="00474517"/>
    <w:rsid w:val="00476C8D"/>
    <w:rsid w:val="004805D3"/>
    <w:rsid w:val="00481F99"/>
    <w:rsid w:val="004835F8"/>
    <w:rsid w:val="00484A12"/>
    <w:rsid w:val="00486218"/>
    <w:rsid w:val="00486259"/>
    <w:rsid w:val="0048639F"/>
    <w:rsid w:val="004925B6"/>
    <w:rsid w:val="004936EC"/>
    <w:rsid w:val="00493901"/>
    <w:rsid w:val="0049420A"/>
    <w:rsid w:val="00496999"/>
    <w:rsid w:val="004A43FB"/>
    <w:rsid w:val="004A463E"/>
    <w:rsid w:val="004A65B6"/>
    <w:rsid w:val="004A7ED6"/>
    <w:rsid w:val="004B3406"/>
    <w:rsid w:val="004C02D7"/>
    <w:rsid w:val="004C1527"/>
    <w:rsid w:val="004C1FD1"/>
    <w:rsid w:val="004C39C3"/>
    <w:rsid w:val="004C3F4A"/>
    <w:rsid w:val="004C4E77"/>
    <w:rsid w:val="004C5C02"/>
    <w:rsid w:val="004C5D22"/>
    <w:rsid w:val="004C5DA0"/>
    <w:rsid w:val="004D0752"/>
    <w:rsid w:val="004D1C05"/>
    <w:rsid w:val="004D1CE5"/>
    <w:rsid w:val="004D53AF"/>
    <w:rsid w:val="004D6D20"/>
    <w:rsid w:val="004E0FF4"/>
    <w:rsid w:val="004E2763"/>
    <w:rsid w:val="004E27C0"/>
    <w:rsid w:val="004E30E4"/>
    <w:rsid w:val="004E5A94"/>
    <w:rsid w:val="004E6FE8"/>
    <w:rsid w:val="004E78F9"/>
    <w:rsid w:val="004F23DA"/>
    <w:rsid w:val="004F3734"/>
    <w:rsid w:val="004F3801"/>
    <w:rsid w:val="004F4ADF"/>
    <w:rsid w:val="004F6AC6"/>
    <w:rsid w:val="00504C5D"/>
    <w:rsid w:val="00506457"/>
    <w:rsid w:val="00506F43"/>
    <w:rsid w:val="00507357"/>
    <w:rsid w:val="00507E83"/>
    <w:rsid w:val="00510DBA"/>
    <w:rsid w:val="00511DC9"/>
    <w:rsid w:val="0051445C"/>
    <w:rsid w:val="005151EE"/>
    <w:rsid w:val="00516760"/>
    <w:rsid w:val="005201DD"/>
    <w:rsid w:val="0052089E"/>
    <w:rsid w:val="00521737"/>
    <w:rsid w:val="00524D03"/>
    <w:rsid w:val="005254A9"/>
    <w:rsid w:val="005254EE"/>
    <w:rsid w:val="005258E5"/>
    <w:rsid w:val="00525DB3"/>
    <w:rsid w:val="00527108"/>
    <w:rsid w:val="00527C43"/>
    <w:rsid w:val="00527D21"/>
    <w:rsid w:val="0053040A"/>
    <w:rsid w:val="00530BC8"/>
    <w:rsid w:val="00530F1C"/>
    <w:rsid w:val="00531689"/>
    <w:rsid w:val="00531FE6"/>
    <w:rsid w:val="00534B37"/>
    <w:rsid w:val="00534CA5"/>
    <w:rsid w:val="00535F85"/>
    <w:rsid w:val="005363AE"/>
    <w:rsid w:val="005403C4"/>
    <w:rsid w:val="00540E77"/>
    <w:rsid w:val="005429E3"/>
    <w:rsid w:val="00543ED6"/>
    <w:rsid w:val="0054654C"/>
    <w:rsid w:val="00550597"/>
    <w:rsid w:val="00551146"/>
    <w:rsid w:val="00551584"/>
    <w:rsid w:val="005516DC"/>
    <w:rsid w:val="00554E31"/>
    <w:rsid w:val="00556C02"/>
    <w:rsid w:val="005576C5"/>
    <w:rsid w:val="00563B8B"/>
    <w:rsid w:val="00563EEC"/>
    <w:rsid w:val="00564A4F"/>
    <w:rsid w:val="005660A1"/>
    <w:rsid w:val="005663E4"/>
    <w:rsid w:val="005664F6"/>
    <w:rsid w:val="00566680"/>
    <w:rsid w:val="00566F10"/>
    <w:rsid w:val="00567458"/>
    <w:rsid w:val="005677CC"/>
    <w:rsid w:val="00570B2C"/>
    <w:rsid w:val="00571B3F"/>
    <w:rsid w:val="00577A89"/>
    <w:rsid w:val="00580355"/>
    <w:rsid w:val="00581254"/>
    <w:rsid w:val="005823AB"/>
    <w:rsid w:val="00583787"/>
    <w:rsid w:val="00584C02"/>
    <w:rsid w:val="00585A97"/>
    <w:rsid w:val="005864B5"/>
    <w:rsid w:val="00587799"/>
    <w:rsid w:val="00587F71"/>
    <w:rsid w:val="00590885"/>
    <w:rsid w:val="00591D8D"/>
    <w:rsid w:val="0059405D"/>
    <w:rsid w:val="00594606"/>
    <w:rsid w:val="00595B90"/>
    <w:rsid w:val="00595ED9"/>
    <w:rsid w:val="005A0386"/>
    <w:rsid w:val="005A0452"/>
    <w:rsid w:val="005A0D10"/>
    <w:rsid w:val="005A1967"/>
    <w:rsid w:val="005A1BE3"/>
    <w:rsid w:val="005A1F9F"/>
    <w:rsid w:val="005A29D3"/>
    <w:rsid w:val="005A29EF"/>
    <w:rsid w:val="005A564D"/>
    <w:rsid w:val="005A599D"/>
    <w:rsid w:val="005A5C47"/>
    <w:rsid w:val="005A5E0C"/>
    <w:rsid w:val="005A675B"/>
    <w:rsid w:val="005A746F"/>
    <w:rsid w:val="005A7B84"/>
    <w:rsid w:val="005A7F57"/>
    <w:rsid w:val="005B43C9"/>
    <w:rsid w:val="005B4784"/>
    <w:rsid w:val="005B5041"/>
    <w:rsid w:val="005B5D7C"/>
    <w:rsid w:val="005C1F18"/>
    <w:rsid w:val="005C365C"/>
    <w:rsid w:val="005C45F1"/>
    <w:rsid w:val="005C4AD4"/>
    <w:rsid w:val="005C5867"/>
    <w:rsid w:val="005C6D13"/>
    <w:rsid w:val="005D0049"/>
    <w:rsid w:val="005D0059"/>
    <w:rsid w:val="005D164B"/>
    <w:rsid w:val="005D1C3F"/>
    <w:rsid w:val="005D1F0E"/>
    <w:rsid w:val="005D20D4"/>
    <w:rsid w:val="005D2C6B"/>
    <w:rsid w:val="005D3E4C"/>
    <w:rsid w:val="005D6953"/>
    <w:rsid w:val="005E4AFA"/>
    <w:rsid w:val="005E508A"/>
    <w:rsid w:val="005E54C5"/>
    <w:rsid w:val="005F6A60"/>
    <w:rsid w:val="006002CD"/>
    <w:rsid w:val="0060187C"/>
    <w:rsid w:val="00603F7C"/>
    <w:rsid w:val="00605EA5"/>
    <w:rsid w:val="00606435"/>
    <w:rsid w:val="00610350"/>
    <w:rsid w:val="00610582"/>
    <w:rsid w:val="006123B2"/>
    <w:rsid w:val="00612A40"/>
    <w:rsid w:val="00615AC4"/>
    <w:rsid w:val="00616D63"/>
    <w:rsid w:val="00617A63"/>
    <w:rsid w:val="00622BB6"/>
    <w:rsid w:val="0062460E"/>
    <w:rsid w:val="00624B62"/>
    <w:rsid w:val="00625D1A"/>
    <w:rsid w:val="00630BE3"/>
    <w:rsid w:val="00630C2B"/>
    <w:rsid w:val="00633C72"/>
    <w:rsid w:val="006347AE"/>
    <w:rsid w:val="00634B26"/>
    <w:rsid w:val="00642535"/>
    <w:rsid w:val="00642ED9"/>
    <w:rsid w:val="00643B30"/>
    <w:rsid w:val="00643B8A"/>
    <w:rsid w:val="006449E3"/>
    <w:rsid w:val="00645702"/>
    <w:rsid w:val="00645C98"/>
    <w:rsid w:val="006478F8"/>
    <w:rsid w:val="0065322D"/>
    <w:rsid w:val="00653741"/>
    <w:rsid w:val="0065481F"/>
    <w:rsid w:val="00655FE9"/>
    <w:rsid w:val="00656998"/>
    <w:rsid w:val="006570B5"/>
    <w:rsid w:val="00660A2F"/>
    <w:rsid w:val="00661A15"/>
    <w:rsid w:val="00661D54"/>
    <w:rsid w:val="00664C04"/>
    <w:rsid w:val="00666442"/>
    <w:rsid w:val="00671289"/>
    <w:rsid w:val="00671BCB"/>
    <w:rsid w:val="00671E8A"/>
    <w:rsid w:val="00672197"/>
    <w:rsid w:val="00672803"/>
    <w:rsid w:val="00674A61"/>
    <w:rsid w:val="00674C8B"/>
    <w:rsid w:val="00675519"/>
    <w:rsid w:val="006755B0"/>
    <w:rsid w:val="006758FD"/>
    <w:rsid w:val="00676F16"/>
    <w:rsid w:val="00677C01"/>
    <w:rsid w:val="00683C10"/>
    <w:rsid w:val="00685920"/>
    <w:rsid w:val="00687999"/>
    <w:rsid w:val="006879B7"/>
    <w:rsid w:val="0069132E"/>
    <w:rsid w:val="00696B04"/>
    <w:rsid w:val="006A3BB4"/>
    <w:rsid w:val="006A4D52"/>
    <w:rsid w:val="006A524E"/>
    <w:rsid w:val="006A57C8"/>
    <w:rsid w:val="006A5B2C"/>
    <w:rsid w:val="006A6089"/>
    <w:rsid w:val="006A7DF2"/>
    <w:rsid w:val="006B0CB2"/>
    <w:rsid w:val="006B2493"/>
    <w:rsid w:val="006B563A"/>
    <w:rsid w:val="006C15F7"/>
    <w:rsid w:val="006C1739"/>
    <w:rsid w:val="006C5320"/>
    <w:rsid w:val="006C5955"/>
    <w:rsid w:val="006C60E2"/>
    <w:rsid w:val="006C63B6"/>
    <w:rsid w:val="006D08E7"/>
    <w:rsid w:val="006D533F"/>
    <w:rsid w:val="006D5900"/>
    <w:rsid w:val="006D6B6F"/>
    <w:rsid w:val="006D700A"/>
    <w:rsid w:val="006E0370"/>
    <w:rsid w:val="006E037E"/>
    <w:rsid w:val="006E1013"/>
    <w:rsid w:val="006E1BFA"/>
    <w:rsid w:val="006E2D59"/>
    <w:rsid w:val="006E2EF2"/>
    <w:rsid w:val="006E52B8"/>
    <w:rsid w:val="006E75B1"/>
    <w:rsid w:val="006E7735"/>
    <w:rsid w:val="006E7854"/>
    <w:rsid w:val="006F0DB0"/>
    <w:rsid w:val="006F0FD1"/>
    <w:rsid w:val="006F1190"/>
    <w:rsid w:val="006F1E80"/>
    <w:rsid w:val="006F492F"/>
    <w:rsid w:val="0070059E"/>
    <w:rsid w:val="00700A13"/>
    <w:rsid w:val="00702555"/>
    <w:rsid w:val="00703C8E"/>
    <w:rsid w:val="00707F0E"/>
    <w:rsid w:val="00710C22"/>
    <w:rsid w:val="007121A8"/>
    <w:rsid w:val="007128BD"/>
    <w:rsid w:val="00712AD9"/>
    <w:rsid w:val="00713BF9"/>
    <w:rsid w:val="00713C81"/>
    <w:rsid w:val="00713DE8"/>
    <w:rsid w:val="00714287"/>
    <w:rsid w:val="00715B50"/>
    <w:rsid w:val="007160F7"/>
    <w:rsid w:val="00720F84"/>
    <w:rsid w:val="00721CF8"/>
    <w:rsid w:val="0072217B"/>
    <w:rsid w:val="00722AB2"/>
    <w:rsid w:val="00725764"/>
    <w:rsid w:val="00726B3E"/>
    <w:rsid w:val="00727563"/>
    <w:rsid w:val="00730D15"/>
    <w:rsid w:val="0073258F"/>
    <w:rsid w:val="00735326"/>
    <w:rsid w:val="00735497"/>
    <w:rsid w:val="007372E2"/>
    <w:rsid w:val="00737860"/>
    <w:rsid w:val="00740829"/>
    <w:rsid w:val="00742310"/>
    <w:rsid w:val="00742A42"/>
    <w:rsid w:val="007452B4"/>
    <w:rsid w:val="00757C17"/>
    <w:rsid w:val="00760151"/>
    <w:rsid w:val="00760EAB"/>
    <w:rsid w:val="00762F70"/>
    <w:rsid w:val="00762FB0"/>
    <w:rsid w:val="00765823"/>
    <w:rsid w:val="0077175E"/>
    <w:rsid w:val="0077205B"/>
    <w:rsid w:val="00772CA3"/>
    <w:rsid w:val="0077462C"/>
    <w:rsid w:val="00775B71"/>
    <w:rsid w:val="00777112"/>
    <w:rsid w:val="00782826"/>
    <w:rsid w:val="00783E0D"/>
    <w:rsid w:val="00787BE6"/>
    <w:rsid w:val="007900D1"/>
    <w:rsid w:val="00790AAB"/>
    <w:rsid w:val="007916D8"/>
    <w:rsid w:val="007916E9"/>
    <w:rsid w:val="007917DA"/>
    <w:rsid w:val="0079192F"/>
    <w:rsid w:val="00791B4C"/>
    <w:rsid w:val="007929C0"/>
    <w:rsid w:val="00793680"/>
    <w:rsid w:val="007937B2"/>
    <w:rsid w:val="007A0978"/>
    <w:rsid w:val="007A4BAB"/>
    <w:rsid w:val="007A55C5"/>
    <w:rsid w:val="007A5815"/>
    <w:rsid w:val="007B0766"/>
    <w:rsid w:val="007B1814"/>
    <w:rsid w:val="007B247C"/>
    <w:rsid w:val="007B3F45"/>
    <w:rsid w:val="007B46F2"/>
    <w:rsid w:val="007C0436"/>
    <w:rsid w:val="007C22E7"/>
    <w:rsid w:val="007C2BE7"/>
    <w:rsid w:val="007C4300"/>
    <w:rsid w:val="007C4A2F"/>
    <w:rsid w:val="007C4BE0"/>
    <w:rsid w:val="007C4E61"/>
    <w:rsid w:val="007C5A77"/>
    <w:rsid w:val="007C6732"/>
    <w:rsid w:val="007C7807"/>
    <w:rsid w:val="007D1326"/>
    <w:rsid w:val="007D1D17"/>
    <w:rsid w:val="007D1E92"/>
    <w:rsid w:val="007D37AF"/>
    <w:rsid w:val="007D3DA3"/>
    <w:rsid w:val="007D57B6"/>
    <w:rsid w:val="007E0B59"/>
    <w:rsid w:val="007E0F57"/>
    <w:rsid w:val="007E1FBD"/>
    <w:rsid w:val="007E3726"/>
    <w:rsid w:val="007E5539"/>
    <w:rsid w:val="007E67BF"/>
    <w:rsid w:val="007E6C33"/>
    <w:rsid w:val="007E75FC"/>
    <w:rsid w:val="007E7CE1"/>
    <w:rsid w:val="007F246C"/>
    <w:rsid w:val="007F270F"/>
    <w:rsid w:val="007F37DC"/>
    <w:rsid w:val="007F4B8B"/>
    <w:rsid w:val="007F5052"/>
    <w:rsid w:val="007F644A"/>
    <w:rsid w:val="007F7E1E"/>
    <w:rsid w:val="00802940"/>
    <w:rsid w:val="00803252"/>
    <w:rsid w:val="00803681"/>
    <w:rsid w:val="00805967"/>
    <w:rsid w:val="00806D73"/>
    <w:rsid w:val="00810F80"/>
    <w:rsid w:val="00813FED"/>
    <w:rsid w:val="00814B07"/>
    <w:rsid w:val="0081517C"/>
    <w:rsid w:val="0082031E"/>
    <w:rsid w:val="008204CB"/>
    <w:rsid w:val="008225D0"/>
    <w:rsid w:val="0082699C"/>
    <w:rsid w:val="008307DA"/>
    <w:rsid w:val="00832CB0"/>
    <w:rsid w:val="00834141"/>
    <w:rsid w:val="00841176"/>
    <w:rsid w:val="00842113"/>
    <w:rsid w:val="00842582"/>
    <w:rsid w:val="00843179"/>
    <w:rsid w:val="0084779B"/>
    <w:rsid w:val="0085185A"/>
    <w:rsid w:val="00852DA9"/>
    <w:rsid w:val="00852F91"/>
    <w:rsid w:val="008530A7"/>
    <w:rsid w:val="008541FB"/>
    <w:rsid w:val="008543AF"/>
    <w:rsid w:val="00855B70"/>
    <w:rsid w:val="00857C40"/>
    <w:rsid w:val="008603BD"/>
    <w:rsid w:val="00860B69"/>
    <w:rsid w:val="00862CD1"/>
    <w:rsid w:val="0086739E"/>
    <w:rsid w:val="00874FFA"/>
    <w:rsid w:val="00875C40"/>
    <w:rsid w:val="00876B46"/>
    <w:rsid w:val="008773B0"/>
    <w:rsid w:val="00877DA9"/>
    <w:rsid w:val="00882628"/>
    <w:rsid w:val="0089144E"/>
    <w:rsid w:val="0089328F"/>
    <w:rsid w:val="00894964"/>
    <w:rsid w:val="00894C46"/>
    <w:rsid w:val="00895083"/>
    <w:rsid w:val="00895219"/>
    <w:rsid w:val="00895BA6"/>
    <w:rsid w:val="00895CB2"/>
    <w:rsid w:val="00897495"/>
    <w:rsid w:val="008A0563"/>
    <w:rsid w:val="008A0B7E"/>
    <w:rsid w:val="008A1262"/>
    <w:rsid w:val="008A181B"/>
    <w:rsid w:val="008A1AF0"/>
    <w:rsid w:val="008A2C24"/>
    <w:rsid w:val="008A4C9C"/>
    <w:rsid w:val="008A54D0"/>
    <w:rsid w:val="008A6433"/>
    <w:rsid w:val="008A71F0"/>
    <w:rsid w:val="008B044B"/>
    <w:rsid w:val="008B09C4"/>
    <w:rsid w:val="008B0E04"/>
    <w:rsid w:val="008B195A"/>
    <w:rsid w:val="008C2FE6"/>
    <w:rsid w:val="008C32AB"/>
    <w:rsid w:val="008C5988"/>
    <w:rsid w:val="008C7E74"/>
    <w:rsid w:val="008D084A"/>
    <w:rsid w:val="008D0ADA"/>
    <w:rsid w:val="008D48AF"/>
    <w:rsid w:val="008D4A26"/>
    <w:rsid w:val="008D4CA6"/>
    <w:rsid w:val="008D5935"/>
    <w:rsid w:val="008D5DAC"/>
    <w:rsid w:val="008D5E04"/>
    <w:rsid w:val="008D616B"/>
    <w:rsid w:val="008E0E35"/>
    <w:rsid w:val="008E1742"/>
    <w:rsid w:val="008E2E51"/>
    <w:rsid w:val="008E3D81"/>
    <w:rsid w:val="008E5CF6"/>
    <w:rsid w:val="008E7712"/>
    <w:rsid w:val="008F1F8C"/>
    <w:rsid w:val="008F2870"/>
    <w:rsid w:val="008F2925"/>
    <w:rsid w:val="008F4872"/>
    <w:rsid w:val="008F516C"/>
    <w:rsid w:val="008F5F77"/>
    <w:rsid w:val="00904411"/>
    <w:rsid w:val="00913170"/>
    <w:rsid w:val="009134A9"/>
    <w:rsid w:val="0091368F"/>
    <w:rsid w:val="009202B0"/>
    <w:rsid w:val="00922744"/>
    <w:rsid w:val="00922DFD"/>
    <w:rsid w:val="00923396"/>
    <w:rsid w:val="00926591"/>
    <w:rsid w:val="00927DC5"/>
    <w:rsid w:val="009316EC"/>
    <w:rsid w:val="00935318"/>
    <w:rsid w:val="009373DB"/>
    <w:rsid w:val="00937DCF"/>
    <w:rsid w:val="00940AFA"/>
    <w:rsid w:val="00940C27"/>
    <w:rsid w:val="00943069"/>
    <w:rsid w:val="00945369"/>
    <w:rsid w:val="009454EA"/>
    <w:rsid w:val="00945F4C"/>
    <w:rsid w:val="00946AB8"/>
    <w:rsid w:val="00947F4D"/>
    <w:rsid w:val="009504BB"/>
    <w:rsid w:val="0095274C"/>
    <w:rsid w:val="0095339D"/>
    <w:rsid w:val="00954DD7"/>
    <w:rsid w:val="00956837"/>
    <w:rsid w:val="00963271"/>
    <w:rsid w:val="00970AFD"/>
    <w:rsid w:val="00971119"/>
    <w:rsid w:val="00971DB5"/>
    <w:rsid w:val="00973326"/>
    <w:rsid w:val="00975153"/>
    <w:rsid w:val="00976007"/>
    <w:rsid w:val="009764D8"/>
    <w:rsid w:val="00976D39"/>
    <w:rsid w:val="009770B4"/>
    <w:rsid w:val="00977D5F"/>
    <w:rsid w:val="00980110"/>
    <w:rsid w:val="009837EA"/>
    <w:rsid w:val="00984C73"/>
    <w:rsid w:val="00985FFF"/>
    <w:rsid w:val="00986D8A"/>
    <w:rsid w:val="009877B5"/>
    <w:rsid w:val="00987E5D"/>
    <w:rsid w:val="009906AB"/>
    <w:rsid w:val="009908B0"/>
    <w:rsid w:val="0099120F"/>
    <w:rsid w:val="00992016"/>
    <w:rsid w:val="00992371"/>
    <w:rsid w:val="00993879"/>
    <w:rsid w:val="0099655C"/>
    <w:rsid w:val="00996C75"/>
    <w:rsid w:val="009A0394"/>
    <w:rsid w:val="009A053E"/>
    <w:rsid w:val="009A3D18"/>
    <w:rsid w:val="009A3DDE"/>
    <w:rsid w:val="009A5998"/>
    <w:rsid w:val="009A6147"/>
    <w:rsid w:val="009A6DE6"/>
    <w:rsid w:val="009A75E5"/>
    <w:rsid w:val="009A7E5B"/>
    <w:rsid w:val="009B4D65"/>
    <w:rsid w:val="009B5D48"/>
    <w:rsid w:val="009C01DB"/>
    <w:rsid w:val="009C178C"/>
    <w:rsid w:val="009C3363"/>
    <w:rsid w:val="009C4DEC"/>
    <w:rsid w:val="009C610E"/>
    <w:rsid w:val="009D043C"/>
    <w:rsid w:val="009D0C4C"/>
    <w:rsid w:val="009D2278"/>
    <w:rsid w:val="009D4FA9"/>
    <w:rsid w:val="009D555B"/>
    <w:rsid w:val="009D5ED7"/>
    <w:rsid w:val="009D6DCD"/>
    <w:rsid w:val="009D7B0A"/>
    <w:rsid w:val="009E0B9E"/>
    <w:rsid w:val="009E5EAA"/>
    <w:rsid w:val="009E7E80"/>
    <w:rsid w:val="009F1634"/>
    <w:rsid w:val="009F1A56"/>
    <w:rsid w:val="009F2275"/>
    <w:rsid w:val="009F23FD"/>
    <w:rsid w:val="009F2A32"/>
    <w:rsid w:val="009F51A7"/>
    <w:rsid w:val="009F73F3"/>
    <w:rsid w:val="00A00F57"/>
    <w:rsid w:val="00A021DB"/>
    <w:rsid w:val="00A042B4"/>
    <w:rsid w:val="00A05164"/>
    <w:rsid w:val="00A10938"/>
    <w:rsid w:val="00A10E29"/>
    <w:rsid w:val="00A11088"/>
    <w:rsid w:val="00A11C26"/>
    <w:rsid w:val="00A152A2"/>
    <w:rsid w:val="00A17081"/>
    <w:rsid w:val="00A2691C"/>
    <w:rsid w:val="00A27CDA"/>
    <w:rsid w:val="00A30DC6"/>
    <w:rsid w:val="00A3137A"/>
    <w:rsid w:val="00A31474"/>
    <w:rsid w:val="00A31CF8"/>
    <w:rsid w:val="00A31FA5"/>
    <w:rsid w:val="00A33446"/>
    <w:rsid w:val="00A33FAF"/>
    <w:rsid w:val="00A347DE"/>
    <w:rsid w:val="00A351F9"/>
    <w:rsid w:val="00A355E2"/>
    <w:rsid w:val="00A35C7D"/>
    <w:rsid w:val="00A379DD"/>
    <w:rsid w:val="00A402A0"/>
    <w:rsid w:val="00A428AD"/>
    <w:rsid w:val="00A42D68"/>
    <w:rsid w:val="00A46137"/>
    <w:rsid w:val="00A462A1"/>
    <w:rsid w:val="00A468C6"/>
    <w:rsid w:val="00A47DC3"/>
    <w:rsid w:val="00A50773"/>
    <w:rsid w:val="00A50AE5"/>
    <w:rsid w:val="00A51385"/>
    <w:rsid w:val="00A53B97"/>
    <w:rsid w:val="00A560F3"/>
    <w:rsid w:val="00A565F6"/>
    <w:rsid w:val="00A5685F"/>
    <w:rsid w:val="00A570EA"/>
    <w:rsid w:val="00A577B2"/>
    <w:rsid w:val="00A602F3"/>
    <w:rsid w:val="00A60585"/>
    <w:rsid w:val="00A61472"/>
    <w:rsid w:val="00A61E0D"/>
    <w:rsid w:val="00A64D9E"/>
    <w:rsid w:val="00A65C12"/>
    <w:rsid w:val="00A703E8"/>
    <w:rsid w:val="00A71334"/>
    <w:rsid w:val="00A73286"/>
    <w:rsid w:val="00A74CF9"/>
    <w:rsid w:val="00A76398"/>
    <w:rsid w:val="00A837C3"/>
    <w:rsid w:val="00A846F6"/>
    <w:rsid w:val="00A86014"/>
    <w:rsid w:val="00A8617D"/>
    <w:rsid w:val="00A86AAD"/>
    <w:rsid w:val="00A90B76"/>
    <w:rsid w:val="00A96C33"/>
    <w:rsid w:val="00A96F86"/>
    <w:rsid w:val="00A97EDD"/>
    <w:rsid w:val="00AA12AB"/>
    <w:rsid w:val="00AA1AA1"/>
    <w:rsid w:val="00AA1CCF"/>
    <w:rsid w:val="00AA2D04"/>
    <w:rsid w:val="00AA30E6"/>
    <w:rsid w:val="00AA35D9"/>
    <w:rsid w:val="00AA51EE"/>
    <w:rsid w:val="00AA6BBC"/>
    <w:rsid w:val="00AB1725"/>
    <w:rsid w:val="00AB196B"/>
    <w:rsid w:val="00AB2FD0"/>
    <w:rsid w:val="00AB3FF3"/>
    <w:rsid w:val="00AB7C5D"/>
    <w:rsid w:val="00AC1BC1"/>
    <w:rsid w:val="00AC1D45"/>
    <w:rsid w:val="00AC1F31"/>
    <w:rsid w:val="00AC203A"/>
    <w:rsid w:val="00AC2530"/>
    <w:rsid w:val="00AC28B1"/>
    <w:rsid w:val="00AC2FAF"/>
    <w:rsid w:val="00AC3465"/>
    <w:rsid w:val="00AC5050"/>
    <w:rsid w:val="00AC5156"/>
    <w:rsid w:val="00AC5C84"/>
    <w:rsid w:val="00AC6EC7"/>
    <w:rsid w:val="00AC7496"/>
    <w:rsid w:val="00AD183B"/>
    <w:rsid w:val="00AD3B0B"/>
    <w:rsid w:val="00AD6D8E"/>
    <w:rsid w:val="00AD7E20"/>
    <w:rsid w:val="00AE0D0D"/>
    <w:rsid w:val="00AE2B26"/>
    <w:rsid w:val="00AE553C"/>
    <w:rsid w:val="00AE6236"/>
    <w:rsid w:val="00AE6F2A"/>
    <w:rsid w:val="00AE7520"/>
    <w:rsid w:val="00AE7BDB"/>
    <w:rsid w:val="00AF5DDD"/>
    <w:rsid w:val="00AF7B65"/>
    <w:rsid w:val="00B01108"/>
    <w:rsid w:val="00B02D0C"/>
    <w:rsid w:val="00B03152"/>
    <w:rsid w:val="00B05767"/>
    <w:rsid w:val="00B10246"/>
    <w:rsid w:val="00B1265E"/>
    <w:rsid w:val="00B1306A"/>
    <w:rsid w:val="00B1605A"/>
    <w:rsid w:val="00B17A27"/>
    <w:rsid w:val="00B20AA8"/>
    <w:rsid w:val="00B231A8"/>
    <w:rsid w:val="00B2363B"/>
    <w:rsid w:val="00B236B7"/>
    <w:rsid w:val="00B23A8D"/>
    <w:rsid w:val="00B2663A"/>
    <w:rsid w:val="00B2773B"/>
    <w:rsid w:val="00B3082A"/>
    <w:rsid w:val="00B3142E"/>
    <w:rsid w:val="00B315B1"/>
    <w:rsid w:val="00B357C4"/>
    <w:rsid w:val="00B375DB"/>
    <w:rsid w:val="00B40B5E"/>
    <w:rsid w:val="00B42308"/>
    <w:rsid w:val="00B423FC"/>
    <w:rsid w:val="00B46CBD"/>
    <w:rsid w:val="00B46D9F"/>
    <w:rsid w:val="00B50353"/>
    <w:rsid w:val="00B50DB3"/>
    <w:rsid w:val="00B50E66"/>
    <w:rsid w:val="00B51F67"/>
    <w:rsid w:val="00B52359"/>
    <w:rsid w:val="00B524D7"/>
    <w:rsid w:val="00B52C2B"/>
    <w:rsid w:val="00B53AEA"/>
    <w:rsid w:val="00B5573F"/>
    <w:rsid w:val="00B56F09"/>
    <w:rsid w:val="00B62CCD"/>
    <w:rsid w:val="00B64B91"/>
    <w:rsid w:val="00B706A8"/>
    <w:rsid w:val="00B709A6"/>
    <w:rsid w:val="00B74FC7"/>
    <w:rsid w:val="00B76801"/>
    <w:rsid w:val="00B77538"/>
    <w:rsid w:val="00B80E97"/>
    <w:rsid w:val="00B82079"/>
    <w:rsid w:val="00B8279B"/>
    <w:rsid w:val="00B8442C"/>
    <w:rsid w:val="00B847E7"/>
    <w:rsid w:val="00B85BBB"/>
    <w:rsid w:val="00B86521"/>
    <w:rsid w:val="00B92711"/>
    <w:rsid w:val="00B95B49"/>
    <w:rsid w:val="00B970F0"/>
    <w:rsid w:val="00B97383"/>
    <w:rsid w:val="00BA511E"/>
    <w:rsid w:val="00BA6ABB"/>
    <w:rsid w:val="00BB0F7A"/>
    <w:rsid w:val="00BB10E8"/>
    <w:rsid w:val="00BB2166"/>
    <w:rsid w:val="00BB2485"/>
    <w:rsid w:val="00BB4DA9"/>
    <w:rsid w:val="00BB6895"/>
    <w:rsid w:val="00BB73EF"/>
    <w:rsid w:val="00BC630D"/>
    <w:rsid w:val="00BC6DC8"/>
    <w:rsid w:val="00BD0AE9"/>
    <w:rsid w:val="00BD103D"/>
    <w:rsid w:val="00BD3173"/>
    <w:rsid w:val="00BD41DD"/>
    <w:rsid w:val="00BD5415"/>
    <w:rsid w:val="00BD681D"/>
    <w:rsid w:val="00BE14A8"/>
    <w:rsid w:val="00BE1B55"/>
    <w:rsid w:val="00BE279B"/>
    <w:rsid w:val="00BE46B0"/>
    <w:rsid w:val="00BE5A0B"/>
    <w:rsid w:val="00BE5F7C"/>
    <w:rsid w:val="00BE68FD"/>
    <w:rsid w:val="00BF09F0"/>
    <w:rsid w:val="00BF0AC7"/>
    <w:rsid w:val="00BF26C0"/>
    <w:rsid w:val="00BF337D"/>
    <w:rsid w:val="00BF363A"/>
    <w:rsid w:val="00BF4033"/>
    <w:rsid w:val="00BF635B"/>
    <w:rsid w:val="00C03B18"/>
    <w:rsid w:val="00C05076"/>
    <w:rsid w:val="00C06BC3"/>
    <w:rsid w:val="00C075AF"/>
    <w:rsid w:val="00C10005"/>
    <w:rsid w:val="00C10723"/>
    <w:rsid w:val="00C11B01"/>
    <w:rsid w:val="00C13EBC"/>
    <w:rsid w:val="00C1447C"/>
    <w:rsid w:val="00C14EB8"/>
    <w:rsid w:val="00C15444"/>
    <w:rsid w:val="00C15878"/>
    <w:rsid w:val="00C21E1C"/>
    <w:rsid w:val="00C2329E"/>
    <w:rsid w:val="00C25BC8"/>
    <w:rsid w:val="00C27BAB"/>
    <w:rsid w:val="00C27E3A"/>
    <w:rsid w:val="00C31F74"/>
    <w:rsid w:val="00C320C9"/>
    <w:rsid w:val="00C32684"/>
    <w:rsid w:val="00C32ADC"/>
    <w:rsid w:val="00C37103"/>
    <w:rsid w:val="00C373CD"/>
    <w:rsid w:val="00C37B4D"/>
    <w:rsid w:val="00C43FE7"/>
    <w:rsid w:val="00C44377"/>
    <w:rsid w:val="00C4482F"/>
    <w:rsid w:val="00C44BE5"/>
    <w:rsid w:val="00C45CFE"/>
    <w:rsid w:val="00C46C02"/>
    <w:rsid w:val="00C50FA5"/>
    <w:rsid w:val="00C51127"/>
    <w:rsid w:val="00C51330"/>
    <w:rsid w:val="00C52038"/>
    <w:rsid w:val="00C5315C"/>
    <w:rsid w:val="00C545A7"/>
    <w:rsid w:val="00C5538D"/>
    <w:rsid w:val="00C57E4A"/>
    <w:rsid w:val="00C61631"/>
    <w:rsid w:val="00C618D5"/>
    <w:rsid w:val="00C64DDC"/>
    <w:rsid w:val="00C72303"/>
    <w:rsid w:val="00C73117"/>
    <w:rsid w:val="00C7388B"/>
    <w:rsid w:val="00C77868"/>
    <w:rsid w:val="00C77BE1"/>
    <w:rsid w:val="00C81256"/>
    <w:rsid w:val="00C822A5"/>
    <w:rsid w:val="00C823D5"/>
    <w:rsid w:val="00C8391A"/>
    <w:rsid w:val="00C83C71"/>
    <w:rsid w:val="00C907FA"/>
    <w:rsid w:val="00C91CC8"/>
    <w:rsid w:val="00C94668"/>
    <w:rsid w:val="00C94E3B"/>
    <w:rsid w:val="00C96FDB"/>
    <w:rsid w:val="00CA030B"/>
    <w:rsid w:val="00CA2012"/>
    <w:rsid w:val="00CA2136"/>
    <w:rsid w:val="00CA6EC1"/>
    <w:rsid w:val="00CB182E"/>
    <w:rsid w:val="00CB258D"/>
    <w:rsid w:val="00CB2956"/>
    <w:rsid w:val="00CB2D9D"/>
    <w:rsid w:val="00CB2F8B"/>
    <w:rsid w:val="00CB3C6D"/>
    <w:rsid w:val="00CB418D"/>
    <w:rsid w:val="00CB7BAD"/>
    <w:rsid w:val="00CC46CE"/>
    <w:rsid w:val="00CC50BE"/>
    <w:rsid w:val="00CC6B86"/>
    <w:rsid w:val="00CC6F43"/>
    <w:rsid w:val="00CD0ADA"/>
    <w:rsid w:val="00CD2F78"/>
    <w:rsid w:val="00CD644C"/>
    <w:rsid w:val="00CD65D8"/>
    <w:rsid w:val="00CD7616"/>
    <w:rsid w:val="00CE0F0B"/>
    <w:rsid w:val="00CE1404"/>
    <w:rsid w:val="00CE2AAA"/>
    <w:rsid w:val="00CE3D29"/>
    <w:rsid w:val="00CE5E5B"/>
    <w:rsid w:val="00CE6C0B"/>
    <w:rsid w:val="00CF03C1"/>
    <w:rsid w:val="00CF549A"/>
    <w:rsid w:val="00CF551B"/>
    <w:rsid w:val="00D0163C"/>
    <w:rsid w:val="00D01D0C"/>
    <w:rsid w:val="00D02FCE"/>
    <w:rsid w:val="00D03FEF"/>
    <w:rsid w:val="00D04351"/>
    <w:rsid w:val="00D05D68"/>
    <w:rsid w:val="00D0689C"/>
    <w:rsid w:val="00D10EE2"/>
    <w:rsid w:val="00D12F48"/>
    <w:rsid w:val="00D13A9A"/>
    <w:rsid w:val="00D14133"/>
    <w:rsid w:val="00D145AF"/>
    <w:rsid w:val="00D23250"/>
    <w:rsid w:val="00D23A98"/>
    <w:rsid w:val="00D24CCE"/>
    <w:rsid w:val="00D25764"/>
    <w:rsid w:val="00D25E89"/>
    <w:rsid w:val="00D314F5"/>
    <w:rsid w:val="00D319FA"/>
    <w:rsid w:val="00D352BC"/>
    <w:rsid w:val="00D3577F"/>
    <w:rsid w:val="00D362DB"/>
    <w:rsid w:val="00D364D6"/>
    <w:rsid w:val="00D37585"/>
    <w:rsid w:val="00D40A2D"/>
    <w:rsid w:val="00D43B13"/>
    <w:rsid w:val="00D44B44"/>
    <w:rsid w:val="00D519AE"/>
    <w:rsid w:val="00D51F85"/>
    <w:rsid w:val="00D521F2"/>
    <w:rsid w:val="00D52CBE"/>
    <w:rsid w:val="00D56664"/>
    <w:rsid w:val="00D5727B"/>
    <w:rsid w:val="00D60478"/>
    <w:rsid w:val="00D623EB"/>
    <w:rsid w:val="00D63886"/>
    <w:rsid w:val="00D65780"/>
    <w:rsid w:val="00D65B5A"/>
    <w:rsid w:val="00D70597"/>
    <w:rsid w:val="00D72229"/>
    <w:rsid w:val="00D73941"/>
    <w:rsid w:val="00D816FA"/>
    <w:rsid w:val="00D818CE"/>
    <w:rsid w:val="00D824D9"/>
    <w:rsid w:val="00D82601"/>
    <w:rsid w:val="00D86DC3"/>
    <w:rsid w:val="00D91F81"/>
    <w:rsid w:val="00D926A9"/>
    <w:rsid w:val="00D92A1D"/>
    <w:rsid w:val="00D9395C"/>
    <w:rsid w:val="00D9546E"/>
    <w:rsid w:val="00D954C8"/>
    <w:rsid w:val="00D95DDB"/>
    <w:rsid w:val="00DA15FA"/>
    <w:rsid w:val="00DA30D9"/>
    <w:rsid w:val="00DA7035"/>
    <w:rsid w:val="00DA791D"/>
    <w:rsid w:val="00DB1515"/>
    <w:rsid w:val="00DB400A"/>
    <w:rsid w:val="00DB4ABF"/>
    <w:rsid w:val="00DB4D84"/>
    <w:rsid w:val="00DB735B"/>
    <w:rsid w:val="00DB7B2C"/>
    <w:rsid w:val="00DC253E"/>
    <w:rsid w:val="00DC277A"/>
    <w:rsid w:val="00DC374D"/>
    <w:rsid w:val="00DC3ED1"/>
    <w:rsid w:val="00DC49AC"/>
    <w:rsid w:val="00DC4BA7"/>
    <w:rsid w:val="00DC6173"/>
    <w:rsid w:val="00DC6CC0"/>
    <w:rsid w:val="00DC7F4F"/>
    <w:rsid w:val="00DD022B"/>
    <w:rsid w:val="00DD1478"/>
    <w:rsid w:val="00DD331B"/>
    <w:rsid w:val="00DE18D8"/>
    <w:rsid w:val="00DE2CC5"/>
    <w:rsid w:val="00DE37FF"/>
    <w:rsid w:val="00DE7995"/>
    <w:rsid w:val="00DF1392"/>
    <w:rsid w:val="00DF2A13"/>
    <w:rsid w:val="00DF35D5"/>
    <w:rsid w:val="00DF4F2F"/>
    <w:rsid w:val="00DF5488"/>
    <w:rsid w:val="00DF5B65"/>
    <w:rsid w:val="00E01090"/>
    <w:rsid w:val="00E01E02"/>
    <w:rsid w:val="00E05A38"/>
    <w:rsid w:val="00E066F4"/>
    <w:rsid w:val="00E10ECA"/>
    <w:rsid w:val="00E11DFA"/>
    <w:rsid w:val="00E1282F"/>
    <w:rsid w:val="00E137BF"/>
    <w:rsid w:val="00E13ABE"/>
    <w:rsid w:val="00E13B52"/>
    <w:rsid w:val="00E13B89"/>
    <w:rsid w:val="00E13EEF"/>
    <w:rsid w:val="00E141B7"/>
    <w:rsid w:val="00E15385"/>
    <w:rsid w:val="00E15471"/>
    <w:rsid w:val="00E162A6"/>
    <w:rsid w:val="00E16B3E"/>
    <w:rsid w:val="00E17991"/>
    <w:rsid w:val="00E17CC6"/>
    <w:rsid w:val="00E24B14"/>
    <w:rsid w:val="00E264F3"/>
    <w:rsid w:val="00E2670D"/>
    <w:rsid w:val="00E26723"/>
    <w:rsid w:val="00E304E8"/>
    <w:rsid w:val="00E313DC"/>
    <w:rsid w:val="00E35491"/>
    <w:rsid w:val="00E428C5"/>
    <w:rsid w:val="00E4309F"/>
    <w:rsid w:val="00E435EC"/>
    <w:rsid w:val="00E43A2D"/>
    <w:rsid w:val="00E44FCA"/>
    <w:rsid w:val="00E45E91"/>
    <w:rsid w:val="00E47F4A"/>
    <w:rsid w:val="00E518F0"/>
    <w:rsid w:val="00E53E1A"/>
    <w:rsid w:val="00E54E70"/>
    <w:rsid w:val="00E61882"/>
    <w:rsid w:val="00E638D5"/>
    <w:rsid w:val="00E63F33"/>
    <w:rsid w:val="00E63F72"/>
    <w:rsid w:val="00E642CD"/>
    <w:rsid w:val="00E648B7"/>
    <w:rsid w:val="00E657E7"/>
    <w:rsid w:val="00E664EC"/>
    <w:rsid w:val="00E6785E"/>
    <w:rsid w:val="00E758DF"/>
    <w:rsid w:val="00E75C9E"/>
    <w:rsid w:val="00E779E9"/>
    <w:rsid w:val="00E77A98"/>
    <w:rsid w:val="00E8189D"/>
    <w:rsid w:val="00E828A4"/>
    <w:rsid w:val="00E866AE"/>
    <w:rsid w:val="00E90EB8"/>
    <w:rsid w:val="00EA0CF8"/>
    <w:rsid w:val="00EA1A7D"/>
    <w:rsid w:val="00EA1AEB"/>
    <w:rsid w:val="00EA1CCE"/>
    <w:rsid w:val="00EA33A3"/>
    <w:rsid w:val="00EA497E"/>
    <w:rsid w:val="00EA6898"/>
    <w:rsid w:val="00EB0D82"/>
    <w:rsid w:val="00EB5EA8"/>
    <w:rsid w:val="00EC00BE"/>
    <w:rsid w:val="00EC14D4"/>
    <w:rsid w:val="00EC1723"/>
    <w:rsid w:val="00EC228E"/>
    <w:rsid w:val="00EC3E7D"/>
    <w:rsid w:val="00EC718E"/>
    <w:rsid w:val="00EC734B"/>
    <w:rsid w:val="00ED21B5"/>
    <w:rsid w:val="00ED7723"/>
    <w:rsid w:val="00EE0AF9"/>
    <w:rsid w:val="00EE1B7E"/>
    <w:rsid w:val="00EE1FFA"/>
    <w:rsid w:val="00EE68B1"/>
    <w:rsid w:val="00EF09ED"/>
    <w:rsid w:val="00F000EA"/>
    <w:rsid w:val="00F00A11"/>
    <w:rsid w:val="00F00EDC"/>
    <w:rsid w:val="00F0204F"/>
    <w:rsid w:val="00F0280E"/>
    <w:rsid w:val="00F035DC"/>
    <w:rsid w:val="00F0575B"/>
    <w:rsid w:val="00F10BEC"/>
    <w:rsid w:val="00F12E13"/>
    <w:rsid w:val="00F12EFA"/>
    <w:rsid w:val="00F13AD4"/>
    <w:rsid w:val="00F168F7"/>
    <w:rsid w:val="00F202A3"/>
    <w:rsid w:val="00F20B47"/>
    <w:rsid w:val="00F22191"/>
    <w:rsid w:val="00F22A83"/>
    <w:rsid w:val="00F22FA9"/>
    <w:rsid w:val="00F26907"/>
    <w:rsid w:val="00F276B1"/>
    <w:rsid w:val="00F30E0B"/>
    <w:rsid w:val="00F33406"/>
    <w:rsid w:val="00F34377"/>
    <w:rsid w:val="00F35E4E"/>
    <w:rsid w:val="00F37E7D"/>
    <w:rsid w:val="00F40AFE"/>
    <w:rsid w:val="00F40BCC"/>
    <w:rsid w:val="00F40EC3"/>
    <w:rsid w:val="00F41D48"/>
    <w:rsid w:val="00F43742"/>
    <w:rsid w:val="00F44D70"/>
    <w:rsid w:val="00F4560B"/>
    <w:rsid w:val="00F45F47"/>
    <w:rsid w:val="00F52A6C"/>
    <w:rsid w:val="00F535D4"/>
    <w:rsid w:val="00F56792"/>
    <w:rsid w:val="00F5708D"/>
    <w:rsid w:val="00F5735C"/>
    <w:rsid w:val="00F65B6E"/>
    <w:rsid w:val="00F66DA1"/>
    <w:rsid w:val="00F679B1"/>
    <w:rsid w:val="00F705AF"/>
    <w:rsid w:val="00F71B9E"/>
    <w:rsid w:val="00F72BE0"/>
    <w:rsid w:val="00F73A46"/>
    <w:rsid w:val="00F756FB"/>
    <w:rsid w:val="00F764A5"/>
    <w:rsid w:val="00F765F8"/>
    <w:rsid w:val="00F77DCC"/>
    <w:rsid w:val="00F8507B"/>
    <w:rsid w:val="00F87074"/>
    <w:rsid w:val="00F905C0"/>
    <w:rsid w:val="00F90BC7"/>
    <w:rsid w:val="00F91E07"/>
    <w:rsid w:val="00F93680"/>
    <w:rsid w:val="00F937C0"/>
    <w:rsid w:val="00F96AEA"/>
    <w:rsid w:val="00F971DD"/>
    <w:rsid w:val="00FA1274"/>
    <w:rsid w:val="00FA36B2"/>
    <w:rsid w:val="00FA56B3"/>
    <w:rsid w:val="00FA7AF9"/>
    <w:rsid w:val="00FB4D45"/>
    <w:rsid w:val="00FB5AF0"/>
    <w:rsid w:val="00FB6714"/>
    <w:rsid w:val="00FB77A6"/>
    <w:rsid w:val="00FC101D"/>
    <w:rsid w:val="00FC2C1F"/>
    <w:rsid w:val="00FC4B2A"/>
    <w:rsid w:val="00FD12FB"/>
    <w:rsid w:val="00FD1683"/>
    <w:rsid w:val="00FD39A9"/>
    <w:rsid w:val="00FD46D9"/>
    <w:rsid w:val="00FD6CFE"/>
    <w:rsid w:val="00FE0335"/>
    <w:rsid w:val="00FE1AA4"/>
    <w:rsid w:val="00FE49C3"/>
    <w:rsid w:val="00FE4FFF"/>
    <w:rsid w:val="00FE604E"/>
    <w:rsid w:val="00FE67B0"/>
    <w:rsid w:val="00FF01B2"/>
    <w:rsid w:val="00FF0BD1"/>
    <w:rsid w:val="00FF5F79"/>
    <w:rsid w:val="00FF69C7"/>
    <w:rsid w:val="00FF7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9D92C0"/>
  <w15:docId w15:val="{E9B3AF94-2C32-41A9-99D9-61822824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7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24B14"/>
    <w:rPr>
      <w:rFonts w:ascii="Tahoma" w:hAnsi="Tahoma" w:cs="Tahoma"/>
      <w:sz w:val="16"/>
      <w:szCs w:val="16"/>
    </w:rPr>
  </w:style>
  <w:style w:type="paragraph" w:styleId="FootnoteText">
    <w:name w:val="footnote text"/>
    <w:aliases w:val="fn,foottextfra,footnote,F"/>
    <w:basedOn w:val="Normal"/>
    <w:semiHidden/>
    <w:rsid w:val="007E7CE1"/>
    <w:rPr>
      <w:sz w:val="20"/>
      <w:szCs w:val="20"/>
      <w:lang w:val="es-ES_tradnl"/>
    </w:rPr>
  </w:style>
  <w:style w:type="character" w:styleId="FootnoteReference">
    <w:name w:val="footnote reference"/>
    <w:semiHidden/>
    <w:rsid w:val="007E7CE1"/>
    <w:rPr>
      <w:vertAlign w:val="superscript"/>
    </w:rPr>
  </w:style>
  <w:style w:type="character" w:styleId="CommentReference">
    <w:name w:val="annotation reference"/>
    <w:rsid w:val="004835F8"/>
    <w:rPr>
      <w:sz w:val="16"/>
      <w:szCs w:val="16"/>
    </w:rPr>
  </w:style>
  <w:style w:type="paragraph" w:styleId="CommentText">
    <w:name w:val="annotation text"/>
    <w:basedOn w:val="Normal"/>
    <w:link w:val="CommentTextChar"/>
    <w:rsid w:val="004835F8"/>
    <w:rPr>
      <w:sz w:val="20"/>
      <w:szCs w:val="20"/>
    </w:rPr>
  </w:style>
  <w:style w:type="character" w:customStyle="1" w:styleId="CommentTextChar">
    <w:name w:val="Comment Text Char"/>
    <w:link w:val="CommentText"/>
    <w:rsid w:val="004835F8"/>
    <w:rPr>
      <w:lang w:val="en-US" w:eastAsia="en-US"/>
    </w:rPr>
  </w:style>
  <w:style w:type="paragraph" w:styleId="CommentSubject">
    <w:name w:val="annotation subject"/>
    <w:basedOn w:val="CommentText"/>
    <w:next w:val="CommentText"/>
    <w:link w:val="CommentSubjectChar"/>
    <w:rsid w:val="004835F8"/>
    <w:rPr>
      <w:b/>
      <w:bCs/>
    </w:rPr>
  </w:style>
  <w:style w:type="character" w:customStyle="1" w:styleId="CommentSubjectChar">
    <w:name w:val="Comment Subject Char"/>
    <w:link w:val="CommentSubject"/>
    <w:rsid w:val="004835F8"/>
    <w:rPr>
      <w:b/>
      <w:bCs/>
      <w:lang w:val="en-US" w:eastAsia="en-US"/>
    </w:rPr>
  </w:style>
  <w:style w:type="paragraph" w:styleId="PlainText">
    <w:name w:val="Plain Text"/>
    <w:basedOn w:val="Normal"/>
    <w:link w:val="PlainTextChar"/>
    <w:uiPriority w:val="99"/>
    <w:unhideWhenUsed/>
    <w:rsid w:val="00182A38"/>
    <w:rPr>
      <w:rFonts w:eastAsia="Calibri" w:cs="Consolas"/>
      <w:szCs w:val="21"/>
    </w:rPr>
  </w:style>
  <w:style w:type="character" w:customStyle="1" w:styleId="PlainTextChar">
    <w:name w:val="Plain Text Char"/>
    <w:link w:val="PlainText"/>
    <w:uiPriority w:val="99"/>
    <w:rsid w:val="00182A38"/>
    <w:rPr>
      <w:rFonts w:eastAsia="Calibri" w:cs="Consolas"/>
      <w:sz w:val="24"/>
      <w:szCs w:val="21"/>
    </w:rPr>
  </w:style>
  <w:style w:type="paragraph" w:styleId="ListParagraph">
    <w:name w:val="List Paragraph"/>
    <w:basedOn w:val="Normal"/>
    <w:uiPriority w:val="34"/>
    <w:qFormat/>
    <w:rsid w:val="00581254"/>
    <w:pPr>
      <w:ind w:left="720"/>
    </w:pPr>
    <w:rPr>
      <w:rFonts w:eastAsia="Calibri"/>
    </w:rPr>
  </w:style>
  <w:style w:type="paragraph" w:styleId="Revision">
    <w:name w:val="Revision"/>
    <w:hidden/>
    <w:uiPriority w:val="71"/>
    <w:rsid w:val="00F56792"/>
    <w:rPr>
      <w:sz w:val="24"/>
      <w:szCs w:val="24"/>
    </w:rPr>
  </w:style>
  <w:style w:type="paragraph" w:styleId="Header">
    <w:name w:val="header"/>
    <w:basedOn w:val="Normal"/>
    <w:link w:val="HeaderChar"/>
    <w:uiPriority w:val="99"/>
    <w:rsid w:val="00FD39A9"/>
    <w:pPr>
      <w:tabs>
        <w:tab w:val="center" w:pos="4513"/>
        <w:tab w:val="right" w:pos="9026"/>
      </w:tabs>
    </w:pPr>
  </w:style>
  <w:style w:type="character" w:customStyle="1" w:styleId="HeaderChar">
    <w:name w:val="Header Char"/>
    <w:basedOn w:val="DefaultParagraphFont"/>
    <w:link w:val="Header"/>
    <w:uiPriority w:val="99"/>
    <w:rsid w:val="00FD39A9"/>
    <w:rPr>
      <w:sz w:val="24"/>
      <w:szCs w:val="24"/>
    </w:rPr>
  </w:style>
  <w:style w:type="paragraph" w:styleId="Footer">
    <w:name w:val="footer"/>
    <w:basedOn w:val="Normal"/>
    <w:link w:val="FooterChar"/>
    <w:rsid w:val="00FD39A9"/>
    <w:pPr>
      <w:tabs>
        <w:tab w:val="center" w:pos="4513"/>
        <w:tab w:val="right" w:pos="9026"/>
      </w:tabs>
    </w:pPr>
  </w:style>
  <w:style w:type="character" w:customStyle="1" w:styleId="FooterChar">
    <w:name w:val="Footer Char"/>
    <w:basedOn w:val="DefaultParagraphFont"/>
    <w:link w:val="Footer"/>
    <w:rsid w:val="00FD39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402903">
      <w:bodyDiv w:val="1"/>
      <w:marLeft w:val="0"/>
      <w:marRight w:val="0"/>
      <w:marTop w:val="0"/>
      <w:marBottom w:val="0"/>
      <w:divBdr>
        <w:top w:val="none" w:sz="0" w:space="0" w:color="auto"/>
        <w:left w:val="none" w:sz="0" w:space="0" w:color="auto"/>
        <w:bottom w:val="none" w:sz="0" w:space="0" w:color="auto"/>
        <w:right w:val="none" w:sz="0" w:space="0" w:color="auto"/>
      </w:divBdr>
    </w:div>
    <w:div w:id="324166149">
      <w:bodyDiv w:val="1"/>
      <w:marLeft w:val="0"/>
      <w:marRight w:val="0"/>
      <w:marTop w:val="0"/>
      <w:marBottom w:val="0"/>
      <w:divBdr>
        <w:top w:val="none" w:sz="0" w:space="0" w:color="auto"/>
        <w:left w:val="none" w:sz="0" w:space="0" w:color="auto"/>
        <w:bottom w:val="none" w:sz="0" w:space="0" w:color="auto"/>
        <w:right w:val="none" w:sz="0" w:space="0" w:color="auto"/>
      </w:divBdr>
    </w:div>
    <w:div w:id="658078424">
      <w:bodyDiv w:val="1"/>
      <w:marLeft w:val="0"/>
      <w:marRight w:val="0"/>
      <w:marTop w:val="0"/>
      <w:marBottom w:val="0"/>
      <w:divBdr>
        <w:top w:val="none" w:sz="0" w:space="0" w:color="auto"/>
        <w:left w:val="none" w:sz="0" w:space="0" w:color="auto"/>
        <w:bottom w:val="none" w:sz="0" w:space="0" w:color="auto"/>
        <w:right w:val="none" w:sz="0" w:space="0" w:color="auto"/>
      </w:divBdr>
    </w:div>
    <w:div w:id="1043482055">
      <w:bodyDiv w:val="1"/>
      <w:marLeft w:val="0"/>
      <w:marRight w:val="0"/>
      <w:marTop w:val="0"/>
      <w:marBottom w:val="0"/>
      <w:divBdr>
        <w:top w:val="none" w:sz="0" w:space="0" w:color="auto"/>
        <w:left w:val="none" w:sz="0" w:space="0" w:color="auto"/>
        <w:bottom w:val="none" w:sz="0" w:space="0" w:color="auto"/>
        <w:right w:val="none" w:sz="0" w:space="0" w:color="auto"/>
      </w:divBdr>
    </w:div>
    <w:div w:id="1173716288">
      <w:bodyDiv w:val="1"/>
      <w:marLeft w:val="0"/>
      <w:marRight w:val="0"/>
      <w:marTop w:val="0"/>
      <w:marBottom w:val="0"/>
      <w:divBdr>
        <w:top w:val="none" w:sz="0" w:space="0" w:color="auto"/>
        <w:left w:val="none" w:sz="0" w:space="0" w:color="auto"/>
        <w:bottom w:val="none" w:sz="0" w:space="0" w:color="auto"/>
        <w:right w:val="none" w:sz="0" w:space="0" w:color="auto"/>
      </w:divBdr>
    </w:div>
    <w:div w:id="1243565645">
      <w:bodyDiv w:val="1"/>
      <w:marLeft w:val="0"/>
      <w:marRight w:val="0"/>
      <w:marTop w:val="0"/>
      <w:marBottom w:val="0"/>
      <w:divBdr>
        <w:top w:val="none" w:sz="0" w:space="0" w:color="auto"/>
        <w:left w:val="none" w:sz="0" w:space="0" w:color="auto"/>
        <w:bottom w:val="none" w:sz="0" w:space="0" w:color="auto"/>
        <w:right w:val="none" w:sz="0" w:space="0" w:color="auto"/>
      </w:divBdr>
    </w:div>
    <w:div w:id="1670983333">
      <w:bodyDiv w:val="1"/>
      <w:marLeft w:val="0"/>
      <w:marRight w:val="0"/>
      <w:marTop w:val="0"/>
      <w:marBottom w:val="0"/>
      <w:divBdr>
        <w:top w:val="none" w:sz="0" w:space="0" w:color="auto"/>
        <w:left w:val="none" w:sz="0" w:space="0" w:color="auto"/>
        <w:bottom w:val="none" w:sz="0" w:space="0" w:color="auto"/>
        <w:right w:val="none" w:sz="0" w:space="0" w:color="auto"/>
      </w:divBdr>
    </w:div>
    <w:div w:id="1769883177">
      <w:bodyDiv w:val="1"/>
      <w:marLeft w:val="0"/>
      <w:marRight w:val="0"/>
      <w:marTop w:val="0"/>
      <w:marBottom w:val="0"/>
      <w:divBdr>
        <w:top w:val="none" w:sz="0" w:space="0" w:color="auto"/>
        <w:left w:val="none" w:sz="0" w:space="0" w:color="auto"/>
        <w:bottom w:val="none" w:sz="0" w:space="0" w:color="auto"/>
        <w:right w:val="none" w:sz="0" w:space="0" w:color="auto"/>
      </w:divBdr>
    </w:div>
    <w:div w:id="1881630660">
      <w:bodyDiv w:val="1"/>
      <w:marLeft w:val="0"/>
      <w:marRight w:val="0"/>
      <w:marTop w:val="0"/>
      <w:marBottom w:val="0"/>
      <w:divBdr>
        <w:top w:val="none" w:sz="0" w:space="0" w:color="auto"/>
        <w:left w:val="none" w:sz="0" w:space="0" w:color="auto"/>
        <w:bottom w:val="none" w:sz="0" w:space="0" w:color="auto"/>
        <w:right w:val="none" w:sz="0" w:space="0" w:color="auto"/>
      </w:divBdr>
    </w:div>
    <w:div w:id="1948737322">
      <w:bodyDiv w:val="1"/>
      <w:marLeft w:val="0"/>
      <w:marRight w:val="0"/>
      <w:marTop w:val="0"/>
      <w:marBottom w:val="0"/>
      <w:divBdr>
        <w:top w:val="none" w:sz="0" w:space="0" w:color="auto"/>
        <w:left w:val="none" w:sz="0" w:space="0" w:color="auto"/>
        <w:bottom w:val="none" w:sz="0" w:space="0" w:color="auto"/>
        <w:right w:val="none" w:sz="0" w:space="0" w:color="auto"/>
      </w:divBdr>
      <w:divsChild>
        <w:div w:id="1094545832">
          <w:marLeft w:val="0"/>
          <w:marRight w:val="0"/>
          <w:marTop w:val="0"/>
          <w:marBottom w:val="0"/>
          <w:divBdr>
            <w:top w:val="none" w:sz="0" w:space="0" w:color="auto"/>
            <w:left w:val="none" w:sz="0" w:space="0" w:color="auto"/>
            <w:bottom w:val="none" w:sz="0" w:space="0" w:color="auto"/>
            <w:right w:val="none" w:sz="0" w:space="0" w:color="auto"/>
          </w:divBdr>
          <w:divsChild>
            <w:div w:id="646398265">
              <w:marLeft w:val="0"/>
              <w:marRight w:val="0"/>
              <w:marTop w:val="0"/>
              <w:marBottom w:val="0"/>
              <w:divBdr>
                <w:top w:val="none" w:sz="0" w:space="0" w:color="auto"/>
                <w:left w:val="none" w:sz="0" w:space="0" w:color="auto"/>
                <w:bottom w:val="none" w:sz="0" w:space="0" w:color="auto"/>
                <w:right w:val="none" w:sz="0" w:space="0" w:color="auto"/>
              </w:divBdr>
              <w:divsChild>
                <w:div w:id="1562322624">
                  <w:marLeft w:val="0"/>
                  <w:marRight w:val="0"/>
                  <w:marTop w:val="0"/>
                  <w:marBottom w:val="0"/>
                  <w:divBdr>
                    <w:top w:val="none" w:sz="0" w:space="0" w:color="auto"/>
                    <w:left w:val="none" w:sz="0" w:space="0" w:color="auto"/>
                    <w:bottom w:val="none" w:sz="0" w:space="0" w:color="auto"/>
                    <w:right w:val="none" w:sz="0" w:space="0" w:color="auto"/>
                  </w:divBdr>
                  <w:divsChild>
                    <w:div w:id="864170490">
                      <w:marLeft w:val="0"/>
                      <w:marRight w:val="0"/>
                      <w:marTop w:val="0"/>
                      <w:marBottom w:val="0"/>
                      <w:divBdr>
                        <w:top w:val="none" w:sz="0" w:space="0" w:color="auto"/>
                        <w:left w:val="none" w:sz="0" w:space="0" w:color="auto"/>
                        <w:bottom w:val="none" w:sz="0" w:space="0" w:color="auto"/>
                        <w:right w:val="none" w:sz="0" w:space="0" w:color="auto"/>
                      </w:divBdr>
                      <w:divsChild>
                        <w:div w:id="2053725432">
                          <w:marLeft w:val="0"/>
                          <w:marRight w:val="0"/>
                          <w:marTop w:val="0"/>
                          <w:marBottom w:val="0"/>
                          <w:divBdr>
                            <w:top w:val="none" w:sz="0" w:space="0" w:color="auto"/>
                            <w:left w:val="none" w:sz="0" w:space="0" w:color="auto"/>
                            <w:bottom w:val="none" w:sz="0" w:space="0" w:color="auto"/>
                            <w:right w:val="none" w:sz="0" w:space="0" w:color="auto"/>
                          </w:divBdr>
                          <w:divsChild>
                            <w:div w:id="897206404">
                              <w:marLeft w:val="0"/>
                              <w:marRight w:val="0"/>
                              <w:marTop w:val="0"/>
                              <w:marBottom w:val="0"/>
                              <w:divBdr>
                                <w:top w:val="none" w:sz="0" w:space="0" w:color="auto"/>
                                <w:left w:val="none" w:sz="0" w:space="0" w:color="auto"/>
                                <w:bottom w:val="none" w:sz="0" w:space="0" w:color="auto"/>
                                <w:right w:val="none" w:sz="0" w:space="0" w:color="auto"/>
                              </w:divBdr>
                              <w:divsChild>
                                <w:div w:id="1650092124">
                                  <w:marLeft w:val="0"/>
                                  <w:marRight w:val="0"/>
                                  <w:marTop w:val="0"/>
                                  <w:marBottom w:val="0"/>
                                  <w:divBdr>
                                    <w:top w:val="none" w:sz="0" w:space="0" w:color="auto"/>
                                    <w:left w:val="none" w:sz="0" w:space="0" w:color="auto"/>
                                    <w:bottom w:val="none" w:sz="0" w:space="0" w:color="auto"/>
                                    <w:right w:val="none" w:sz="0" w:space="0" w:color="auto"/>
                                  </w:divBdr>
                                  <w:divsChild>
                                    <w:div w:id="678629046">
                                      <w:marLeft w:val="0"/>
                                      <w:marRight w:val="0"/>
                                      <w:marTop w:val="0"/>
                                      <w:marBottom w:val="0"/>
                                      <w:divBdr>
                                        <w:top w:val="none" w:sz="0" w:space="0" w:color="auto"/>
                                        <w:left w:val="none" w:sz="0" w:space="0" w:color="auto"/>
                                        <w:bottom w:val="none" w:sz="0" w:space="0" w:color="auto"/>
                                        <w:right w:val="none" w:sz="0" w:space="0" w:color="auto"/>
                                      </w:divBdr>
                                      <w:divsChild>
                                        <w:div w:id="11043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0838540">
      <w:bodyDiv w:val="1"/>
      <w:marLeft w:val="0"/>
      <w:marRight w:val="0"/>
      <w:marTop w:val="0"/>
      <w:marBottom w:val="0"/>
      <w:divBdr>
        <w:top w:val="none" w:sz="0" w:space="0" w:color="auto"/>
        <w:left w:val="none" w:sz="0" w:space="0" w:color="auto"/>
        <w:bottom w:val="none" w:sz="0" w:space="0" w:color="auto"/>
        <w:right w:val="none" w:sz="0" w:space="0" w:color="auto"/>
      </w:divBdr>
    </w:div>
    <w:div w:id="2074156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9A982F210A0E04AAB48509D0B80C42B" ma:contentTypeVersion="497" ma:contentTypeDescription="The base project type from which other project content types inherit their information." ma:contentTypeScope="" ma:versionID="9d0bf9445399888584b2518741fbed23">
  <xsd:schema xmlns:xsd="http://www.w3.org/2001/XMLSchema" xmlns:xs="http://www.w3.org/2001/XMLSchema" xmlns:p="http://schemas.microsoft.com/office/2006/metadata/properties" xmlns:ns2="cdc7663a-08f0-4737-9e8c-148ce897a09c" targetNamespace="http://schemas.microsoft.com/office/2006/metadata/properties" ma:root="true" ma:fieldsID="fee77c8a02b94248c8055f12c5db30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5"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Cartin Barrios,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251</Value>
      <Value>101</Value>
      <Value>83</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R0002900456</Record_x0020_Number>
    <_dlc_DocId xmlns="cdc7663a-08f0-4737-9e8c-148ce897a09c">EZSHARE-761198370-29</_dlc_DocId>
    <_dlc_DocIdUrl xmlns="cdc7663a-08f0-4737-9e8c-148ce897a09c">
      <Url>https://idbg.sharepoint.com/teams/EZ-HA-LON/HA-L1135/_layouts/15/DocIdRedir.aspx?ID=EZSHARE-761198370-29</Url>
      <Description>EZSHARE-761198370-29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29A982F210A0E04AAB48509D0B80C42B" ma:contentTypeVersion="667" ma:contentTypeDescription="The base project type from which other project content types inherit their information." ma:contentTypeScope="" ma:versionID="fd136e830feb83c74af6c10d2da2daee">
  <xsd:schema xmlns:xsd="http://www.w3.org/2001/XMLSchema" xmlns:xs="http://www.w3.org/2001/XMLSchema" xmlns:p="http://schemas.microsoft.com/office/2006/metadata/properties" xmlns:ns2="cdc7663a-08f0-4737-9e8c-148ce897a09c" targetNamespace="http://schemas.microsoft.com/office/2006/metadata/properties" ma:root="true" ma:fieldsID="fee77c8a02b94248c8055f12c5db30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5"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FA0FCDC4B7A704DB8CCF74BBB13A646" ma:contentTypeVersion="667" ma:contentTypeDescription="A content type to manage public (operations) IDB documents" ma:contentTypeScope="" ma:versionID="1eb170e7dd10e726d98fa9bba2b6f8fa">
  <xsd:schema xmlns:xsd="http://www.w3.org/2001/XMLSchema" xmlns:xs="http://www.w3.org/2001/XMLSchema" xmlns:p="http://schemas.microsoft.com/office/2006/metadata/properties" xmlns:ns2="cdc7663a-08f0-4737-9e8c-148ce897a09c" targetNamespace="http://schemas.microsoft.com/office/2006/metadata/properties" ma:root="true" ma:fieldsID="afd2a3c3b6fe1c8fd7997da0d4367e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735718-ABB8-4A2D-B853-E34F3B72B025}">
  <ds:schemaRefs>
    <ds:schemaRef ds:uri="http://schemas.openxmlformats.org/officeDocument/2006/bibliography"/>
  </ds:schemaRefs>
</ds:datastoreItem>
</file>

<file path=customXml/itemProps2.xml><?xml version="1.0" encoding="utf-8"?>
<ds:datastoreItem xmlns:ds="http://schemas.openxmlformats.org/officeDocument/2006/customXml" ds:itemID="{98038A73-B05C-43CB-91F1-FD05D896CA57}"/>
</file>

<file path=customXml/itemProps3.xml><?xml version="1.0" encoding="utf-8"?>
<ds:datastoreItem xmlns:ds="http://schemas.openxmlformats.org/officeDocument/2006/customXml" ds:itemID="{31A3A2A9-3D0C-47D8-ABEE-0B39378FCD3D}"/>
</file>

<file path=customXml/itemProps4.xml><?xml version="1.0" encoding="utf-8"?>
<ds:datastoreItem xmlns:ds="http://schemas.openxmlformats.org/officeDocument/2006/customXml" ds:itemID="{44E6E551-BCC7-4329-90CD-1D0CBFF27769}"/>
</file>

<file path=customXml/itemProps5.xml><?xml version="1.0" encoding="utf-8"?>
<ds:datastoreItem xmlns:ds="http://schemas.openxmlformats.org/officeDocument/2006/customXml" ds:itemID="{9FE01E5B-18C1-48C5-B6B6-E1D3D196DB77}"/>
</file>

<file path=customXml/itemProps6.xml><?xml version="1.0" encoding="utf-8"?>
<ds:datastoreItem xmlns:ds="http://schemas.openxmlformats.org/officeDocument/2006/customXml" ds:itemID="{BD076FEA-F20C-43AC-8AE2-2F51294C84CC}"/>
</file>

<file path=customXml/itemProps7.xml><?xml version="1.0" encoding="utf-8"?>
<ds:datastoreItem xmlns:ds="http://schemas.openxmlformats.org/officeDocument/2006/customXml" ds:itemID="{BADE34FA-8B79-49AD-BE59-DEDCB71B0873}"/>
</file>

<file path=customXml/itemProps8.xml><?xml version="1.0" encoding="utf-8"?>
<ds:datastoreItem xmlns:ds="http://schemas.openxmlformats.org/officeDocument/2006/customXml" ds:itemID="{FE7F6643-626C-408E-9987-444F03186A85}"/>
</file>

<file path=customXml/itemProps9.xml><?xml version="1.0" encoding="utf-8"?>
<ds:datastoreItem xmlns:ds="http://schemas.openxmlformats.org/officeDocument/2006/customXml" ds:itemID="{37BD5564-59A8-4F76-9607-2D2B99C9641A}"/>
</file>

<file path=docProps/app.xml><?xml version="1.0" encoding="utf-8"?>
<Properties xmlns="http://schemas.openxmlformats.org/officeDocument/2006/extended-properties" xmlns:vt="http://schemas.openxmlformats.org/officeDocument/2006/docPropsVTypes">
  <Template>Normal</Template>
  <TotalTime>3</TotalTime>
  <Pages>11</Pages>
  <Words>3101</Words>
  <Characters>17677</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Análisis del Cumplimiento del Programa de Agua Potable y Saneamiento del Área Metropolitana de la Ciudad de Buenos Aires (AR-X1-13 y AR-L1080) con la Política de Servicios Públicos Domiciliarios (OP-708)</vt:lpstr>
      <vt:lpstr>Análisis del Cumplimiento del Programa de Agua Potable y Saneamiento del Área Metropolitana de la Ciudad de Buenos Aires (AR-X1-13 y AR-L1080) con la Política de Servicios Públicos Domiciliarios (OP-708)</vt:lpstr>
    </vt:vector>
  </TitlesOfParts>
  <Company>Inter-American Development Bank</Company>
  <LinksUpToDate>false</LinksUpToDate>
  <CharactersWithSpaces>20737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del Cumplimiento del Programa de Agua Potable y Saneamiento del Área Metropolitana de la Ciudad de Buenos Aires (AR-X1-13 y AR-L1080) con la Política de Servicios Públicos Domiciliarios (OP-708)</dc:title>
  <dc:creator>Inter-American Development Bank</dc:creator>
  <cp:keywords/>
  <cp:lastModifiedBy>Velasquez Rodriguez, Manuela</cp:lastModifiedBy>
  <cp:revision>2</cp:revision>
  <cp:lastPrinted>2016-04-21T14:21:00Z</cp:lastPrinted>
  <dcterms:created xsi:type="dcterms:W3CDTF">2018-10-15T15:44:00Z</dcterms:created>
  <dcterms:modified xsi:type="dcterms:W3CDTF">2018-10-15T15:44:00Z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101;#WATER SUPPLY URBAN|28df1b5d-8f50-49f8-b50a-8bcbae67d2a4</vt:lpwstr>
  </property>
  <property fmtid="{D5CDD505-2E9C-101B-9397-08002B2CF9AE}" pid="7" name="Fund IDB">
    <vt:lpwstr>251;#ORC|c028a4b2-ad8b-4cf4-9cac-a2ae6a778e23</vt:lpwstr>
  </property>
  <property fmtid="{D5CDD505-2E9C-101B-9397-08002B2CF9AE}" pid="8" name="Country">
    <vt:lpwstr>42;#Haiti|77a11ace-c854-4e9c-9e19-c924bca0dd43</vt:lpwstr>
  </property>
  <property fmtid="{D5CDD505-2E9C-101B-9397-08002B2CF9AE}" pid="9" name="Sector IDB">
    <vt:lpwstr>83;#WATER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de14470b-bc03-45b4-bc15-7c62801859fd</vt:lpwstr>
  </property>
  <property fmtid="{D5CDD505-2E9C-101B-9397-08002B2CF9AE}" pid="12" name="ContentTypeId">
    <vt:lpwstr>0x0101001A458A224826124E8B45B1D613300CFC005FA0FCDC4B7A704DB8CCF74BBB13A646</vt:lpwstr>
  </property>
</Properties>
</file>