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A0D" w:rsidRPr="00C2514D" w:rsidRDefault="00FF2A0D" w:rsidP="00A77DC6">
      <w:pPr>
        <w:pStyle w:val="Title"/>
        <w:tabs>
          <w:tab w:val="clear" w:pos="1440"/>
          <w:tab w:val="clear" w:pos="3060"/>
        </w:tabs>
        <w:outlineLvl w:val="9"/>
        <w:rPr>
          <w:rFonts w:ascii="Arial" w:hAnsi="Arial" w:cs="Arial"/>
          <w:smallCaps/>
          <w:sz w:val="22"/>
          <w:szCs w:val="22"/>
          <w:lang w:val="en-US"/>
        </w:rPr>
      </w:pPr>
    </w:p>
    <w:p w:rsidR="00FF2A0D" w:rsidRPr="00C2514D" w:rsidRDefault="00FF2A0D" w:rsidP="00A77DC6">
      <w:pPr>
        <w:pStyle w:val="Title"/>
        <w:tabs>
          <w:tab w:val="clear" w:pos="1440"/>
          <w:tab w:val="clear" w:pos="3060"/>
        </w:tabs>
        <w:outlineLvl w:val="9"/>
        <w:rPr>
          <w:rFonts w:ascii="Arial" w:hAnsi="Arial" w:cs="Arial"/>
          <w:smallCaps/>
          <w:sz w:val="22"/>
          <w:szCs w:val="22"/>
          <w:lang w:val="en-US"/>
        </w:rPr>
      </w:pPr>
    </w:p>
    <w:p w:rsidR="008A3CE3" w:rsidRPr="00C2514D" w:rsidRDefault="008A3CE3" w:rsidP="00A77DC6">
      <w:pPr>
        <w:pStyle w:val="Title"/>
        <w:tabs>
          <w:tab w:val="clear" w:pos="1440"/>
          <w:tab w:val="clear" w:pos="3060"/>
        </w:tabs>
        <w:outlineLvl w:val="9"/>
        <w:rPr>
          <w:rFonts w:ascii="Arial" w:hAnsi="Arial" w:cs="Arial"/>
          <w:smallCaps/>
          <w:sz w:val="22"/>
          <w:szCs w:val="22"/>
          <w:lang w:val="en-US"/>
        </w:rPr>
      </w:pPr>
    </w:p>
    <w:p w:rsidR="00FF2A0D" w:rsidRPr="00C2514D" w:rsidRDefault="000B4A9D" w:rsidP="00A77DC6">
      <w:pPr>
        <w:pStyle w:val="Title"/>
        <w:tabs>
          <w:tab w:val="clear" w:pos="1440"/>
          <w:tab w:val="clear" w:pos="3060"/>
        </w:tabs>
        <w:outlineLvl w:val="9"/>
        <w:rPr>
          <w:rFonts w:ascii="Arial" w:hAnsi="Arial" w:cs="Arial"/>
          <w:smallCaps/>
          <w:sz w:val="22"/>
          <w:szCs w:val="22"/>
          <w:lang w:val="en-US"/>
        </w:rPr>
      </w:pPr>
      <w:r w:rsidRPr="00C2514D">
        <w:rPr>
          <w:rFonts w:ascii="Arial" w:hAnsi="Arial" w:cs="Arial"/>
          <w:smallCaps/>
          <w:sz w:val="22"/>
          <w:szCs w:val="22"/>
          <w:lang w:val="en-US"/>
        </w:rPr>
        <w:t xml:space="preserve">Document of the </w:t>
      </w:r>
      <w:r w:rsidR="000E0AB6" w:rsidRPr="00C2514D">
        <w:rPr>
          <w:rFonts w:ascii="Arial" w:hAnsi="Arial" w:cs="Arial"/>
          <w:smallCaps/>
          <w:sz w:val="22"/>
          <w:szCs w:val="22"/>
          <w:lang w:val="en-US"/>
        </w:rPr>
        <w:t>Inter-Am</w:t>
      </w:r>
      <w:r w:rsidRPr="00C2514D">
        <w:rPr>
          <w:rFonts w:ascii="Arial" w:hAnsi="Arial" w:cs="Arial"/>
          <w:smallCaps/>
          <w:sz w:val="22"/>
          <w:szCs w:val="22"/>
          <w:lang w:val="en-US"/>
        </w:rPr>
        <w:t>erican Development Bank</w:t>
      </w:r>
    </w:p>
    <w:p w:rsidR="00FF2A0D" w:rsidRPr="00C2514D" w:rsidRDefault="00FF2A0D" w:rsidP="00A77DC6">
      <w:pPr>
        <w:pStyle w:val="ColorfulList-Accent11"/>
        <w:ind w:left="1080"/>
        <w:jc w:val="center"/>
        <w:rPr>
          <w:rFonts w:ascii="Arial" w:hAnsi="Arial" w:cs="Arial"/>
          <w:b/>
          <w:lang w:val="en-US"/>
        </w:rPr>
      </w:pPr>
    </w:p>
    <w:p w:rsidR="00FF2A0D" w:rsidRPr="00C2514D" w:rsidRDefault="00FF2A0D" w:rsidP="00A77DC6">
      <w:pPr>
        <w:tabs>
          <w:tab w:val="left" w:pos="1440"/>
          <w:tab w:val="left" w:pos="3060"/>
        </w:tabs>
        <w:jc w:val="center"/>
        <w:rPr>
          <w:rFonts w:ascii="Arial" w:hAnsi="Arial" w:cs="Arial"/>
          <w:b/>
          <w:smallCaps/>
          <w:sz w:val="22"/>
          <w:szCs w:val="22"/>
          <w:lang w:val="en-US"/>
        </w:rPr>
      </w:pPr>
    </w:p>
    <w:p w:rsidR="00FF2A0D" w:rsidRPr="00C2514D" w:rsidRDefault="00FF2A0D" w:rsidP="00A77DC6">
      <w:pPr>
        <w:tabs>
          <w:tab w:val="left" w:pos="1440"/>
          <w:tab w:val="left" w:pos="3060"/>
        </w:tabs>
        <w:jc w:val="center"/>
        <w:rPr>
          <w:rFonts w:ascii="Arial" w:hAnsi="Arial" w:cs="Arial"/>
          <w:b/>
          <w:smallCaps/>
          <w:sz w:val="22"/>
          <w:szCs w:val="22"/>
          <w:lang w:val="en-US"/>
        </w:rPr>
      </w:pPr>
    </w:p>
    <w:p w:rsidR="00FF2A0D" w:rsidRPr="00C2514D" w:rsidRDefault="00FF2A0D" w:rsidP="00A77DC6">
      <w:pPr>
        <w:tabs>
          <w:tab w:val="left" w:pos="1440"/>
          <w:tab w:val="left" w:pos="3060"/>
        </w:tabs>
        <w:jc w:val="center"/>
        <w:rPr>
          <w:rFonts w:ascii="Arial" w:hAnsi="Arial" w:cs="Arial"/>
          <w:b/>
          <w:smallCaps/>
          <w:sz w:val="22"/>
          <w:szCs w:val="22"/>
          <w:lang w:val="en-US"/>
        </w:rPr>
      </w:pPr>
    </w:p>
    <w:p w:rsidR="00100E6A" w:rsidRPr="00C2514D" w:rsidRDefault="00100E6A" w:rsidP="00A77DC6">
      <w:pPr>
        <w:tabs>
          <w:tab w:val="left" w:pos="1440"/>
          <w:tab w:val="left" w:pos="3060"/>
        </w:tabs>
        <w:jc w:val="center"/>
        <w:rPr>
          <w:rFonts w:ascii="Arial" w:hAnsi="Arial" w:cs="Arial"/>
          <w:b/>
          <w:smallCaps/>
          <w:sz w:val="22"/>
          <w:szCs w:val="22"/>
          <w:lang w:val="en-US"/>
        </w:rPr>
      </w:pPr>
    </w:p>
    <w:p w:rsidR="00100E6A" w:rsidRPr="00C2514D" w:rsidRDefault="00100E6A" w:rsidP="00A77DC6">
      <w:pPr>
        <w:tabs>
          <w:tab w:val="left" w:pos="1440"/>
          <w:tab w:val="left" w:pos="3060"/>
        </w:tabs>
        <w:jc w:val="center"/>
        <w:rPr>
          <w:rFonts w:ascii="Arial" w:hAnsi="Arial" w:cs="Arial"/>
          <w:b/>
          <w:smallCaps/>
          <w:sz w:val="22"/>
          <w:szCs w:val="22"/>
          <w:lang w:val="en-US"/>
        </w:rPr>
      </w:pPr>
    </w:p>
    <w:p w:rsidR="00FF2A0D" w:rsidRPr="00C2514D" w:rsidRDefault="00FF2A0D" w:rsidP="00A77DC6">
      <w:pPr>
        <w:tabs>
          <w:tab w:val="left" w:pos="1440"/>
          <w:tab w:val="left" w:pos="3060"/>
        </w:tabs>
        <w:jc w:val="center"/>
        <w:rPr>
          <w:rFonts w:ascii="Arial" w:hAnsi="Arial" w:cs="Arial"/>
          <w:b/>
          <w:smallCaps/>
          <w:sz w:val="22"/>
          <w:szCs w:val="22"/>
          <w:lang w:val="en-US"/>
        </w:rPr>
      </w:pPr>
    </w:p>
    <w:p w:rsidR="00100E6A" w:rsidRPr="00C2514D" w:rsidRDefault="00100E6A" w:rsidP="00A77DC6">
      <w:pPr>
        <w:tabs>
          <w:tab w:val="left" w:pos="1440"/>
          <w:tab w:val="left" w:pos="3060"/>
        </w:tabs>
        <w:jc w:val="center"/>
        <w:rPr>
          <w:rFonts w:ascii="Arial" w:hAnsi="Arial" w:cs="Arial"/>
          <w:b/>
          <w:smallCaps/>
          <w:sz w:val="22"/>
          <w:szCs w:val="22"/>
          <w:lang w:val="en-US"/>
        </w:rPr>
      </w:pPr>
    </w:p>
    <w:p w:rsidR="00FF2A0D" w:rsidRPr="00C2514D" w:rsidRDefault="00FF2A0D" w:rsidP="00A77DC6">
      <w:pPr>
        <w:tabs>
          <w:tab w:val="left" w:pos="1440"/>
          <w:tab w:val="left" w:pos="3060"/>
        </w:tabs>
        <w:jc w:val="center"/>
        <w:rPr>
          <w:rFonts w:ascii="Arial" w:hAnsi="Arial" w:cs="Arial"/>
          <w:b/>
          <w:smallCaps/>
          <w:sz w:val="22"/>
          <w:szCs w:val="22"/>
          <w:lang w:val="en-US"/>
        </w:rPr>
      </w:pPr>
    </w:p>
    <w:p w:rsidR="00FF2A0D" w:rsidRPr="00C2514D" w:rsidRDefault="00FF2A0D" w:rsidP="00A77DC6">
      <w:pPr>
        <w:tabs>
          <w:tab w:val="left" w:pos="1440"/>
          <w:tab w:val="left" w:pos="3060"/>
        </w:tabs>
        <w:jc w:val="center"/>
        <w:rPr>
          <w:rFonts w:ascii="Arial" w:hAnsi="Arial" w:cs="Arial"/>
          <w:b/>
          <w:smallCaps/>
          <w:sz w:val="22"/>
          <w:szCs w:val="22"/>
          <w:lang w:val="en-US"/>
        </w:rPr>
      </w:pPr>
    </w:p>
    <w:p w:rsidR="00FF2A0D" w:rsidRPr="00C2514D" w:rsidRDefault="000E0AB6" w:rsidP="00A77DC6">
      <w:pPr>
        <w:tabs>
          <w:tab w:val="left" w:pos="1440"/>
          <w:tab w:val="left" w:pos="3060"/>
        </w:tabs>
        <w:jc w:val="center"/>
        <w:rPr>
          <w:rFonts w:ascii="Arial" w:hAnsi="Arial" w:cs="Arial"/>
          <w:b/>
          <w:smallCaps/>
          <w:sz w:val="28"/>
          <w:szCs w:val="28"/>
          <w:lang w:val="en-US"/>
        </w:rPr>
      </w:pPr>
      <w:r w:rsidRPr="00C2514D">
        <w:rPr>
          <w:rFonts w:ascii="Arial" w:hAnsi="Arial" w:cs="Arial"/>
          <w:b/>
          <w:smallCaps/>
          <w:sz w:val="28"/>
          <w:szCs w:val="28"/>
          <w:lang w:val="en-US"/>
        </w:rPr>
        <w:t>Guyana</w:t>
      </w:r>
    </w:p>
    <w:p w:rsidR="00FF2A0D" w:rsidRPr="00C2514D" w:rsidRDefault="00FF2A0D" w:rsidP="00A77DC6">
      <w:pPr>
        <w:tabs>
          <w:tab w:val="left" w:pos="1440"/>
          <w:tab w:val="left" w:pos="3060"/>
        </w:tabs>
        <w:jc w:val="center"/>
        <w:rPr>
          <w:rFonts w:ascii="Arial" w:hAnsi="Arial" w:cs="Arial"/>
          <w:b/>
          <w:smallCaps/>
          <w:sz w:val="28"/>
          <w:szCs w:val="28"/>
          <w:lang w:val="en-US"/>
        </w:rPr>
      </w:pPr>
    </w:p>
    <w:p w:rsidR="00FF2A0D" w:rsidRPr="00C2514D" w:rsidRDefault="00FF2A0D" w:rsidP="00A77DC6">
      <w:pPr>
        <w:tabs>
          <w:tab w:val="left" w:pos="1440"/>
          <w:tab w:val="left" w:pos="3060"/>
        </w:tabs>
        <w:jc w:val="center"/>
        <w:rPr>
          <w:rFonts w:ascii="Arial" w:hAnsi="Arial" w:cs="Arial"/>
          <w:b/>
          <w:smallCaps/>
          <w:sz w:val="28"/>
          <w:szCs w:val="28"/>
          <w:lang w:val="en-US"/>
        </w:rPr>
      </w:pPr>
    </w:p>
    <w:p w:rsidR="00FF2A0D" w:rsidRPr="00C2514D" w:rsidRDefault="00FF2A0D" w:rsidP="00A77DC6">
      <w:pPr>
        <w:tabs>
          <w:tab w:val="left" w:pos="1440"/>
          <w:tab w:val="left" w:pos="3060"/>
        </w:tabs>
        <w:jc w:val="center"/>
        <w:rPr>
          <w:rFonts w:ascii="Arial" w:hAnsi="Arial" w:cs="Arial"/>
          <w:b/>
          <w:smallCaps/>
          <w:sz w:val="28"/>
          <w:szCs w:val="28"/>
          <w:lang w:val="en-US"/>
        </w:rPr>
      </w:pPr>
    </w:p>
    <w:p w:rsidR="00FF2A0D" w:rsidRPr="00C2514D" w:rsidRDefault="000E0AB6" w:rsidP="00A77DC6">
      <w:pPr>
        <w:tabs>
          <w:tab w:val="left" w:pos="1440"/>
          <w:tab w:val="left" w:pos="3060"/>
        </w:tabs>
        <w:jc w:val="center"/>
        <w:rPr>
          <w:rFonts w:ascii="Arial" w:hAnsi="Arial" w:cs="Arial"/>
          <w:b/>
          <w:smallCaps/>
          <w:sz w:val="28"/>
          <w:szCs w:val="28"/>
          <w:lang w:val="en-US"/>
        </w:rPr>
      </w:pPr>
      <w:r w:rsidRPr="00C2514D">
        <w:rPr>
          <w:rFonts w:ascii="Arial" w:hAnsi="Arial" w:cs="Arial"/>
          <w:b/>
          <w:smallCaps/>
          <w:sz w:val="28"/>
          <w:szCs w:val="28"/>
          <w:lang w:val="en-US"/>
        </w:rPr>
        <w:t xml:space="preserve">Enhancing the National Quality </w:t>
      </w:r>
      <w:r w:rsidR="006E6C40" w:rsidRPr="00C2514D">
        <w:rPr>
          <w:rFonts w:ascii="Arial" w:hAnsi="Arial" w:cs="Arial"/>
          <w:b/>
          <w:smallCaps/>
          <w:sz w:val="28"/>
          <w:szCs w:val="28"/>
          <w:lang w:val="en-US"/>
        </w:rPr>
        <w:t>Infrastructure for Economic Diversification and Trade Promotion</w:t>
      </w:r>
    </w:p>
    <w:p w:rsidR="00FF2A0D" w:rsidRPr="00C2514D" w:rsidRDefault="00FF2A0D" w:rsidP="00A77DC6">
      <w:pPr>
        <w:tabs>
          <w:tab w:val="left" w:pos="1440"/>
          <w:tab w:val="left" w:pos="3060"/>
        </w:tabs>
        <w:jc w:val="center"/>
        <w:rPr>
          <w:rFonts w:ascii="Arial" w:hAnsi="Arial" w:cs="Arial"/>
          <w:b/>
          <w:smallCaps/>
          <w:sz w:val="28"/>
          <w:szCs w:val="28"/>
          <w:lang w:val="en-US"/>
        </w:rPr>
      </w:pPr>
    </w:p>
    <w:p w:rsidR="00FF2A0D" w:rsidRPr="00C2514D" w:rsidRDefault="00FF2A0D" w:rsidP="00A77DC6">
      <w:pPr>
        <w:tabs>
          <w:tab w:val="left" w:pos="1440"/>
          <w:tab w:val="left" w:pos="3060"/>
        </w:tabs>
        <w:jc w:val="center"/>
        <w:rPr>
          <w:rFonts w:ascii="Arial" w:hAnsi="Arial" w:cs="Arial"/>
          <w:b/>
          <w:smallCaps/>
          <w:sz w:val="22"/>
          <w:szCs w:val="22"/>
          <w:lang w:val="en-US"/>
        </w:rPr>
      </w:pPr>
    </w:p>
    <w:p w:rsidR="00FF2A0D" w:rsidRPr="00C2514D" w:rsidRDefault="00A82017" w:rsidP="00A77DC6">
      <w:pPr>
        <w:tabs>
          <w:tab w:val="left" w:pos="1440"/>
          <w:tab w:val="left" w:pos="3060"/>
        </w:tabs>
        <w:jc w:val="center"/>
        <w:rPr>
          <w:rFonts w:ascii="Arial" w:hAnsi="Arial" w:cs="Arial"/>
          <w:b/>
          <w:smallCaps/>
          <w:sz w:val="22"/>
          <w:szCs w:val="22"/>
          <w:lang w:val="en-US"/>
        </w:rPr>
      </w:pPr>
      <w:r w:rsidRPr="00C2514D">
        <w:rPr>
          <w:rFonts w:ascii="Arial" w:hAnsi="Arial" w:cs="Arial"/>
          <w:b/>
          <w:smallCaps/>
          <w:sz w:val="22"/>
          <w:szCs w:val="22"/>
          <w:lang w:val="en-US"/>
        </w:rPr>
        <w:t>(</w:t>
      </w:r>
      <w:r w:rsidR="006E6C40" w:rsidRPr="00C2514D">
        <w:rPr>
          <w:rFonts w:ascii="Arial" w:hAnsi="Arial" w:cs="Arial"/>
          <w:b/>
          <w:smallCaps/>
          <w:sz w:val="22"/>
          <w:szCs w:val="22"/>
          <w:lang w:val="en-US"/>
        </w:rPr>
        <w:t>GY</w:t>
      </w:r>
      <w:r w:rsidR="00FF2A0D" w:rsidRPr="00C2514D">
        <w:rPr>
          <w:rFonts w:ascii="Arial" w:hAnsi="Arial" w:cs="Arial"/>
          <w:b/>
          <w:smallCaps/>
          <w:sz w:val="22"/>
          <w:szCs w:val="22"/>
          <w:lang w:val="en-US"/>
        </w:rPr>
        <w:t>-L1</w:t>
      </w:r>
      <w:r w:rsidR="006E6C40" w:rsidRPr="00C2514D">
        <w:rPr>
          <w:rFonts w:ascii="Arial" w:hAnsi="Arial" w:cs="Arial"/>
          <w:b/>
          <w:smallCaps/>
          <w:sz w:val="22"/>
          <w:szCs w:val="22"/>
          <w:lang w:val="en-US"/>
        </w:rPr>
        <w:t>059</w:t>
      </w:r>
      <w:r w:rsidRPr="00C2514D">
        <w:rPr>
          <w:rFonts w:ascii="Arial" w:hAnsi="Arial" w:cs="Arial"/>
          <w:b/>
          <w:smallCaps/>
          <w:sz w:val="22"/>
          <w:szCs w:val="22"/>
          <w:lang w:val="en-US"/>
        </w:rPr>
        <w:t>)</w:t>
      </w:r>
    </w:p>
    <w:p w:rsidR="00FF2A0D" w:rsidRPr="00C2514D" w:rsidRDefault="00FF2A0D" w:rsidP="00A77DC6">
      <w:pPr>
        <w:pStyle w:val="Newpage"/>
        <w:rPr>
          <w:rFonts w:ascii="Arial" w:hAnsi="Arial"/>
          <w:b w:val="0"/>
          <w:caps/>
          <w:smallCaps w:val="0"/>
          <w:sz w:val="22"/>
          <w:szCs w:val="22"/>
          <w:lang w:val="en-US"/>
        </w:rPr>
      </w:pPr>
    </w:p>
    <w:p w:rsidR="00FF2A0D" w:rsidRPr="00C2514D" w:rsidRDefault="00FF2A0D" w:rsidP="00A77DC6">
      <w:pPr>
        <w:pStyle w:val="Newpage"/>
        <w:rPr>
          <w:rFonts w:ascii="Arial" w:hAnsi="Arial"/>
          <w:b w:val="0"/>
          <w:caps/>
          <w:smallCaps w:val="0"/>
          <w:sz w:val="22"/>
          <w:szCs w:val="22"/>
          <w:lang w:val="en-US"/>
        </w:rPr>
      </w:pPr>
    </w:p>
    <w:p w:rsidR="00FF2A0D" w:rsidRPr="00C2514D" w:rsidRDefault="00FF2A0D" w:rsidP="00A77DC6">
      <w:pPr>
        <w:pStyle w:val="Newpage"/>
        <w:rPr>
          <w:rFonts w:ascii="Arial" w:hAnsi="Arial"/>
          <w:b w:val="0"/>
          <w:caps/>
          <w:smallCaps w:val="0"/>
          <w:sz w:val="22"/>
          <w:szCs w:val="22"/>
          <w:lang w:val="en-US"/>
        </w:rPr>
      </w:pPr>
    </w:p>
    <w:p w:rsidR="00FF2A0D" w:rsidRPr="00C2514D" w:rsidRDefault="00FF2A0D" w:rsidP="00A77DC6">
      <w:pPr>
        <w:pStyle w:val="Newpage"/>
        <w:rPr>
          <w:rFonts w:ascii="Arial" w:hAnsi="Arial"/>
          <w:b w:val="0"/>
          <w:caps/>
          <w:smallCaps w:val="0"/>
          <w:sz w:val="22"/>
          <w:szCs w:val="22"/>
          <w:lang w:val="en-US"/>
        </w:rPr>
      </w:pPr>
    </w:p>
    <w:p w:rsidR="00FF2A0D" w:rsidRPr="00C2514D" w:rsidRDefault="00FF2A0D" w:rsidP="00A77DC6">
      <w:pPr>
        <w:tabs>
          <w:tab w:val="left" w:pos="1440"/>
          <w:tab w:val="left" w:pos="3060"/>
        </w:tabs>
        <w:jc w:val="center"/>
        <w:rPr>
          <w:rFonts w:ascii="Arial" w:hAnsi="Arial" w:cs="Arial"/>
          <w:smallCaps/>
          <w:sz w:val="22"/>
          <w:szCs w:val="22"/>
          <w:lang w:val="en-US"/>
        </w:rPr>
      </w:pPr>
    </w:p>
    <w:p w:rsidR="00FF2A0D" w:rsidRPr="00C2514D" w:rsidRDefault="00064AE4" w:rsidP="00064AE4">
      <w:pPr>
        <w:tabs>
          <w:tab w:val="left" w:pos="1440"/>
          <w:tab w:val="left" w:pos="3060"/>
        </w:tabs>
        <w:jc w:val="center"/>
        <w:outlineLvl w:val="0"/>
        <w:rPr>
          <w:rFonts w:ascii="Arial" w:hAnsi="Arial" w:cs="Arial"/>
          <w:b/>
          <w:smallCaps/>
          <w:sz w:val="22"/>
          <w:szCs w:val="22"/>
          <w:lang w:val="en-US"/>
        </w:rPr>
      </w:pPr>
      <w:r w:rsidRPr="00064AE4">
        <w:rPr>
          <w:rFonts w:ascii="Arial" w:hAnsi="Arial" w:cs="Arial"/>
          <w:b/>
          <w:smallCaps/>
          <w:szCs w:val="24"/>
          <w:lang w:val="en-US"/>
        </w:rPr>
        <w:t>Monitoring and Evaluation Arrangements</w:t>
      </w:r>
    </w:p>
    <w:p w:rsidR="00FF2A0D" w:rsidRPr="00C2514D" w:rsidRDefault="00FF2A0D" w:rsidP="00CA62D5">
      <w:pPr>
        <w:pStyle w:val="ColorfulList-Accent11"/>
        <w:ind w:left="0"/>
        <w:jc w:val="center"/>
        <w:rPr>
          <w:rFonts w:ascii="Arial" w:hAnsi="Arial" w:cs="Arial"/>
          <w:b/>
          <w:lang w:val="en-US"/>
        </w:rPr>
      </w:pPr>
    </w:p>
    <w:p w:rsidR="00FF2A0D" w:rsidRPr="00C2514D" w:rsidRDefault="00FF2A0D" w:rsidP="00CA62D5">
      <w:pPr>
        <w:pStyle w:val="ColorfulList-Accent11"/>
        <w:ind w:left="0"/>
        <w:jc w:val="center"/>
        <w:rPr>
          <w:rFonts w:ascii="Arial" w:hAnsi="Arial" w:cs="Arial"/>
          <w:b/>
          <w:lang w:val="en-US"/>
        </w:rPr>
      </w:pPr>
    </w:p>
    <w:p w:rsidR="00FF2A0D" w:rsidRPr="00C2514D" w:rsidRDefault="00FF2A0D" w:rsidP="00CA62D5">
      <w:pPr>
        <w:pStyle w:val="ColorfulList-Accent11"/>
        <w:ind w:left="0"/>
        <w:jc w:val="center"/>
        <w:rPr>
          <w:rFonts w:ascii="Arial" w:hAnsi="Arial" w:cs="Arial"/>
          <w:b/>
          <w:lang w:val="en-US"/>
        </w:rPr>
      </w:pPr>
    </w:p>
    <w:p w:rsidR="00100E6A" w:rsidRPr="00C2514D" w:rsidRDefault="00100E6A" w:rsidP="00CA62D5">
      <w:pPr>
        <w:pStyle w:val="ColorfulList-Accent11"/>
        <w:ind w:left="0"/>
        <w:jc w:val="center"/>
        <w:rPr>
          <w:rFonts w:ascii="Arial" w:hAnsi="Arial" w:cs="Arial"/>
          <w:b/>
          <w:lang w:val="en-US"/>
        </w:rPr>
      </w:pPr>
    </w:p>
    <w:p w:rsidR="00100E6A" w:rsidRPr="00C2514D" w:rsidRDefault="00100E6A" w:rsidP="00CA62D5">
      <w:pPr>
        <w:pStyle w:val="ColorfulList-Accent11"/>
        <w:ind w:left="0"/>
        <w:jc w:val="center"/>
        <w:rPr>
          <w:rFonts w:ascii="Arial" w:hAnsi="Arial" w:cs="Arial"/>
          <w:b/>
          <w:lang w:val="en-US"/>
        </w:rPr>
      </w:pPr>
    </w:p>
    <w:p w:rsidR="00FF2A0D" w:rsidRPr="00C2514D" w:rsidRDefault="00FF2A0D" w:rsidP="00CA62D5">
      <w:pPr>
        <w:pStyle w:val="ColorfulList-Accent11"/>
        <w:ind w:left="0"/>
        <w:jc w:val="center"/>
        <w:rPr>
          <w:rFonts w:ascii="Arial" w:hAnsi="Arial" w:cs="Arial"/>
          <w:b/>
          <w:lang w:val="en-US"/>
        </w:rPr>
      </w:pPr>
    </w:p>
    <w:p w:rsidR="00FF2A0D" w:rsidRPr="00C2514D" w:rsidRDefault="00FF2A0D" w:rsidP="00CA62D5">
      <w:pPr>
        <w:pStyle w:val="ColorfulList-Accent11"/>
        <w:ind w:left="0"/>
        <w:jc w:val="center"/>
        <w:rPr>
          <w:rFonts w:ascii="Arial" w:hAnsi="Arial" w:cs="Arial"/>
          <w:b/>
          <w:lang w:val="en-US"/>
        </w:rPr>
      </w:pPr>
    </w:p>
    <w:p w:rsidR="00FF2A0D" w:rsidRPr="00C2514D" w:rsidRDefault="00FF2A0D" w:rsidP="00CA62D5">
      <w:pPr>
        <w:pStyle w:val="ColorfulList-Accent11"/>
        <w:ind w:left="0"/>
        <w:jc w:val="center"/>
        <w:rPr>
          <w:rFonts w:ascii="Arial" w:hAnsi="Arial" w:cs="Arial"/>
          <w:b/>
          <w:lang w:val="en-US"/>
        </w:rPr>
      </w:pPr>
    </w:p>
    <w:p w:rsidR="00FF2A0D" w:rsidRPr="00C2514D" w:rsidRDefault="00FF2A0D" w:rsidP="00CA62D5">
      <w:pPr>
        <w:pStyle w:val="ColorfulList-Accent11"/>
        <w:ind w:left="0"/>
        <w:jc w:val="center"/>
        <w:rPr>
          <w:rFonts w:ascii="Arial" w:hAnsi="Arial" w:cs="Arial"/>
          <w:b/>
          <w:lang w:val="en-US"/>
        </w:rPr>
      </w:pPr>
    </w:p>
    <w:p w:rsidR="00FF2A0D" w:rsidRPr="00C2514D" w:rsidRDefault="00FF2A0D" w:rsidP="00CA62D5">
      <w:pPr>
        <w:pStyle w:val="ColorfulList-Accent11"/>
        <w:ind w:left="0"/>
        <w:jc w:val="center"/>
        <w:rPr>
          <w:rFonts w:ascii="Arial" w:hAnsi="Arial" w:cs="Arial"/>
          <w:b/>
          <w:lang w:val="en-US"/>
        </w:rPr>
      </w:pPr>
    </w:p>
    <w:p w:rsidR="00FF2A0D" w:rsidRPr="00C2514D" w:rsidRDefault="00FF2A0D" w:rsidP="00A77DC6">
      <w:pPr>
        <w:pStyle w:val="ColorfulList-Accent11"/>
        <w:ind w:left="1080"/>
        <w:jc w:val="center"/>
        <w:rPr>
          <w:rFonts w:ascii="Arial" w:hAnsi="Arial" w:cs="Arial"/>
          <w:b/>
          <w:lang w:val="en-US"/>
        </w:rPr>
      </w:pPr>
    </w:p>
    <w:p w:rsidR="00FF2A0D" w:rsidRPr="00C2514D" w:rsidRDefault="00FF2A0D" w:rsidP="00A77DC6">
      <w:pPr>
        <w:tabs>
          <w:tab w:val="left" w:pos="1440"/>
          <w:tab w:val="left" w:pos="3060"/>
        </w:tabs>
        <w:jc w:val="center"/>
        <w:rPr>
          <w:rFonts w:ascii="Arial" w:hAnsi="Arial" w:cs="Arial"/>
          <w:sz w:val="22"/>
          <w:szCs w:val="22"/>
          <w:lang w:val="en-US"/>
        </w:rPr>
      </w:pPr>
    </w:p>
    <w:p w:rsidR="00FF2A0D" w:rsidRPr="00C2514D" w:rsidRDefault="006E6C40" w:rsidP="00A77DC6">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n-US"/>
        </w:rPr>
      </w:pPr>
      <w:r w:rsidRPr="00C2514D">
        <w:rPr>
          <w:rFonts w:ascii="Arial" w:hAnsi="Arial" w:cs="Arial"/>
          <w:sz w:val="20"/>
          <w:lang w:val="en-US"/>
        </w:rPr>
        <w:t>This document was prepared by Edwin A. Goñi Pacchioni (IFD/CTI) with comments provided by Claudia Stevenson (IFD/CTI) and Mario Umaña (INT/INT). Information processed from custom administrative records was provided by Guyana Revenue Authority</w:t>
      </w:r>
    </w:p>
    <w:p w:rsidR="00FF2A0D" w:rsidRPr="00C2514D" w:rsidRDefault="00FF2A0D" w:rsidP="00A77DC6">
      <w:pPr>
        <w:rPr>
          <w:rFonts w:ascii="Arial" w:hAnsi="Arial" w:cs="Arial"/>
          <w:sz w:val="22"/>
          <w:szCs w:val="22"/>
          <w:lang w:val="en-US"/>
        </w:rPr>
      </w:pPr>
      <w:r w:rsidRPr="00C2514D">
        <w:rPr>
          <w:rFonts w:ascii="Arial" w:hAnsi="Arial" w:cs="Arial"/>
          <w:sz w:val="22"/>
          <w:szCs w:val="22"/>
          <w:lang w:val="en-US"/>
        </w:rPr>
        <w:br w:type="page"/>
      </w:r>
    </w:p>
    <w:p w:rsidR="00171F90" w:rsidRPr="00C2514D" w:rsidRDefault="00171F90" w:rsidP="00A77DC6">
      <w:pPr>
        <w:pStyle w:val="ColorfulList-Accent11"/>
        <w:ind w:left="0"/>
        <w:jc w:val="center"/>
        <w:rPr>
          <w:rFonts w:ascii="Arial" w:hAnsi="Arial" w:cs="Arial"/>
          <w:smallCaps/>
          <w:lang w:val="en-US"/>
        </w:rPr>
      </w:pPr>
    </w:p>
    <w:p w:rsidR="00171F90" w:rsidRPr="00C2514D" w:rsidRDefault="006E6C40" w:rsidP="00A77DC6">
      <w:pPr>
        <w:pStyle w:val="ColorfulList-Accent11"/>
        <w:ind w:left="0"/>
        <w:jc w:val="center"/>
        <w:rPr>
          <w:rFonts w:ascii="Arial" w:hAnsi="Arial" w:cs="Arial"/>
          <w:b/>
          <w:smallCaps/>
          <w:lang w:val="en-US"/>
        </w:rPr>
      </w:pPr>
      <w:r w:rsidRPr="00C2514D">
        <w:rPr>
          <w:rFonts w:ascii="Arial" w:hAnsi="Arial" w:cs="Arial"/>
          <w:b/>
          <w:smallCaps/>
          <w:lang w:val="en-US"/>
        </w:rPr>
        <w:t>Contents</w:t>
      </w:r>
    </w:p>
    <w:p w:rsidR="00F42A95" w:rsidRPr="00C2514D" w:rsidRDefault="00F42A95" w:rsidP="00F42A95">
      <w:pPr>
        <w:rPr>
          <w:lang w:val="en-US"/>
        </w:rPr>
      </w:pPr>
    </w:p>
    <w:p w:rsidR="00F42A95" w:rsidRPr="00C2514D" w:rsidRDefault="00F42A95" w:rsidP="00F42A95">
      <w:pPr>
        <w:pStyle w:val="TOC1"/>
        <w:rPr>
          <w:rFonts w:eastAsiaTheme="minorEastAsia"/>
          <w:spacing w:val="0"/>
          <w:lang w:val="en-US"/>
        </w:rPr>
      </w:pPr>
      <w:r w:rsidRPr="00C2514D">
        <w:rPr>
          <w:lang w:val="en-US"/>
        </w:rPr>
        <w:fldChar w:fldCharType="begin"/>
      </w:r>
      <w:r w:rsidRPr="00C2514D">
        <w:rPr>
          <w:lang w:val="en-US"/>
        </w:rPr>
        <w:instrText xml:space="preserve"> TOC \f \h \z \t "Chapter,1,FirstHeading,2,SecHeading,3" </w:instrText>
      </w:r>
      <w:r w:rsidRPr="00C2514D">
        <w:rPr>
          <w:lang w:val="en-US"/>
        </w:rPr>
        <w:fldChar w:fldCharType="separate"/>
      </w:r>
      <w:hyperlink w:anchor="_Toc449703273" w:history="1">
        <w:r w:rsidRPr="00C2514D">
          <w:rPr>
            <w:rStyle w:val="Hyperlink"/>
            <w:lang w:val="en-US"/>
          </w:rPr>
          <w:t>I.</w:t>
        </w:r>
        <w:r w:rsidRPr="00C2514D">
          <w:rPr>
            <w:rFonts w:eastAsiaTheme="minorEastAsia"/>
            <w:spacing w:val="0"/>
            <w:lang w:val="en-US"/>
          </w:rPr>
          <w:tab/>
        </w:r>
        <w:r w:rsidRPr="00C2514D">
          <w:rPr>
            <w:rStyle w:val="Hyperlink"/>
            <w:lang w:val="en-US"/>
          </w:rPr>
          <w:t>Introduc</w:t>
        </w:r>
        <w:r w:rsidR="006E6C40" w:rsidRPr="00C2514D">
          <w:rPr>
            <w:rStyle w:val="Hyperlink"/>
            <w:lang w:val="en-US"/>
          </w:rPr>
          <w:t>tion</w:t>
        </w:r>
        <w:r w:rsidRPr="00C2514D">
          <w:rPr>
            <w:webHidden/>
            <w:lang w:val="en-US"/>
          </w:rPr>
          <w:tab/>
        </w:r>
        <w:r w:rsidRPr="00C2514D">
          <w:rPr>
            <w:webHidden/>
            <w:lang w:val="en-US"/>
          </w:rPr>
          <w:fldChar w:fldCharType="begin"/>
        </w:r>
        <w:r w:rsidRPr="00C2514D">
          <w:rPr>
            <w:webHidden/>
            <w:lang w:val="en-US"/>
          </w:rPr>
          <w:instrText xml:space="preserve"> PAGEREF _Toc449703273 \h </w:instrText>
        </w:r>
        <w:r w:rsidRPr="00C2514D">
          <w:rPr>
            <w:webHidden/>
            <w:lang w:val="en-US"/>
          </w:rPr>
        </w:r>
        <w:r w:rsidRPr="00C2514D">
          <w:rPr>
            <w:webHidden/>
            <w:lang w:val="en-US"/>
          </w:rPr>
          <w:fldChar w:fldCharType="separate"/>
        </w:r>
        <w:r w:rsidRPr="00C2514D">
          <w:rPr>
            <w:webHidden/>
            <w:lang w:val="en-US"/>
          </w:rPr>
          <w:t>4</w:t>
        </w:r>
        <w:r w:rsidRPr="00C2514D">
          <w:rPr>
            <w:webHidden/>
            <w:lang w:val="en-US"/>
          </w:rPr>
          <w:fldChar w:fldCharType="end"/>
        </w:r>
      </w:hyperlink>
    </w:p>
    <w:p w:rsidR="00F42A95" w:rsidRPr="00C2514D" w:rsidRDefault="00CC7C33" w:rsidP="00F42A95">
      <w:pPr>
        <w:pStyle w:val="TOC1"/>
        <w:rPr>
          <w:rFonts w:eastAsiaTheme="minorEastAsia"/>
          <w:spacing w:val="0"/>
          <w:lang w:val="en-US"/>
        </w:rPr>
      </w:pPr>
      <w:hyperlink w:anchor="_Toc449703274" w:history="1">
        <w:r w:rsidR="00F42A95" w:rsidRPr="00C2514D">
          <w:rPr>
            <w:rStyle w:val="Hyperlink"/>
            <w:lang w:val="en-US"/>
          </w:rPr>
          <w:t>II.</w:t>
        </w:r>
        <w:r w:rsidR="00F42A95" w:rsidRPr="00C2514D">
          <w:rPr>
            <w:rFonts w:eastAsiaTheme="minorEastAsia"/>
            <w:spacing w:val="0"/>
            <w:lang w:val="en-US"/>
          </w:rPr>
          <w:tab/>
        </w:r>
        <w:r w:rsidR="006E6C40" w:rsidRPr="00C2514D">
          <w:rPr>
            <w:rStyle w:val="Hyperlink"/>
            <w:lang w:val="en-US"/>
          </w:rPr>
          <w:t>Monitoring</w:t>
        </w:r>
        <w:r w:rsidR="00F42A95" w:rsidRPr="00C2514D">
          <w:rPr>
            <w:webHidden/>
            <w:lang w:val="en-US"/>
          </w:rPr>
          <w:tab/>
        </w:r>
        <w:r w:rsidR="00F42A95" w:rsidRPr="00C2514D">
          <w:rPr>
            <w:webHidden/>
            <w:lang w:val="en-US"/>
          </w:rPr>
          <w:fldChar w:fldCharType="begin"/>
        </w:r>
        <w:r w:rsidR="00F42A95" w:rsidRPr="00C2514D">
          <w:rPr>
            <w:webHidden/>
            <w:lang w:val="en-US"/>
          </w:rPr>
          <w:instrText xml:space="preserve"> PAGEREF _Toc449703274 \h </w:instrText>
        </w:r>
        <w:r w:rsidR="00F42A95" w:rsidRPr="00C2514D">
          <w:rPr>
            <w:webHidden/>
            <w:lang w:val="en-US"/>
          </w:rPr>
        </w:r>
        <w:r w:rsidR="00F42A95" w:rsidRPr="00C2514D">
          <w:rPr>
            <w:webHidden/>
            <w:lang w:val="en-US"/>
          </w:rPr>
          <w:fldChar w:fldCharType="separate"/>
        </w:r>
        <w:r w:rsidR="00F42A95" w:rsidRPr="00C2514D">
          <w:rPr>
            <w:webHidden/>
            <w:lang w:val="en-US"/>
          </w:rPr>
          <w:t>4</w:t>
        </w:r>
        <w:r w:rsidR="00F42A95" w:rsidRPr="00C2514D">
          <w:rPr>
            <w:webHidden/>
            <w:lang w:val="en-US"/>
          </w:rPr>
          <w:fldChar w:fldCharType="end"/>
        </w:r>
      </w:hyperlink>
    </w:p>
    <w:p w:rsidR="00F42A95" w:rsidRPr="00C2514D" w:rsidRDefault="00CC7C33">
      <w:pPr>
        <w:pStyle w:val="TOC2"/>
        <w:rPr>
          <w:rFonts w:ascii="Arial" w:eastAsiaTheme="minorEastAsia" w:hAnsi="Arial" w:cs="Arial"/>
          <w:noProof/>
          <w:spacing w:val="0"/>
          <w:sz w:val="22"/>
          <w:szCs w:val="22"/>
          <w:lang w:val="en-US"/>
        </w:rPr>
      </w:pPr>
      <w:hyperlink w:anchor="_Toc449703275" w:history="1">
        <w:r w:rsidR="00F42A95" w:rsidRPr="00C2514D">
          <w:rPr>
            <w:rStyle w:val="Hyperlink"/>
            <w:rFonts w:ascii="Arial" w:hAnsi="Arial" w:cs="Arial"/>
            <w:noProof/>
            <w:sz w:val="22"/>
            <w:szCs w:val="22"/>
            <w:lang w:val="en-US"/>
          </w:rPr>
          <w:t>A.</w:t>
        </w:r>
        <w:r w:rsidR="00F42A95" w:rsidRPr="00C2514D">
          <w:rPr>
            <w:rFonts w:ascii="Arial" w:eastAsiaTheme="minorEastAsia" w:hAnsi="Arial" w:cs="Arial"/>
            <w:noProof/>
            <w:spacing w:val="0"/>
            <w:sz w:val="22"/>
            <w:szCs w:val="22"/>
            <w:lang w:val="en-US"/>
          </w:rPr>
          <w:tab/>
        </w:r>
        <w:r w:rsidR="00722AF8" w:rsidRPr="00C2514D">
          <w:rPr>
            <w:rStyle w:val="Hyperlink"/>
            <w:rFonts w:ascii="Arial" w:hAnsi="Arial" w:cs="Arial"/>
            <w:noProof/>
            <w:sz w:val="22"/>
            <w:szCs w:val="22"/>
            <w:lang w:val="en-US"/>
          </w:rPr>
          <w:t>Indicator</w:t>
        </w:r>
        <w:r w:rsidR="00F42A95" w:rsidRPr="00C2514D">
          <w:rPr>
            <w:rStyle w:val="Hyperlink"/>
            <w:rFonts w:ascii="Arial" w:hAnsi="Arial" w:cs="Arial"/>
            <w:noProof/>
            <w:sz w:val="22"/>
            <w:szCs w:val="22"/>
            <w:lang w:val="en-US"/>
          </w:rPr>
          <w:t>s</w:t>
        </w:r>
        <w:r w:rsidR="00F42A95" w:rsidRPr="00C2514D">
          <w:rPr>
            <w:rFonts w:ascii="Arial" w:hAnsi="Arial" w:cs="Arial"/>
            <w:noProof/>
            <w:webHidden/>
            <w:sz w:val="22"/>
            <w:szCs w:val="22"/>
            <w:lang w:val="en-US"/>
          </w:rPr>
          <w:tab/>
        </w:r>
        <w:r w:rsidR="00F42A95" w:rsidRPr="00C2514D">
          <w:rPr>
            <w:rFonts w:ascii="Arial" w:hAnsi="Arial" w:cs="Arial"/>
            <w:noProof/>
            <w:webHidden/>
            <w:sz w:val="22"/>
            <w:szCs w:val="22"/>
            <w:lang w:val="en-US"/>
          </w:rPr>
          <w:fldChar w:fldCharType="begin"/>
        </w:r>
        <w:r w:rsidR="00F42A95" w:rsidRPr="00C2514D">
          <w:rPr>
            <w:rFonts w:ascii="Arial" w:hAnsi="Arial" w:cs="Arial"/>
            <w:noProof/>
            <w:webHidden/>
            <w:sz w:val="22"/>
            <w:szCs w:val="22"/>
            <w:lang w:val="en-US"/>
          </w:rPr>
          <w:instrText xml:space="preserve"> PAGEREF _Toc449703275 \h </w:instrText>
        </w:r>
        <w:r w:rsidR="00F42A95" w:rsidRPr="00C2514D">
          <w:rPr>
            <w:rFonts w:ascii="Arial" w:hAnsi="Arial" w:cs="Arial"/>
            <w:noProof/>
            <w:webHidden/>
            <w:sz w:val="22"/>
            <w:szCs w:val="22"/>
            <w:lang w:val="en-US"/>
          </w:rPr>
        </w:r>
        <w:r w:rsidR="00F42A95" w:rsidRPr="00C2514D">
          <w:rPr>
            <w:rFonts w:ascii="Arial" w:hAnsi="Arial" w:cs="Arial"/>
            <w:noProof/>
            <w:webHidden/>
            <w:sz w:val="22"/>
            <w:szCs w:val="22"/>
            <w:lang w:val="en-US"/>
          </w:rPr>
          <w:fldChar w:fldCharType="separate"/>
        </w:r>
        <w:r w:rsidR="00F42A95" w:rsidRPr="00C2514D">
          <w:rPr>
            <w:rFonts w:ascii="Arial" w:hAnsi="Arial" w:cs="Arial"/>
            <w:noProof/>
            <w:webHidden/>
            <w:sz w:val="22"/>
            <w:szCs w:val="22"/>
            <w:lang w:val="en-US"/>
          </w:rPr>
          <w:t>4</w:t>
        </w:r>
        <w:r w:rsidR="00F42A95" w:rsidRPr="00C2514D">
          <w:rPr>
            <w:rFonts w:ascii="Arial" w:hAnsi="Arial" w:cs="Arial"/>
            <w:noProof/>
            <w:webHidden/>
            <w:sz w:val="22"/>
            <w:szCs w:val="22"/>
            <w:lang w:val="en-US"/>
          </w:rPr>
          <w:fldChar w:fldCharType="end"/>
        </w:r>
      </w:hyperlink>
    </w:p>
    <w:p w:rsidR="00F42A95" w:rsidRPr="00C2514D" w:rsidRDefault="00CC7C33">
      <w:pPr>
        <w:pStyle w:val="TOC2"/>
        <w:rPr>
          <w:rFonts w:ascii="Arial" w:eastAsiaTheme="minorEastAsia" w:hAnsi="Arial" w:cs="Arial"/>
          <w:noProof/>
          <w:spacing w:val="0"/>
          <w:sz w:val="22"/>
          <w:szCs w:val="22"/>
          <w:lang w:val="en-US"/>
        </w:rPr>
      </w:pPr>
      <w:hyperlink w:anchor="_Toc449703276" w:history="1">
        <w:r w:rsidR="00F42A95" w:rsidRPr="00C2514D">
          <w:rPr>
            <w:rStyle w:val="Hyperlink"/>
            <w:rFonts w:ascii="Arial" w:hAnsi="Arial" w:cs="Arial"/>
            <w:noProof/>
            <w:sz w:val="22"/>
            <w:szCs w:val="22"/>
            <w:lang w:val="en-US"/>
          </w:rPr>
          <w:t>B.</w:t>
        </w:r>
        <w:r w:rsidR="00F42A95" w:rsidRPr="00C2514D">
          <w:rPr>
            <w:rFonts w:ascii="Arial" w:eastAsiaTheme="minorEastAsia" w:hAnsi="Arial" w:cs="Arial"/>
            <w:noProof/>
            <w:spacing w:val="0"/>
            <w:sz w:val="22"/>
            <w:szCs w:val="22"/>
            <w:lang w:val="en-US"/>
          </w:rPr>
          <w:tab/>
        </w:r>
        <w:r w:rsidR="00D6582C" w:rsidRPr="00C2514D">
          <w:rPr>
            <w:rFonts w:ascii="Arial" w:eastAsiaTheme="minorEastAsia" w:hAnsi="Arial" w:cs="Arial"/>
            <w:noProof/>
            <w:spacing w:val="0"/>
            <w:sz w:val="22"/>
            <w:szCs w:val="22"/>
            <w:lang w:val="en-US"/>
          </w:rPr>
          <w:t>Data collection</w:t>
        </w:r>
        <w:r w:rsidR="00F42A95" w:rsidRPr="00C2514D">
          <w:rPr>
            <w:rFonts w:ascii="Arial" w:hAnsi="Arial" w:cs="Arial"/>
            <w:noProof/>
            <w:webHidden/>
            <w:sz w:val="22"/>
            <w:szCs w:val="22"/>
            <w:lang w:val="en-US"/>
          </w:rPr>
          <w:tab/>
        </w:r>
        <w:r w:rsidR="00F42A95" w:rsidRPr="00C2514D">
          <w:rPr>
            <w:rFonts w:ascii="Arial" w:hAnsi="Arial" w:cs="Arial"/>
            <w:noProof/>
            <w:webHidden/>
            <w:sz w:val="22"/>
            <w:szCs w:val="22"/>
            <w:lang w:val="en-US"/>
          </w:rPr>
          <w:fldChar w:fldCharType="begin"/>
        </w:r>
        <w:r w:rsidR="00F42A95" w:rsidRPr="00C2514D">
          <w:rPr>
            <w:rFonts w:ascii="Arial" w:hAnsi="Arial" w:cs="Arial"/>
            <w:noProof/>
            <w:webHidden/>
            <w:sz w:val="22"/>
            <w:szCs w:val="22"/>
            <w:lang w:val="en-US"/>
          </w:rPr>
          <w:instrText xml:space="preserve"> PAGEREF _Toc449703276 \h </w:instrText>
        </w:r>
        <w:r w:rsidR="00F42A95" w:rsidRPr="00C2514D">
          <w:rPr>
            <w:rFonts w:ascii="Arial" w:hAnsi="Arial" w:cs="Arial"/>
            <w:noProof/>
            <w:webHidden/>
            <w:sz w:val="22"/>
            <w:szCs w:val="22"/>
            <w:lang w:val="en-US"/>
          </w:rPr>
        </w:r>
        <w:r w:rsidR="00F42A95" w:rsidRPr="00C2514D">
          <w:rPr>
            <w:rFonts w:ascii="Arial" w:hAnsi="Arial" w:cs="Arial"/>
            <w:noProof/>
            <w:webHidden/>
            <w:sz w:val="22"/>
            <w:szCs w:val="22"/>
            <w:lang w:val="en-US"/>
          </w:rPr>
          <w:fldChar w:fldCharType="separate"/>
        </w:r>
        <w:r w:rsidR="00F42A95" w:rsidRPr="00C2514D">
          <w:rPr>
            <w:rFonts w:ascii="Arial" w:hAnsi="Arial" w:cs="Arial"/>
            <w:noProof/>
            <w:webHidden/>
            <w:sz w:val="22"/>
            <w:szCs w:val="22"/>
            <w:lang w:val="en-US"/>
          </w:rPr>
          <w:t>8</w:t>
        </w:r>
        <w:r w:rsidR="00F42A95" w:rsidRPr="00C2514D">
          <w:rPr>
            <w:rFonts w:ascii="Arial" w:hAnsi="Arial" w:cs="Arial"/>
            <w:noProof/>
            <w:webHidden/>
            <w:sz w:val="22"/>
            <w:szCs w:val="22"/>
            <w:lang w:val="en-US"/>
          </w:rPr>
          <w:fldChar w:fldCharType="end"/>
        </w:r>
      </w:hyperlink>
    </w:p>
    <w:p w:rsidR="00F42A95" w:rsidRPr="00C2514D" w:rsidRDefault="00CC7C33">
      <w:pPr>
        <w:pStyle w:val="TOC2"/>
        <w:rPr>
          <w:rFonts w:ascii="Arial" w:eastAsiaTheme="minorEastAsia" w:hAnsi="Arial" w:cs="Arial"/>
          <w:noProof/>
          <w:spacing w:val="0"/>
          <w:sz w:val="22"/>
          <w:szCs w:val="22"/>
          <w:lang w:val="en-US"/>
        </w:rPr>
      </w:pPr>
      <w:hyperlink w:anchor="_Toc449703277" w:history="1">
        <w:r w:rsidR="00F42A95" w:rsidRPr="00C2514D">
          <w:rPr>
            <w:rStyle w:val="Hyperlink"/>
            <w:rFonts w:ascii="Arial" w:hAnsi="Arial" w:cs="Arial"/>
            <w:noProof/>
            <w:sz w:val="22"/>
            <w:szCs w:val="22"/>
            <w:lang w:val="en-US"/>
          </w:rPr>
          <w:t>C.</w:t>
        </w:r>
        <w:r w:rsidR="00F42A95" w:rsidRPr="00C2514D">
          <w:rPr>
            <w:rFonts w:ascii="Arial" w:eastAsiaTheme="minorEastAsia" w:hAnsi="Arial" w:cs="Arial"/>
            <w:noProof/>
            <w:spacing w:val="0"/>
            <w:sz w:val="22"/>
            <w:szCs w:val="22"/>
            <w:lang w:val="en-US"/>
          </w:rPr>
          <w:tab/>
        </w:r>
        <w:r w:rsidR="00722AF8" w:rsidRPr="00C2514D">
          <w:rPr>
            <w:rFonts w:ascii="Arial" w:eastAsiaTheme="minorEastAsia" w:hAnsi="Arial" w:cs="Arial"/>
            <w:noProof/>
            <w:spacing w:val="0"/>
            <w:sz w:val="22"/>
            <w:szCs w:val="22"/>
            <w:lang w:val="en-US"/>
          </w:rPr>
          <w:t>Reporting</w:t>
        </w:r>
        <w:r w:rsidR="00F42A95" w:rsidRPr="00C2514D">
          <w:rPr>
            <w:rFonts w:ascii="Arial" w:hAnsi="Arial" w:cs="Arial"/>
            <w:noProof/>
            <w:webHidden/>
            <w:sz w:val="22"/>
            <w:szCs w:val="22"/>
            <w:lang w:val="en-US"/>
          </w:rPr>
          <w:tab/>
        </w:r>
        <w:r w:rsidR="00F42A95" w:rsidRPr="00C2514D">
          <w:rPr>
            <w:rFonts w:ascii="Arial" w:hAnsi="Arial" w:cs="Arial"/>
            <w:noProof/>
            <w:webHidden/>
            <w:sz w:val="22"/>
            <w:szCs w:val="22"/>
            <w:lang w:val="en-US"/>
          </w:rPr>
          <w:fldChar w:fldCharType="begin"/>
        </w:r>
        <w:r w:rsidR="00F42A95" w:rsidRPr="00C2514D">
          <w:rPr>
            <w:rFonts w:ascii="Arial" w:hAnsi="Arial" w:cs="Arial"/>
            <w:noProof/>
            <w:webHidden/>
            <w:sz w:val="22"/>
            <w:szCs w:val="22"/>
            <w:lang w:val="en-US"/>
          </w:rPr>
          <w:instrText xml:space="preserve"> PAGEREF _Toc449703277 \h </w:instrText>
        </w:r>
        <w:r w:rsidR="00F42A95" w:rsidRPr="00C2514D">
          <w:rPr>
            <w:rFonts w:ascii="Arial" w:hAnsi="Arial" w:cs="Arial"/>
            <w:noProof/>
            <w:webHidden/>
            <w:sz w:val="22"/>
            <w:szCs w:val="22"/>
            <w:lang w:val="en-US"/>
          </w:rPr>
        </w:r>
        <w:r w:rsidR="00F42A95" w:rsidRPr="00C2514D">
          <w:rPr>
            <w:rFonts w:ascii="Arial" w:hAnsi="Arial" w:cs="Arial"/>
            <w:noProof/>
            <w:webHidden/>
            <w:sz w:val="22"/>
            <w:szCs w:val="22"/>
            <w:lang w:val="en-US"/>
          </w:rPr>
          <w:fldChar w:fldCharType="separate"/>
        </w:r>
        <w:r w:rsidR="00F42A95" w:rsidRPr="00C2514D">
          <w:rPr>
            <w:rFonts w:ascii="Arial" w:hAnsi="Arial" w:cs="Arial"/>
            <w:noProof/>
            <w:webHidden/>
            <w:sz w:val="22"/>
            <w:szCs w:val="22"/>
            <w:lang w:val="en-US"/>
          </w:rPr>
          <w:t>9</w:t>
        </w:r>
        <w:r w:rsidR="00F42A95" w:rsidRPr="00C2514D">
          <w:rPr>
            <w:rFonts w:ascii="Arial" w:hAnsi="Arial" w:cs="Arial"/>
            <w:noProof/>
            <w:webHidden/>
            <w:sz w:val="22"/>
            <w:szCs w:val="22"/>
            <w:lang w:val="en-US"/>
          </w:rPr>
          <w:fldChar w:fldCharType="end"/>
        </w:r>
      </w:hyperlink>
    </w:p>
    <w:p w:rsidR="00F42A95" w:rsidRPr="00C2514D" w:rsidRDefault="00CC7C33">
      <w:pPr>
        <w:pStyle w:val="TOC2"/>
        <w:rPr>
          <w:rFonts w:ascii="Arial" w:eastAsiaTheme="minorEastAsia" w:hAnsi="Arial" w:cs="Arial"/>
          <w:noProof/>
          <w:spacing w:val="0"/>
          <w:sz w:val="22"/>
          <w:szCs w:val="22"/>
          <w:lang w:val="en-US"/>
        </w:rPr>
      </w:pPr>
      <w:hyperlink w:anchor="_Toc449703278" w:history="1">
        <w:r w:rsidR="00F42A95" w:rsidRPr="00C2514D">
          <w:rPr>
            <w:rStyle w:val="Hyperlink"/>
            <w:rFonts w:ascii="Arial" w:hAnsi="Arial" w:cs="Arial"/>
            <w:noProof/>
            <w:sz w:val="22"/>
            <w:szCs w:val="22"/>
            <w:lang w:val="en-US"/>
          </w:rPr>
          <w:t>D.</w:t>
        </w:r>
        <w:r w:rsidR="00F42A95" w:rsidRPr="00C2514D">
          <w:rPr>
            <w:rFonts w:ascii="Arial" w:eastAsiaTheme="minorEastAsia" w:hAnsi="Arial" w:cs="Arial"/>
            <w:noProof/>
            <w:spacing w:val="0"/>
            <w:sz w:val="22"/>
            <w:szCs w:val="22"/>
            <w:lang w:val="en-US"/>
          </w:rPr>
          <w:tab/>
        </w:r>
        <w:r w:rsidR="00F42A95" w:rsidRPr="00C2514D">
          <w:rPr>
            <w:rStyle w:val="Hyperlink"/>
            <w:rFonts w:ascii="Arial" w:hAnsi="Arial" w:cs="Arial"/>
            <w:noProof/>
            <w:sz w:val="22"/>
            <w:szCs w:val="22"/>
            <w:lang w:val="en-US"/>
          </w:rPr>
          <w:t>Coordina</w:t>
        </w:r>
        <w:r w:rsidR="00722AF8" w:rsidRPr="00C2514D">
          <w:rPr>
            <w:rStyle w:val="Hyperlink"/>
            <w:rFonts w:ascii="Arial" w:hAnsi="Arial" w:cs="Arial"/>
            <w:noProof/>
            <w:sz w:val="22"/>
            <w:szCs w:val="22"/>
            <w:lang w:val="en-US"/>
          </w:rPr>
          <w:t>tion, workplan and budget</w:t>
        </w:r>
        <w:r w:rsidR="00F42A95" w:rsidRPr="00C2514D">
          <w:rPr>
            <w:rFonts w:ascii="Arial" w:hAnsi="Arial" w:cs="Arial"/>
            <w:noProof/>
            <w:webHidden/>
            <w:sz w:val="22"/>
            <w:szCs w:val="22"/>
            <w:lang w:val="en-US"/>
          </w:rPr>
          <w:tab/>
        </w:r>
        <w:r w:rsidR="00F42A95" w:rsidRPr="00C2514D">
          <w:rPr>
            <w:rFonts w:ascii="Arial" w:hAnsi="Arial" w:cs="Arial"/>
            <w:noProof/>
            <w:webHidden/>
            <w:sz w:val="22"/>
            <w:szCs w:val="22"/>
            <w:lang w:val="en-US"/>
          </w:rPr>
          <w:fldChar w:fldCharType="begin"/>
        </w:r>
        <w:r w:rsidR="00F42A95" w:rsidRPr="00C2514D">
          <w:rPr>
            <w:rFonts w:ascii="Arial" w:hAnsi="Arial" w:cs="Arial"/>
            <w:noProof/>
            <w:webHidden/>
            <w:sz w:val="22"/>
            <w:szCs w:val="22"/>
            <w:lang w:val="en-US"/>
          </w:rPr>
          <w:instrText xml:space="preserve"> PAGEREF _Toc449703278 \h </w:instrText>
        </w:r>
        <w:r w:rsidR="00F42A95" w:rsidRPr="00C2514D">
          <w:rPr>
            <w:rFonts w:ascii="Arial" w:hAnsi="Arial" w:cs="Arial"/>
            <w:noProof/>
            <w:webHidden/>
            <w:sz w:val="22"/>
            <w:szCs w:val="22"/>
            <w:lang w:val="en-US"/>
          </w:rPr>
        </w:r>
        <w:r w:rsidR="00F42A95" w:rsidRPr="00C2514D">
          <w:rPr>
            <w:rFonts w:ascii="Arial" w:hAnsi="Arial" w:cs="Arial"/>
            <w:noProof/>
            <w:webHidden/>
            <w:sz w:val="22"/>
            <w:szCs w:val="22"/>
            <w:lang w:val="en-US"/>
          </w:rPr>
          <w:fldChar w:fldCharType="separate"/>
        </w:r>
        <w:r w:rsidR="00F42A95" w:rsidRPr="00C2514D">
          <w:rPr>
            <w:rFonts w:ascii="Arial" w:hAnsi="Arial" w:cs="Arial"/>
            <w:noProof/>
            <w:webHidden/>
            <w:sz w:val="22"/>
            <w:szCs w:val="22"/>
            <w:lang w:val="en-US"/>
          </w:rPr>
          <w:t>10</w:t>
        </w:r>
        <w:r w:rsidR="00F42A95" w:rsidRPr="00C2514D">
          <w:rPr>
            <w:rFonts w:ascii="Arial" w:hAnsi="Arial" w:cs="Arial"/>
            <w:noProof/>
            <w:webHidden/>
            <w:sz w:val="22"/>
            <w:szCs w:val="22"/>
            <w:lang w:val="en-US"/>
          </w:rPr>
          <w:fldChar w:fldCharType="end"/>
        </w:r>
      </w:hyperlink>
    </w:p>
    <w:p w:rsidR="00F42A95" w:rsidRPr="00C2514D" w:rsidRDefault="00CC7C33" w:rsidP="00F42A95">
      <w:pPr>
        <w:pStyle w:val="TOC1"/>
        <w:rPr>
          <w:rFonts w:eastAsiaTheme="minorEastAsia"/>
          <w:spacing w:val="0"/>
          <w:lang w:val="en-US"/>
        </w:rPr>
      </w:pPr>
      <w:hyperlink w:anchor="_Toc449703279" w:history="1">
        <w:r w:rsidR="00F42A95" w:rsidRPr="00C2514D">
          <w:rPr>
            <w:rStyle w:val="Hyperlink"/>
            <w:lang w:val="en-US"/>
          </w:rPr>
          <w:t>III.</w:t>
        </w:r>
        <w:r w:rsidR="00F42A95" w:rsidRPr="00C2514D">
          <w:rPr>
            <w:rFonts w:eastAsiaTheme="minorEastAsia"/>
            <w:spacing w:val="0"/>
            <w:lang w:val="en-US"/>
          </w:rPr>
          <w:tab/>
        </w:r>
        <w:r w:rsidR="00F42A95" w:rsidRPr="00C2514D">
          <w:rPr>
            <w:rStyle w:val="Hyperlink"/>
            <w:lang w:val="en-US"/>
          </w:rPr>
          <w:t>Evalua</w:t>
        </w:r>
        <w:r w:rsidR="006E6C40" w:rsidRPr="00C2514D">
          <w:rPr>
            <w:rStyle w:val="Hyperlink"/>
            <w:lang w:val="en-US"/>
          </w:rPr>
          <w:t>tio</w:t>
        </w:r>
        <w:r w:rsidR="00F42A95" w:rsidRPr="00C2514D">
          <w:rPr>
            <w:rStyle w:val="Hyperlink"/>
            <w:lang w:val="en-US"/>
          </w:rPr>
          <w:t>n</w:t>
        </w:r>
        <w:r w:rsidR="00F42A95" w:rsidRPr="00C2514D">
          <w:rPr>
            <w:webHidden/>
            <w:lang w:val="en-US"/>
          </w:rPr>
          <w:tab/>
        </w:r>
        <w:r w:rsidR="00F42A95" w:rsidRPr="00C2514D">
          <w:rPr>
            <w:webHidden/>
            <w:lang w:val="en-US"/>
          </w:rPr>
          <w:fldChar w:fldCharType="begin"/>
        </w:r>
        <w:r w:rsidR="00F42A95" w:rsidRPr="00C2514D">
          <w:rPr>
            <w:webHidden/>
            <w:lang w:val="en-US"/>
          </w:rPr>
          <w:instrText xml:space="preserve"> PAGEREF _Toc449703279 \h </w:instrText>
        </w:r>
        <w:r w:rsidR="00F42A95" w:rsidRPr="00C2514D">
          <w:rPr>
            <w:webHidden/>
            <w:lang w:val="en-US"/>
          </w:rPr>
        </w:r>
        <w:r w:rsidR="00F42A95" w:rsidRPr="00C2514D">
          <w:rPr>
            <w:webHidden/>
            <w:lang w:val="en-US"/>
          </w:rPr>
          <w:fldChar w:fldCharType="separate"/>
        </w:r>
        <w:r w:rsidR="00F42A95" w:rsidRPr="00C2514D">
          <w:rPr>
            <w:webHidden/>
            <w:lang w:val="en-US"/>
          </w:rPr>
          <w:t>11</w:t>
        </w:r>
        <w:r w:rsidR="00F42A95" w:rsidRPr="00C2514D">
          <w:rPr>
            <w:webHidden/>
            <w:lang w:val="en-US"/>
          </w:rPr>
          <w:fldChar w:fldCharType="end"/>
        </w:r>
      </w:hyperlink>
    </w:p>
    <w:p w:rsidR="00F42A95" w:rsidRPr="00C2514D" w:rsidRDefault="00CC7C33">
      <w:pPr>
        <w:pStyle w:val="TOC2"/>
        <w:rPr>
          <w:rFonts w:ascii="Arial" w:eastAsiaTheme="minorEastAsia" w:hAnsi="Arial" w:cs="Arial"/>
          <w:noProof/>
          <w:spacing w:val="0"/>
          <w:sz w:val="22"/>
          <w:szCs w:val="22"/>
          <w:lang w:val="en-US"/>
        </w:rPr>
      </w:pPr>
      <w:hyperlink w:anchor="_Toc449703280" w:history="1">
        <w:r w:rsidR="00F42A95" w:rsidRPr="00C2514D">
          <w:rPr>
            <w:rStyle w:val="Hyperlink"/>
            <w:rFonts w:ascii="Arial" w:hAnsi="Arial" w:cs="Arial"/>
            <w:noProof/>
            <w:sz w:val="22"/>
            <w:szCs w:val="22"/>
            <w:lang w:val="en-US"/>
          </w:rPr>
          <w:t>A.</w:t>
        </w:r>
        <w:r w:rsidR="00F42A95" w:rsidRPr="00C2514D">
          <w:rPr>
            <w:rFonts w:ascii="Arial" w:eastAsiaTheme="minorEastAsia" w:hAnsi="Arial" w:cs="Arial"/>
            <w:noProof/>
            <w:spacing w:val="0"/>
            <w:sz w:val="22"/>
            <w:szCs w:val="22"/>
            <w:lang w:val="en-US"/>
          </w:rPr>
          <w:tab/>
        </w:r>
        <w:r w:rsidR="00722AF8" w:rsidRPr="00C2514D">
          <w:rPr>
            <w:rStyle w:val="Hyperlink"/>
            <w:rFonts w:ascii="Arial" w:hAnsi="Arial" w:cs="Arial"/>
            <w:noProof/>
            <w:sz w:val="22"/>
            <w:szCs w:val="22"/>
            <w:lang w:val="en-US"/>
          </w:rPr>
          <w:t>Main evaluation questions</w:t>
        </w:r>
        <w:r w:rsidR="00F42A95" w:rsidRPr="00C2514D">
          <w:rPr>
            <w:rFonts w:ascii="Arial" w:hAnsi="Arial" w:cs="Arial"/>
            <w:noProof/>
            <w:webHidden/>
            <w:sz w:val="22"/>
            <w:szCs w:val="22"/>
            <w:lang w:val="en-US"/>
          </w:rPr>
          <w:tab/>
        </w:r>
        <w:r w:rsidR="00F42A95" w:rsidRPr="00C2514D">
          <w:rPr>
            <w:rFonts w:ascii="Arial" w:hAnsi="Arial" w:cs="Arial"/>
            <w:noProof/>
            <w:webHidden/>
            <w:sz w:val="22"/>
            <w:szCs w:val="22"/>
            <w:lang w:val="en-US"/>
          </w:rPr>
          <w:fldChar w:fldCharType="begin"/>
        </w:r>
        <w:r w:rsidR="00F42A95" w:rsidRPr="00C2514D">
          <w:rPr>
            <w:rFonts w:ascii="Arial" w:hAnsi="Arial" w:cs="Arial"/>
            <w:noProof/>
            <w:webHidden/>
            <w:sz w:val="22"/>
            <w:szCs w:val="22"/>
            <w:lang w:val="en-US"/>
          </w:rPr>
          <w:instrText xml:space="preserve"> PAGEREF _Toc449703280 \h </w:instrText>
        </w:r>
        <w:r w:rsidR="00F42A95" w:rsidRPr="00C2514D">
          <w:rPr>
            <w:rFonts w:ascii="Arial" w:hAnsi="Arial" w:cs="Arial"/>
            <w:noProof/>
            <w:webHidden/>
            <w:sz w:val="22"/>
            <w:szCs w:val="22"/>
            <w:lang w:val="en-US"/>
          </w:rPr>
        </w:r>
        <w:r w:rsidR="00F42A95" w:rsidRPr="00C2514D">
          <w:rPr>
            <w:rFonts w:ascii="Arial" w:hAnsi="Arial" w:cs="Arial"/>
            <w:noProof/>
            <w:webHidden/>
            <w:sz w:val="22"/>
            <w:szCs w:val="22"/>
            <w:lang w:val="en-US"/>
          </w:rPr>
          <w:fldChar w:fldCharType="separate"/>
        </w:r>
        <w:r w:rsidR="00F42A95" w:rsidRPr="00C2514D">
          <w:rPr>
            <w:rFonts w:ascii="Arial" w:hAnsi="Arial" w:cs="Arial"/>
            <w:noProof/>
            <w:webHidden/>
            <w:sz w:val="22"/>
            <w:szCs w:val="22"/>
            <w:lang w:val="en-US"/>
          </w:rPr>
          <w:t>11</w:t>
        </w:r>
        <w:r w:rsidR="00F42A95" w:rsidRPr="00C2514D">
          <w:rPr>
            <w:rFonts w:ascii="Arial" w:hAnsi="Arial" w:cs="Arial"/>
            <w:noProof/>
            <w:webHidden/>
            <w:sz w:val="22"/>
            <w:szCs w:val="22"/>
            <w:lang w:val="en-US"/>
          </w:rPr>
          <w:fldChar w:fldCharType="end"/>
        </w:r>
      </w:hyperlink>
    </w:p>
    <w:p w:rsidR="00F42A95" w:rsidRPr="00C2514D" w:rsidRDefault="00CC7C33">
      <w:pPr>
        <w:pStyle w:val="TOC2"/>
        <w:rPr>
          <w:rFonts w:ascii="Arial" w:eastAsiaTheme="minorEastAsia" w:hAnsi="Arial" w:cs="Arial"/>
          <w:noProof/>
          <w:spacing w:val="0"/>
          <w:sz w:val="22"/>
          <w:szCs w:val="22"/>
          <w:lang w:val="en-US"/>
        </w:rPr>
      </w:pPr>
      <w:hyperlink w:anchor="_Toc449703281" w:history="1">
        <w:r w:rsidR="00F42A95" w:rsidRPr="00C2514D">
          <w:rPr>
            <w:rStyle w:val="Hyperlink"/>
            <w:rFonts w:ascii="Arial" w:hAnsi="Arial" w:cs="Arial"/>
            <w:noProof/>
            <w:sz w:val="22"/>
            <w:szCs w:val="22"/>
            <w:lang w:val="en-US"/>
          </w:rPr>
          <w:t>B.</w:t>
        </w:r>
        <w:r w:rsidR="00F42A95" w:rsidRPr="00C2514D">
          <w:rPr>
            <w:rFonts w:ascii="Arial" w:eastAsiaTheme="minorEastAsia" w:hAnsi="Arial" w:cs="Arial"/>
            <w:noProof/>
            <w:spacing w:val="0"/>
            <w:sz w:val="22"/>
            <w:szCs w:val="22"/>
            <w:lang w:val="en-US"/>
          </w:rPr>
          <w:tab/>
        </w:r>
        <w:r w:rsidR="00D6582C" w:rsidRPr="00C2514D">
          <w:rPr>
            <w:rFonts w:ascii="Arial" w:eastAsiaTheme="minorEastAsia" w:hAnsi="Arial" w:cs="Arial"/>
            <w:noProof/>
            <w:spacing w:val="0"/>
            <w:sz w:val="22"/>
            <w:szCs w:val="22"/>
            <w:lang w:val="en-US"/>
          </w:rPr>
          <w:t>Existing knowledge</w:t>
        </w:r>
        <w:r w:rsidR="00F42A95" w:rsidRPr="00C2514D">
          <w:rPr>
            <w:rFonts w:ascii="Arial" w:hAnsi="Arial" w:cs="Arial"/>
            <w:noProof/>
            <w:webHidden/>
            <w:sz w:val="22"/>
            <w:szCs w:val="22"/>
            <w:lang w:val="en-US"/>
          </w:rPr>
          <w:tab/>
        </w:r>
        <w:r w:rsidR="00F42A95" w:rsidRPr="00C2514D">
          <w:rPr>
            <w:rFonts w:ascii="Arial" w:hAnsi="Arial" w:cs="Arial"/>
            <w:noProof/>
            <w:webHidden/>
            <w:sz w:val="22"/>
            <w:szCs w:val="22"/>
            <w:lang w:val="en-US"/>
          </w:rPr>
          <w:fldChar w:fldCharType="begin"/>
        </w:r>
        <w:r w:rsidR="00F42A95" w:rsidRPr="00C2514D">
          <w:rPr>
            <w:rFonts w:ascii="Arial" w:hAnsi="Arial" w:cs="Arial"/>
            <w:noProof/>
            <w:webHidden/>
            <w:sz w:val="22"/>
            <w:szCs w:val="22"/>
            <w:lang w:val="en-US"/>
          </w:rPr>
          <w:instrText xml:space="preserve"> PAGEREF _Toc449703281 \h </w:instrText>
        </w:r>
        <w:r w:rsidR="00F42A95" w:rsidRPr="00C2514D">
          <w:rPr>
            <w:rFonts w:ascii="Arial" w:hAnsi="Arial" w:cs="Arial"/>
            <w:noProof/>
            <w:webHidden/>
            <w:sz w:val="22"/>
            <w:szCs w:val="22"/>
            <w:lang w:val="en-US"/>
          </w:rPr>
        </w:r>
        <w:r w:rsidR="00F42A95" w:rsidRPr="00C2514D">
          <w:rPr>
            <w:rFonts w:ascii="Arial" w:hAnsi="Arial" w:cs="Arial"/>
            <w:noProof/>
            <w:webHidden/>
            <w:sz w:val="22"/>
            <w:szCs w:val="22"/>
            <w:lang w:val="en-US"/>
          </w:rPr>
          <w:fldChar w:fldCharType="separate"/>
        </w:r>
        <w:r w:rsidR="00F42A95" w:rsidRPr="00C2514D">
          <w:rPr>
            <w:rFonts w:ascii="Arial" w:hAnsi="Arial" w:cs="Arial"/>
            <w:noProof/>
            <w:webHidden/>
            <w:sz w:val="22"/>
            <w:szCs w:val="22"/>
            <w:lang w:val="en-US"/>
          </w:rPr>
          <w:t>14</w:t>
        </w:r>
        <w:r w:rsidR="00F42A95" w:rsidRPr="00C2514D">
          <w:rPr>
            <w:rFonts w:ascii="Arial" w:hAnsi="Arial" w:cs="Arial"/>
            <w:noProof/>
            <w:webHidden/>
            <w:sz w:val="22"/>
            <w:szCs w:val="22"/>
            <w:lang w:val="en-US"/>
          </w:rPr>
          <w:fldChar w:fldCharType="end"/>
        </w:r>
      </w:hyperlink>
    </w:p>
    <w:p w:rsidR="00F42A95" w:rsidRPr="00C2514D" w:rsidRDefault="00CC7C33">
      <w:pPr>
        <w:pStyle w:val="TOC2"/>
        <w:rPr>
          <w:rFonts w:ascii="Arial" w:eastAsiaTheme="minorEastAsia" w:hAnsi="Arial" w:cs="Arial"/>
          <w:noProof/>
          <w:spacing w:val="0"/>
          <w:sz w:val="22"/>
          <w:szCs w:val="22"/>
          <w:lang w:val="en-US"/>
        </w:rPr>
      </w:pPr>
      <w:hyperlink w:anchor="_Toc449703282" w:history="1">
        <w:r w:rsidR="00F42A95" w:rsidRPr="00C2514D">
          <w:rPr>
            <w:rStyle w:val="Hyperlink"/>
            <w:rFonts w:ascii="Arial" w:hAnsi="Arial" w:cs="Arial"/>
            <w:noProof/>
            <w:sz w:val="22"/>
            <w:szCs w:val="22"/>
            <w:lang w:val="en-US"/>
          </w:rPr>
          <w:t>C.</w:t>
        </w:r>
        <w:r w:rsidR="00F42A95" w:rsidRPr="00C2514D">
          <w:rPr>
            <w:rFonts w:ascii="Arial" w:eastAsiaTheme="minorEastAsia" w:hAnsi="Arial" w:cs="Arial"/>
            <w:noProof/>
            <w:spacing w:val="0"/>
            <w:sz w:val="22"/>
            <w:szCs w:val="22"/>
            <w:lang w:val="en-US"/>
          </w:rPr>
          <w:tab/>
        </w:r>
        <w:r w:rsidR="00722AF8" w:rsidRPr="00C2514D">
          <w:rPr>
            <w:rStyle w:val="Hyperlink"/>
            <w:rFonts w:ascii="Arial" w:hAnsi="Arial" w:cs="Arial"/>
            <w:noProof/>
            <w:sz w:val="22"/>
            <w:szCs w:val="22"/>
            <w:lang w:val="en-US"/>
          </w:rPr>
          <w:t>Main indicators</w:t>
        </w:r>
        <w:r w:rsidR="00F42A95" w:rsidRPr="00C2514D">
          <w:rPr>
            <w:rFonts w:ascii="Arial" w:hAnsi="Arial" w:cs="Arial"/>
            <w:noProof/>
            <w:webHidden/>
            <w:sz w:val="22"/>
            <w:szCs w:val="22"/>
            <w:lang w:val="en-US"/>
          </w:rPr>
          <w:tab/>
        </w:r>
        <w:r w:rsidR="00F42A95" w:rsidRPr="00C2514D">
          <w:rPr>
            <w:rFonts w:ascii="Arial" w:hAnsi="Arial" w:cs="Arial"/>
            <w:noProof/>
            <w:webHidden/>
            <w:sz w:val="22"/>
            <w:szCs w:val="22"/>
            <w:lang w:val="en-US"/>
          </w:rPr>
          <w:fldChar w:fldCharType="begin"/>
        </w:r>
        <w:r w:rsidR="00F42A95" w:rsidRPr="00C2514D">
          <w:rPr>
            <w:rFonts w:ascii="Arial" w:hAnsi="Arial" w:cs="Arial"/>
            <w:noProof/>
            <w:webHidden/>
            <w:sz w:val="22"/>
            <w:szCs w:val="22"/>
            <w:lang w:val="en-US"/>
          </w:rPr>
          <w:instrText xml:space="preserve"> PAGEREF _Toc449703282 \h </w:instrText>
        </w:r>
        <w:r w:rsidR="00F42A95" w:rsidRPr="00C2514D">
          <w:rPr>
            <w:rFonts w:ascii="Arial" w:hAnsi="Arial" w:cs="Arial"/>
            <w:noProof/>
            <w:webHidden/>
            <w:sz w:val="22"/>
            <w:szCs w:val="22"/>
            <w:lang w:val="en-US"/>
          </w:rPr>
        </w:r>
        <w:r w:rsidR="00F42A95" w:rsidRPr="00C2514D">
          <w:rPr>
            <w:rFonts w:ascii="Arial" w:hAnsi="Arial" w:cs="Arial"/>
            <w:noProof/>
            <w:webHidden/>
            <w:sz w:val="22"/>
            <w:szCs w:val="22"/>
            <w:lang w:val="en-US"/>
          </w:rPr>
          <w:fldChar w:fldCharType="separate"/>
        </w:r>
        <w:r w:rsidR="00F42A95" w:rsidRPr="00C2514D">
          <w:rPr>
            <w:rFonts w:ascii="Arial" w:hAnsi="Arial" w:cs="Arial"/>
            <w:noProof/>
            <w:webHidden/>
            <w:sz w:val="22"/>
            <w:szCs w:val="22"/>
            <w:lang w:val="en-US"/>
          </w:rPr>
          <w:t>18</w:t>
        </w:r>
        <w:r w:rsidR="00F42A95" w:rsidRPr="00C2514D">
          <w:rPr>
            <w:rFonts w:ascii="Arial" w:hAnsi="Arial" w:cs="Arial"/>
            <w:noProof/>
            <w:webHidden/>
            <w:sz w:val="22"/>
            <w:szCs w:val="22"/>
            <w:lang w:val="en-US"/>
          </w:rPr>
          <w:fldChar w:fldCharType="end"/>
        </w:r>
      </w:hyperlink>
    </w:p>
    <w:p w:rsidR="00F42A95" w:rsidRPr="00C2514D" w:rsidRDefault="00CC7C33">
      <w:pPr>
        <w:pStyle w:val="TOC2"/>
        <w:rPr>
          <w:rFonts w:ascii="Arial" w:eastAsiaTheme="minorEastAsia" w:hAnsi="Arial" w:cs="Arial"/>
          <w:noProof/>
          <w:spacing w:val="0"/>
          <w:sz w:val="22"/>
          <w:szCs w:val="22"/>
          <w:lang w:val="en-US"/>
        </w:rPr>
      </w:pPr>
      <w:hyperlink w:anchor="_Toc449703283" w:history="1">
        <w:r w:rsidR="00F42A95" w:rsidRPr="00C2514D">
          <w:rPr>
            <w:rStyle w:val="Hyperlink"/>
            <w:rFonts w:ascii="Arial" w:hAnsi="Arial" w:cs="Arial"/>
            <w:noProof/>
            <w:sz w:val="22"/>
            <w:szCs w:val="22"/>
            <w:lang w:val="en-US"/>
          </w:rPr>
          <w:t>D.</w:t>
        </w:r>
        <w:r w:rsidR="00F42A95" w:rsidRPr="00C2514D">
          <w:rPr>
            <w:rFonts w:ascii="Arial" w:eastAsiaTheme="minorEastAsia" w:hAnsi="Arial" w:cs="Arial"/>
            <w:noProof/>
            <w:spacing w:val="0"/>
            <w:sz w:val="22"/>
            <w:szCs w:val="22"/>
            <w:lang w:val="en-US"/>
          </w:rPr>
          <w:tab/>
        </w:r>
        <w:r w:rsidR="00722AF8" w:rsidRPr="00C2514D">
          <w:rPr>
            <w:rStyle w:val="Hyperlink"/>
            <w:rFonts w:ascii="Arial" w:hAnsi="Arial" w:cs="Arial"/>
            <w:noProof/>
            <w:sz w:val="22"/>
            <w:szCs w:val="22"/>
            <w:lang w:val="en-US"/>
          </w:rPr>
          <w:t>Methodology</w:t>
        </w:r>
        <w:r w:rsidR="00F42A95" w:rsidRPr="00C2514D">
          <w:rPr>
            <w:rFonts w:ascii="Arial" w:hAnsi="Arial" w:cs="Arial"/>
            <w:noProof/>
            <w:webHidden/>
            <w:sz w:val="22"/>
            <w:szCs w:val="22"/>
            <w:lang w:val="en-US"/>
          </w:rPr>
          <w:tab/>
        </w:r>
        <w:r w:rsidR="00F42A95" w:rsidRPr="00C2514D">
          <w:rPr>
            <w:rFonts w:ascii="Arial" w:hAnsi="Arial" w:cs="Arial"/>
            <w:noProof/>
            <w:webHidden/>
            <w:sz w:val="22"/>
            <w:szCs w:val="22"/>
            <w:lang w:val="en-US"/>
          </w:rPr>
          <w:fldChar w:fldCharType="begin"/>
        </w:r>
        <w:r w:rsidR="00F42A95" w:rsidRPr="00C2514D">
          <w:rPr>
            <w:rFonts w:ascii="Arial" w:hAnsi="Arial" w:cs="Arial"/>
            <w:noProof/>
            <w:webHidden/>
            <w:sz w:val="22"/>
            <w:szCs w:val="22"/>
            <w:lang w:val="en-US"/>
          </w:rPr>
          <w:instrText xml:space="preserve"> PAGEREF _Toc449703283 \h </w:instrText>
        </w:r>
        <w:r w:rsidR="00F42A95" w:rsidRPr="00C2514D">
          <w:rPr>
            <w:rFonts w:ascii="Arial" w:hAnsi="Arial" w:cs="Arial"/>
            <w:noProof/>
            <w:webHidden/>
            <w:sz w:val="22"/>
            <w:szCs w:val="22"/>
            <w:lang w:val="en-US"/>
          </w:rPr>
        </w:r>
        <w:r w:rsidR="00F42A95" w:rsidRPr="00C2514D">
          <w:rPr>
            <w:rFonts w:ascii="Arial" w:hAnsi="Arial" w:cs="Arial"/>
            <w:noProof/>
            <w:webHidden/>
            <w:sz w:val="22"/>
            <w:szCs w:val="22"/>
            <w:lang w:val="en-US"/>
          </w:rPr>
          <w:fldChar w:fldCharType="separate"/>
        </w:r>
        <w:r w:rsidR="00F42A95" w:rsidRPr="00C2514D">
          <w:rPr>
            <w:rFonts w:ascii="Arial" w:hAnsi="Arial" w:cs="Arial"/>
            <w:noProof/>
            <w:webHidden/>
            <w:sz w:val="22"/>
            <w:szCs w:val="22"/>
            <w:lang w:val="en-US"/>
          </w:rPr>
          <w:t>24</w:t>
        </w:r>
        <w:r w:rsidR="00F42A95" w:rsidRPr="00C2514D">
          <w:rPr>
            <w:rFonts w:ascii="Arial" w:hAnsi="Arial" w:cs="Arial"/>
            <w:noProof/>
            <w:webHidden/>
            <w:sz w:val="22"/>
            <w:szCs w:val="22"/>
            <w:lang w:val="en-US"/>
          </w:rPr>
          <w:fldChar w:fldCharType="end"/>
        </w:r>
      </w:hyperlink>
    </w:p>
    <w:p w:rsidR="00F42A95" w:rsidRPr="00C2514D" w:rsidRDefault="00CC7C33">
      <w:pPr>
        <w:pStyle w:val="TOC2"/>
        <w:rPr>
          <w:rFonts w:ascii="Arial" w:eastAsiaTheme="minorEastAsia" w:hAnsi="Arial" w:cs="Arial"/>
          <w:noProof/>
          <w:spacing w:val="0"/>
          <w:sz w:val="22"/>
          <w:szCs w:val="22"/>
          <w:lang w:val="en-US"/>
        </w:rPr>
      </w:pPr>
      <w:hyperlink w:anchor="_Toc449703284" w:history="1">
        <w:r w:rsidR="00F42A95" w:rsidRPr="00C2514D">
          <w:rPr>
            <w:rStyle w:val="Hyperlink"/>
            <w:rFonts w:ascii="Arial" w:hAnsi="Arial" w:cs="Arial"/>
            <w:noProof/>
            <w:sz w:val="22"/>
            <w:szCs w:val="22"/>
            <w:lang w:val="en-US"/>
          </w:rPr>
          <w:t>E.</w:t>
        </w:r>
        <w:r w:rsidR="00F42A95" w:rsidRPr="00C2514D">
          <w:rPr>
            <w:rFonts w:ascii="Arial" w:eastAsiaTheme="minorEastAsia" w:hAnsi="Arial" w:cs="Arial"/>
            <w:noProof/>
            <w:spacing w:val="0"/>
            <w:sz w:val="22"/>
            <w:szCs w:val="22"/>
            <w:lang w:val="en-US"/>
          </w:rPr>
          <w:tab/>
        </w:r>
        <w:r w:rsidR="00722AF8" w:rsidRPr="00C2514D">
          <w:rPr>
            <w:rFonts w:ascii="Arial" w:eastAsiaTheme="minorEastAsia" w:hAnsi="Arial" w:cs="Arial"/>
            <w:noProof/>
            <w:spacing w:val="0"/>
            <w:sz w:val="22"/>
            <w:szCs w:val="22"/>
            <w:lang w:val="en-US"/>
          </w:rPr>
          <w:t>Technical aspects</w:t>
        </w:r>
        <w:r w:rsidR="00F42A95" w:rsidRPr="00C2514D">
          <w:rPr>
            <w:rFonts w:ascii="Arial" w:hAnsi="Arial" w:cs="Arial"/>
            <w:noProof/>
            <w:webHidden/>
            <w:sz w:val="22"/>
            <w:szCs w:val="22"/>
            <w:lang w:val="en-US"/>
          </w:rPr>
          <w:tab/>
        </w:r>
        <w:r w:rsidR="00F42A95" w:rsidRPr="00C2514D">
          <w:rPr>
            <w:rFonts w:ascii="Arial" w:hAnsi="Arial" w:cs="Arial"/>
            <w:noProof/>
            <w:webHidden/>
            <w:sz w:val="22"/>
            <w:szCs w:val="22"/>
            <w:lang w:val="en-US"/>
          </w:rPr>
          <w:fldChar w:fldCharType="begin"/>
        </w:r>
        <w:r w:rsidR="00F42A95" w:rsidRPr="00C2514D">
          <w:rPr>
            <w:rFonts w:ascii="Arial" w:hAnsi="Arial" w:cs="Arial"/>
            <w:noProof/>
            <w:webHidden/>
            <w:sz w:val="22"/>
            <w:szCs w:val="22"/>
            <w:lang w:val="en-US"/>
          </w:rPr>
          <w:instrText xml:space="preserve"> PAGEREF _Toc449703284 \h </w:instrText>
        </w:r>
        <w:r w:rsidR="00F42A95" w:rsidRPr="00C2514D">
          <w:rPr>
            <w:rFonts w:ascii="Arial" w:hAnsi="Arial" w:cs="Arial"/>
            <w:noProof/>
            <w:webHidden/>
            <w:sz w:val="22"/>
            <w:szCs w:val="22"/>
            <w:lang w:val="en-US"/>
          </w:rPr>
        </w:r>
        <w:r w:rsidR="00F42A95" w:rsidRPr="00C2514D">
          <w:rPr>
            <w:rFonts w:ascii="Arial" w:hAnsi="Arial" w:cs="Arial"/>
            <w:noProof/>
            <w:webHidden/>
            <w:sz w:val="22"/>
            <w:szCs w:val="22"/>
            <w:lang w:val="en-US"/>
          </w:rPr>
          <w:fldChar w:fldCharType="separate"/>
        </w:r>
        <w:r w:rsidR="00F42A95" w:rsidRPr="00C2514D">
          <w:rPr>
            <w:rFonts w:ascii="Arial" w:hAnsi="Arial" w:cs="Arial"/>
            <w:noProof/>
            <w:webHidden/>
            <w:sz w:val="22"/>
            <w:szCs w:val="22"/>
            <w:lang w:val="en-US"/>
          </w:rPr>
          <w:t>25</w:t>
        </w:r>
        <w:r w:rsidR="00F42A95" w:rsidRPr="00C2514D">
          <w:rPr>
            <w:rFonts w:ascii="Arial" w:hAnsi="Arial" w:cs="Arial"/>
            <w:noProof/>
            <w:webHidden/>
            <w:sz w:val="22"/>
            <w:szCs w:val="22"/>
            <w:lang w:val="en-US"/>
          </w:rPr>
          <w:fldChar w:fldCharType="end"/>
        </w:r>
      </w:hyperlink>
    </w:p>
    <w:p w:rsidR="00F42A95" w:rsidRPr="00C2514D" w:rsidRDefault="00CC7C33">
      <w:pPr>
        <w:pStyle w:val="TOC2"/>
        <w:rPr>
          <w:rFonts w:ascii="Arial" w:eastAsiaTheme="minorEastAsia" w:hAnsi="Arial" w:cs="Arial"/>
          <w:noProof/>
          <w:spacing w:val="0"/>
          <w:sz w:val="22"/>
          <w:szCs w:val="22"/>
          <w:lang w:val="en-US"/>
        </w:rPr>
      </w:pPr>
      <w:hyperlink w:anchor="_Toc449703285" w:history="1">
        <w:r w:rsidR="00F42A95" w:rsidRPr="00C2514D">
          <w:rPr>
            <w:rStyle w:val="Hyperlink"/>
            <w:rFonts w:ascii="Arial" w:hAnsi="Arial" w:cs="Arial"/>
            <w:noProof/>
            <w:sz w:val="22"/>
            <w:szCs w:val="22"/>
            <w:lang w:val="en-US"/>
          </w:rPr>
          <w:t>F.</w:t>
        </w:r>
        <w:r w:rsidR="00F42A95" w:rsidRPr="00C2514D">
          <w:rPr>
            <w:rFonts w:ascii="Arial" w:eastAsiaTheme="minorEastAsia" w:hAnsi="Arial" w:cs="Arial"/>
            <w:noProof/>
            <w:spacing w:val="0"/>
            <w:sz w:val="22"/>
            <w:szCs w:val="22"/>
            <w:lang w:val="en-US"/>
          </w:rPr>
          <w:tab/>
        </w:r>
        <w:r w:rsidR="00722AF8" w:rsidRPr="00C2514D">
          <w:rPr>
            <w:rFonts w:ascii="Arial" w:eastAsiaTheme="minorEastAsia" w:hAnsi="Arial" w:cs="Arial"/>
            <w:noProof/>
            <w:spacing w:val="0"/>
            <w:sz w:val="22"/>
            <w:szCs w:val="22"/>
            <w:lang w:val="en-US"/>
          </w:rPr>
          <w:t>Complementary evaluation (optional)</w:t>
        </w:r>
        <w:r w:rsidR="00F42A95" w:rsidRPr="00C2514D">
          <w:rPr>
            <w:rFonts w:ascii="Arial" w:hAnsi="Arial" w:cs="Arial"/>
            <w:noProof/>
            <w:webHidden/>
            <w:sz w:val="22"/>
            <w:szCs w:val="22"/>
            <w:lang w:val="en-US"/>
          </w:rPr>
          <w:tab/>
        </w:r>
        <w:r w:rsidR="00F42A95" w:rsidRPr="00C2514D">
          <w:rPr>
            <w:rFonts w:ascii="Arial" w:hAnsi="Arial" w:cs="Arial"/>
            <w:noProof/>
            <w:webHidden/>
            <w:sz w:val="22"/>
            <w:szCs w:val="22"/>
            <w:lang w:val="en-US"/>
          </w:rPr>
          <w:fldChar w:fldCharType="begin"/>
        </w:r>
        <w:r w:rsidR="00F42A95" w:rsidRPr="00C2514D">
          <w:rPr>
            <w:rFonts w:ascii="Arial" w:hAnsi="Arial" w:cs="Arial"/>
            <w:noProof/>
            <w:webHidden/>
            <w:sz w:val="22"/>
            <w:szCs w:val="22"/>
            <w:lang w:val="en-US"/>
          </w:rPr>
          <w:instrText xml:space="preserve"> PAGEREF _Toc449703285 \h </w:instrText>
        </w:r>
        <w:r w:rsidR="00F42A95" w:rsidRPr="00C2514D">
          <w:rPr>
            <w:rFonts w:ascii="Arial" w:hAnsi="Arial" w:cs="Arial"/>
            <w:noProof/>
            <w:webHidden/>
            <w:sz w:val="22"/>
            <w:szCs w:val="22"/>
            <w:lang w:val="en-US"/>
          </w:rPr>
        </w:r>
        <w:r w:rsidR="00F42A95" w:rsidRPr="00C2514D">
          <w:rPr>
            <w:rFonts w:ascii="Arial" w:hAnsi="Arial" w:cs="Arial"/>
            <w:noProof/>
            <w:webHidden/>
            <w:sz w:val="22"/>
            <w:szCs w:val="22"/>
            <w:lang w:val="en-US"/>
          </w:rPr>
          <w:fldChar w:fldCharType="separate"/>
        </w:r>
        <w:r w:rsidR="00F42A95" w:rsidRPr="00C2514D">
          <w:rPr>
            <w:rFonts w:ascii="Arial" w:hAnsi="Arial" w:cs="Arial"/>
            <w:noProof/>
            <w:webHidden/>
            <w:sz w:val="22"/>
            <w:szCs w:val="22"/>
            <w:lang w:val="en-US"/>
          </w:rPr>
          <w:t>30</w:t>
        </w:r>
        <w:r w:rsidR="00F42A95" w:rsidRPr="00C2514D">
          <w:rPr>
            <w:rFonts w:ascii="Arial" w:hAnsi="Arial" w:cs="Arial"/>
            <w:noProof/>
            <w:webHidden/>
            <w:sz w:val="22"/>
            <w:szCs w:val="22"/>
            <w:lang w:val="en-US"/>
          </w:rPr>
          <w:fldChar w:fldCharType="end"/>
        </w:r>
      </w:hyperlink>
    </w:p>
    <w:p w:rsidR="00F42A95" w:rsidRPr="00C2514D" w:rsidRDefault="00CC7C33">
      <w:pPr>
        <w:pStyle w:val="TOC2"/>
        <w:rPr>
          <w:rFonts w:ascii="Arial" w:eastAsiaTheme="minorEastAsia" w:hAnsi="Arial" w:cs="Arial"/>
          <w:noProof/>
          <w:spacing w:val="0"/>
          <w:sz w:val="22"/>
          <w:szCs w:val="22"/>
          <w:lang w:val="en-US"/>
        </w:rPr>
      </w:pPr>
      <w:hyperlink w:anchor="_Toc449703286" w:history="1">
        <w:r w:rsidR="00F42A95" w:rsidRPr="00C2514D">
          <w:rPr>
            <w:rStyle w:val="Hyperlink"/>
            <w:rFonts w:ascii="Arial" w:hAnsi="Arial" w:cs="Arial"/>
            <w:noProof/>
            <w:sz w:val="22"/>
            <w:szCs w:val="22"/>
            <w:lang w:val="en-US"/>
          </w:rPr>
          <w:t>G.</w:t>
        </w:r>
        <w:r w:rsidR="00F42A95" w:rsidRPr="00C2514D">
          <w:rPr>
            <w:rFonts w:ascii="Arial" w:eastAsiaTheme="minorEastAsia" w:hAnsi="Arial" w:cs="Arial"/>
            <w:noProof/>
            <w:spacing w:val="0"/>
            <w:sz w:val="22"/>
            <w:szCs w:val="22"/>
            <w:lang w:val="en-US"/>
          </w:rPr>
          <w:tab/>
        </w:r>
        <w:r w:rsidR="00722AF8" w:rsidRPr="00C2514D">
          <w:rPr>
            <w:rStyle w:val="Hyperlink"/>
            <w:rFonts w:ascii="Arial" w:hAnsi="Arial" w:cs="Arial"/>
            <w:noProof/>
            <w:sz w:val="22"/>
            <w:szCs w:val="22"/>
            <w:lang w:val="en-US"/>
          </w:rPr>
          <w:t>Reporting</w:t>
        </w:r>
        <w:r w:rsidR="00F42A95" w:rsidRPr="00C2514D">
          <w:rPr>
            <w:rFonts w:ascii="Arial" w:hAnsi="Arial" w:cs="Arial"/>
            <w:noProof/>
            <w:webHidden/>
            <w:sz w:val="22"/>
            <w:szCs w:val="22"/>
            <w:lang w:val="en-US"/>
          </w:rPr>
          <w:tab/>
        </w:r>
        <w:r w:rsidR="00F42A95" w:rsidRPr="00C2514D">
          <w:rPr>
            <w:rFonts w:ascii="Arial" w:hAnsi="Arial" w:cs="Arial"/>
            <w:noProof/>
            <w:webHidden/>
            <w:sz w:val="22"/>
            <w:szCs w:val="22"/>
            <w:lang w:val="en-US"/>
          </w:rPr>
          <w:fldChar w:fldCharType="begin"/>
        </w:r>
        <w:r w:rsidR="00F42A95" w:rsidRPr="00C2514D">
          <w:rPr>
            <w:rFonts w:ascii="Arial" w:hAnsi="Arial" w:cs="Arial"/>
            <w:noProof/>
            <w:webHidden/>
            <w:sz w:val="22"/>
            <w:szCs w:val="22"/>
            <w:lang w:val="en-US"/>
          </w:rPr>
          <w:instrText xml:space="preserve"> PAGEREF _Toc449703286 \h </w:instrText>
        </w:r>
        <w:r w:rsidR="00F42A95" w:rsidRPr="00C2514D">
          <w:rPr>
            <w:rFonts w:ascii="Arial" w:hAnsi="Arial" w:cs="Arial"/>
            <w:noProof/>
            <w:webHidden/>
            <w:sz w:val="22"/>
            <w:szCs w:val="22"/>
            <w:lang w:val="en-US"/>
          </w:rPr>
        </w:r>
        <w:r w:rsidR="00F42A95" w:rsidRPr="00C2514D">
          <w:rPr>
            <w:rFonts w:ascii="Arial" w:hAnsi="Arial" w:cs="Arial"/>
            <w:noProof/>
            <w:webHidden/>
            <w:sz w:val="22"/>
            <w:szCs w:val="22"/>
            <w:lang w:val="en-US"/>
          </w:rPr>
          <w:fldChar w:fldCharType="separate"/>
        </w:r>
        <w:r w:rsidR="00F42A95" w:rsidRPr="00C2514D">
          <w:rPr>
            <w:rFonts w:ascii="Arial" w:hAnsi="Arial" w:cs="Arial"/>
            <w:noProof/>
            <w:webHidden/>
            <w:sz w:val="22"/>
            <w:szCs w:val="22"/>
            <w:lang w:val="en-US"/>
          </w:rPr>
          <w:t>32</w:t>
        </w:r>
        <w:r w:rsidR="00F42A95" w:rsidRPr="00C2514D">
          <w:rPr>
            <w:rFonts w:ascii="Arial" w:hAnsi="Arial" w:cs="Arial"/>
            <w:noProof/>
            <w:webHidden/>
            <w:sz w:val="22"/>
            <w:szCs w:val="22"/>
            <w:lang w:val="en-US"/>
          </w:rPr>
          <w:fldChar w:fldCharType="end"/>
        </w:r>
      </w:hyperlink>
    </w:p>
    <w:p w:rsidR="00F42A95" w:rsidRPr="00C2514D" w:rsidRDefault="00CC7C33">
      <w:pPr>
        <w:pStyle w:val="TOC2"/>
        <w:rPr>
          <w:rFonts w:ascii="Arial" w:eastAsiaTheme="minorEastAsia" w:hAnsi="Arial" w:cs="Arial"/>
          <w:noProof/>
          <w:spacing w:val="0"/>
          <w:sz w:val="22"/>
          <w:szCs w:val="22"/>
          <w:lang w:val="en-US"/>
        </w:rPr>
      </w:pPr>
      <w:hyperlink w:anchor="_Toc449703287" w:history="1">
        <w:r w:rsidR="00F42A95" w:rsidRPr="00C2514D">
          <w:rPr>
            <w:rStyle w:val="Hyperlink"/>
            <w:rFonts w:ascii="Arial" w:hAnsi="Arial" w:cs="Arial"/>
            <w:noProof/>
            <w:sz w:val="22"/>
            <w:szCs w:val="22"/>
            <w:lang w:val="en-US"/>
          </w:rPr>
          <w:t>H.</w:t>
        </w:r>
        <w:r w:rsidR="00F42A95" w:rsidRPr="00C2514D">
          <w:rPr>
            <w:rFonts w:ascii="Arial" w:eastAsiaTheme="minorEastAsia" w:hAnsi="Arial" w:cs="Arial"/>
            <w:noProof/>
            <w:spacing w:val="0"/>
            <w:sz w:val="22"/>
            <w:szCs w:val="22"/>
            <w:lang w:val="en-US"/>
          </w:rPr>
          <w:tab/>
        </w:r>
        <w:r w:rsidR="00722AF8" w:rsidRPr="00C2514D">
          <w:rPr>
            <w:rStyle w:val="Hyperlink"/>
            <w:rFonts w:ascii="Arial" w:hAnsi="Arial" w:cs="Arial"/>
            <w:noProof/>
            <w:sz w:val="22"/>
            <w:szCs w:val="22"/>
            <w:lang w:val="en-US"/>
          </w:rPr>
          <w:t>Coordin</w:t>
        </w:r>
        <w:r w:rsidR="00DD16B1" w:rsidRPr="00C2514D">
          <w:rPr>
            <w:rStyle w:val="Hyperlink"/>
            <w:rFonts w:ascii="Arial" w:hAnsi="Arial" w:cs="Arial"/>
            <w:noProof/>
            <w:sz w:val="22"/>
            <w:szCs w:val="22"/>
            <w:lang w:val="en-US"/>
          </w:rPr>
          <w:t>ation, work program</w:t>
        </w:r>
        <w:r w:rsidR="00722AF8" w:rsidRPr="00C2514D">
          <w:rPr>
            <w:rStyle w:val="Hyperlink"/>
            <w:rFonts w:ascii="Arial" w:hAnsi="Arial" w:cs="Arial"/>
            <w:noProof/>
            <w:sz w:val="22"/>
            <w:szCs w:val="22"/>
            <w:lang w:val="en-US"/>
          </w:rPr>
          <w:t xml:space="preserve"> and budget </w:t>
        </w:r>
        <w:r w:rsidR="00F42A95" w:rsidRPr="00C2514D">
          <w:rPr>
            <w:rFonts w:ascii="Arial" w:hAnsi="Arial" w:cs="Arial"/>
            <w:noProof/>
            <w:webHidden/>
            <w:sz w:val="22"/>
            <w:szCs w:val="22"/>
            <w:lang w:val="en-US"/>
          </w:rPr>
          <w:tab/>
        </w:r>
        <w:r w:rsidR="00F42A95" w:rsidRPr="00C2514D">
          <w:rPr>
            <w:rFonts w:ascii="Arial" w:hAnsi="Arial" w:cs="Arial"/>
            <w:noProof/>
            <w:webHidden/>
            <w:sz w:val="22"/>
            <w:szCs w:val="22"/>
            <w:lang w:val="en-US"/>
          </w:rPr>
          <w:fldChar w:fldCharType="begin"/>
        </w:r>
        <w:r w:rsidR="00F42A95" w:rsidRPr="00C2514D">
          <w:rPr>
            <w:rFonts w:ascii="Arial" w:hAnsi="Arial" w:cs="Arial"/>
            <w:noProof/>
            <w:webHidden/>
            <w:sz w:val="22"/>
            <w:szCs w:val="22"/>
            <w:lang w:val="en-US"/>
          </w:rPr>
          <w:instrText xml:space="preserve"> PAGEREF _Toc449703287 \h </w:instrText>
        </w:r>
        <w:r w:rsidR="00F42A95" w:rsidRPr="00C2514D">
          <w:rPr>
            <w:rFonts w:ascii="Arial" w:hAnsi="Arial" w:cs="Arial"/>
            <w:noProof/>
            <w:webHidden/>
            <w:sz w:val="22"/>
            <w:szCs w:val="22"/>
            <w:lang w:val="en-US"/>
          </w:rPr>
        </w:r>
        <w:r w:rsidR="00F42A95" w:rsidRPr="00C2514D">
          <w:rPr>
            <w:rFonts w:ascii="Arial" w:hAnsi="Arial" w:cs="Arial"/>
            <w:noProof/>
            <w:webHidden/>
            <w:sz w:val="22"/>
            <w:szCs w:val="22"/>
            <w:lang w:val="en-US"/>
          </w:rPr>
          <w:fldChar w:fldCharType="separate"/>
        </w:r>
        <w:r w:rsidR="00F42A95" w:rsidRPr="00C2514D">
          <w:rPr>
            <w:rFonts w:ascii="Arial" w:hAnsi="Arial" w:cs="Arial"/>
            <w:noProof/>
            <w:webHidden/>
            <w:sz w:val="22"/>
            <w:szCs w:val="22"/>
            <w:lang w:val="en-US"/>
          </w:rPr>
          <w:t>32</w:t>
        </w:r>
        <w:r w:rsidR="00F42A95" w:rsidRPr="00C2514D">
          <w:rPr>
            <w:rFonts w:ascii="Arial" w:hAnsi="Arial" w:cs="Arial"/>
            <w:noProof/>
            <w:webHidden/>
            <w:sz w:val="22"/>
            <w:szCs w:val="22"/>
            <w:lang w:val="en-US"/>
          </w:rPr>
          <w:fldChar w:fldCharType="end"/>
        </w:r>
      </w:hyperlink>
    </w:p>
    <w:p w:rsidR="00F42A95" w:rsidRPr="00C2514D" w:rsidRDefault="00CC7C33" w:rsidP="00F42A95">
      <w:pPr>
        <w:pStyle w:val="TOC1"/>
        <w:rPr>
          <w:rFonts w:asciiTheme="minorHAnsi" w:eastAsiaTheme="minorEastAsia" w:hAnsiTheme="minorHAnsi" w:cstheme="minorBidi"/>
          <w:spacing w:val="0"/>
          <w:lang w:val="en-US"/>
        </w:rPr>
      </w:pPr>
      <w:hyperlink w:anchor="_Toc449703288" w:history="1">
        <w:r w:rsidR="00F42A95" w:rsidRPr="00C2514D">
          <w:rPr>
            <w:rStyle w:val="Hyperlink"/>
            <w:rFonts w:eastAsia="Calibri"/>
            <w:lang w:val="en-US"/>
          </w:rPr>
          <w:t>Referenc</w:t>
        </w:r>
        <w:r w:rsidR="006E6C40" w:rsidRPr="00C2514D">
          <w:rPr>
            <w:rStyle w:val="Hyperlink"/>
            <w:rFonts w:eastAsia="Calibri"/>
            <w:lang w:val="en-US"/>
          </w:rPr>
          <w:t>es</w:t>
        </w:r>
        <w:r w:rsidR="00F42A95" w:rsidRPr="00C2514D">
          <w:rPr>
            <w:webHidden/>
            <w:lang w:val="en-US"/>
          </w:rPr>
          <w:tab/>
        </w:r>
        <w:r w:rsidR="00F42A95" w:rsidRPr="00C2514D">
          <w:rPr>
            <w:webHidden/>
            <w:lang w:val="en-US"/>
          </w:rPr>
          <w:fldChar w:fldCharType="begin"/>
        </w:r>
        <w:r w:rsidR="00F42A95" w:rsidRPr="00C2514D">
          <w:rPr>
            <w:webHidden/>
            <w:lang w:val="en-US"/>
          </w:rPr>
          <w:instrText xml:space="preserve"> PAGEREF _Toc449703288 \h </w:instrText>
        </w:r>
        <w:r w:rsidR="00F42A95" w:rsidRPr="00C2514D">
          <w:rPr>
            <w:webHidden/>
            <w:lang w:val="en-US"/>
          </w:rPr>
        </w:r>
        <w:r w:rsidR="00F42A95" w:rsidRPr="00C2514D">
          <w:rPr>
            <w:webHidden/>
            <w:lang w:val="en-US"/>
          </w:rPr>
          <w:fldChar w:fldCharType="separate"/>
        </w:r>
        <w:r w:rsidR="00F42A95" w:rsidRPr="00C2514D">
          <w:rPr>
            <w:webHidden/>
            <w:lang w:val="en-US"/>
          </w:rPr>
          <w:t>34</w:t>
        </w:r>
        <w:r w:rsidR="00F42A95" w:rsidRPr="00C2514D">
          <w:rPr>
            <w:webHidden/>
            <w:lang w:val="en-US"/>
          </w:rPr>
          <w:fldChar w:fldCharType="end"/>
        </w:r>
      </w:hyperlink>
    </w:p>
    <w:p w:rsidR="00171F90" w:rsidRPr="00C2514D" w:rsidRDefault="00F42A95" w:rsidP="00F42A95">
      <w:pPr>
        <w:pStyle w:val="TOC3"/>
        <w:rPr>
          <w:rFonts w:eastAsia="Calibri"/>
          <w:spacing w:val="0"/>
          <w:lang w:val="en-US" w:eastAsia="x-none"/>
        </w:rPr>
      </w:pPr>
      <w:r w:rsidRPr="00C2514D">
        <w:rPr>
          <w:smallCaps/>
          <w:lang w:val="en-US"/>
        </w:rPr>
        <w:fldChar w:fldCharType="end"/>
      </w:r>
      <w:r w:rsidRPr="00C2514D">
        <w:rPr>
          <w:lang w:val="en-US"/>
        </w:rPr>
        <w:br w:type="page"/>
      </w:r>
    </w:p>
    <w:tbl>
      <w:tblPr>
        <w:tblW w:w="8640" w:type="dxa"/>
        <w:tblInd w:w="108" w:type="dxa"/>
        <w:tblLook w:val="01E0" w:firstRow="1" w:lastRow="1" w:firstColumn="1" w:lastColumn="1" w:noHBand="0" w:noVBand="0"/>
      </w:tblPr>
      <w:tblGrid>
        <w:gridCol w:w="1427"/>
        <w:gridCol w:w="7213"/>
      </w:tblGrid>
      <w:tr w:rsidR="00B448C6" w:rsidRPr="00C2514D" w:rsidTr="00064AE4">
        <w:trPr>
          <w:cantSplit/>
          <w:trHeight w:val="423"/>
        </w:trPr>
        <w:tc>
          <w:tcPr>
            <w:tcW w:w="864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448C6" w:rsidRPr="00C2514D" w:rsidRDefault="006E6C40" w:rsidP="00100E6A">
            <w:pPr>
              <w:spacing w:before="20" w:after="20"/>
              <w:jc w:val="center"/>
              <w:rPr>
                <w:rFonts w:ascii="Arial" w:eastAsia="Arial Unicode MS" w:hAnsi="Arial" w:cs="Arial"/>
                <w:b/>
                <w:bCs/>
                <w:smallCaps/>
                <w:sz w:val="22"/>
                <w:szCs w:val="22"/>
                <w:lang w:val="en-US"/>
              </w:rPr>
            </w:pPr>
            <w:r w:rsidRPr="00C2514D">
              <w:rPr>
                <w:rFonts w:ascii="Arial" w:eastAsia="Arial Unicode MS" w:hAnsi="Arial" w:cs="Arial"/>
                <w:b/>
                <w:bCs/>
                <w:smallCaps/>
                <w:sz w:val="22"/>
                <w:szCs w:val="22"/>
                <w:lang w:val="en-US"/>
              </w:rPr>
              <w:lastRenderedPageBreak/>
              <w:t>Acronyms</w:t>
            </w:r>
          </w:p>
        </w:tc>
      </w:tr>
      <w:tr w:rsidR="00064AE4" w:rsidRPr="00CC7C33"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szCs w:val="22"/>
                <w:lang w:val="en-US"/>
              </w:rPr>
              <w:t>CROSQ</w:t>
            </w:r>
          </w:p>
        </w:tc>
        <w:tc>
          <w:tcPr>
            <w:tcW w:w="7213" w:type="dxa"/>
            <w:tcBorders>
              <w:right w:val="single" w:sz="4" w:space="0" w:color="auto"/>
            </w:tcBorders>
          </w:tcPr>
          <w:p w:rsidR="00064AE4" w:rsidRPr="00C2514D" w:rsidRDefault="00064AE4" w:rsidP="000B4A9D">
            <w:pPr>
              <w:spacing w:before="20" w:after="20"/>
              <w:rPr>
                <w:rFonts w:ascii="Arial" w:hAnsi="Arial" w:cs="Arial"/>
                <w:sz w:val="22"/>
                <w:szCs w:val="22"/>
                <w:lang w:val="en-US"/>
              </w:rPr>
            </w:pPr>
            <w:r w:rsidRPr="00C2514D">
              <w:rPr>
                <w:rFonts w:ascii="Arial" w:hAnsi="Arial" w:cs="Arial"/>
                <w:sz w:val="22"/>
                <w:szCs w:val="22"/>
                <w:lang w:val="en-US"/>
              </w:rPr>
              <w:t xml:space="preserve">CARICOM Regional Organization for Standards and Quality </w:t>
            </w:r>
          </w:p>
        </w:tc>
      </w:tr>
      <w:tr w:rsidR="00064AE4" w:rsidRPr="00CC7C33"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szCs w:val="22"/>
                <w:lang w:val="en-US"/>
              </w:rPr>
              <w:t>CROSQ</w:t>
            </w:r>
          </w:p>
        </w:tc>
        <w:tc>
          <w:tcPr>
            <w:tcW w:w="7213" w:type="dxa"/>
            <w:tcBorders>
              <w:right w:val="single" w:sz="4" w:space="0" w:color="auto"/>
            </w:tcBorders>
          </w:tcPr>
          <w:p w:rsidR="00064AE4" w:rsidRPr="00C2514D" w:rsidRDefault="00064AE4" w:rsidP="000B4A9D">
            <w:pPr>
              <w:spacing w:before="20" w:after="20"/>
              <w:rPr>
                <w:rFonts w:ascii="Arial" w:hAnsi="Arial" w:cs="Arial"/>
                <w:sz w:val="22"/>
                <w:szCs w:val="22"/>
                <w:lang w:val="en-US"/>
              </w:rPr>
            </w:pPr>
            <w:r w:rsidRPr="00C2514D">
              <w:rPr>
                <w:rFonts w:ascii="Arial" w:hAnsi="Arial" w:cs="Arial"/>
                <w:sz w:val="22"/>
                <w:szCs w:val="22"/>
                <w:lang w:val="en-US"/>
              </w:rPr>
              <w:t xml:space="preserve">CARICOM Regional Organization for Standards and Quality </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EA</w:t>
            </w:r>
          </w:p>
        </w:tc>
        <w:tc>
          <w:tcPr>
            <w:tcW w:w="7213" w:type="dxa"/>
            <w:tcBorders>
              <w:right w:val="single" w:sz="4" w:space="0" w:color="auto"/>
            </w:tcBorders>
          </w:tcPr>
          <w:p w:rsidR="00064AE4" w:rsidRPr="00C2514D" w:rsidRDefault="00064AE4" w:rsidP="000B4A9D">
            <w:pPr>
              <w:spacing w:before="20" w:after="20"/>
              <w:rPr>
                <w:rFonts w:ascii="Arial" w:hAnsi="Arial" w:cs="Arial"/>
                <w:sz w:val="22"/>
                <w:szCs w:val="22"/>
                <w:lang w:val="en-US"/>
              </w:rPr>
            </w:pPr>
            <w:r w:rsidRPr="00C2514D">
              <w:rPr>
                <w:rFonts w:ascii="Arial" w:hAnsi="Arial" w:cs="Arial"/>
                <w:sz w:val="22"/>
                <w:szCs w:val="22"/>
                <w:lang w:val="en-US"/>
              </w:rPr>
              <w:t>Executing Agency</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EA</w:t>
            </w:r>
          </w:p>
        </w:tc>
        <w:tc>
          <w:tcPr>
            <w:tcW w:w="7213" w:type="dxa"/>
            <w:tcBorders>
              <w:right w:val="single" w:sz="4" w:space="0" w:color="auto"/>
            </w:tcBorders>
          </w:tcPr>
          <w:p w:rsidR="00064AE4" w:rsidRPr="00C2514D" w:rsidRDefault="00064AE4" w:rsidP="000B4A9D">
            <w:pPr>
              <w:spacing w:before="20" w:after="20"/>
              <w:rPr>
                <w:rFonts w:ascii="Arial" w:hAnsi="Arial" w:cs="Arial"/>
                <w:sz w:val="22"/>
                <w:szCs w:val="22"/>
                <w:lang w:val="en-US"/>
              </w:rPr>
            </w:pPr>
            <w:r w:rsidRPr="00C2514D">
              <w:rPr>
                <w:rFonts w:ascii="Arial" w:hAnsi="Arial" w:cs="Arial"/>
                <w:sz w:val="22"/>
                <w:szCs w:val="22"/>
                <w:lang w:val="en-US"/>
              </w:rPr>
              <w:t>Executing Agency</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EDB</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Economic Development Board</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EDB</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Economic Development Board</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EU</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szCs w:val="22"/>
                <w:lang w:val="en-US"/>
              </w:rPr>
              <w:t>European Union</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EU</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szCs w:val="22"/>
                <w:lang w:val="en-US"/>
              </w:rPr>
              <w:t>European Union</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GDP</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 xml:space="preserve">Gross Domestic Product </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GDP</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 xml:space="preserve">Gross Domestic Product </w:t>
            </w:r>
          </w:p>
        </w:tc>
      </w:tr>
      <w:tr w:rsidR="00064AE4" w:rsidRPr="00CC7C33"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GNBS</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Guyana National Bureau of Standards</w:t>
            </w:r>
          </w:p>
        </w:tc>
      </w:tr>
      <w:tr w:rsidR="00064AE4" w:rsidRPr="00CC7C33" w:rsidTr="00A434FF">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GNBS</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Guyana National Bureau of Standards</w:t>
            </w:r>
          </w:p>
        </w:tc>
      </w:tr>
      <w:tr w:rsidR="00064AE4" w:rsidRPr="00C2514D" w:rsidTr="00064AE4">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Go-Invest</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Guyana Office for Investment</w:t>
            </w:r>
          </w:p>
        </w:tc>
      </w:tr>
      <w:tr w:rsidR="00064AE4" w:rsidRPr="00C2514D" w:rsidTr="00064AE4">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Go-Invest</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Guyana Office for Investment</w:t>
            </w:r>
          </w:p>
        </w:tc>
      </w:tr>
      <w:tr w:rsidR="00064AE4" w:rsidRPr="00C2514D" w:rsidTr="00064AE4">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GSBB</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szCs w:val="22"/>
                <w:lang w:val="en-US"/>
              </w:rPr>
              <w:t>Guyana Small Business Bureau</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ICT</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 xml:space="preserve">Information and Communication Technology </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IDB</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Inter-American Development Bank</w:t>
            </w:r>
          </w:p>
        </w:tc>
      </w:tr>
      <w:tr w:rsidR="00064AE4" w:rsidRPr="00CC7C33"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LAC</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Latin American and the Caribbean</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M&amp;E</w:t>
            </w:r>
          </w:p>
        </w:tc>
        <w:tc>
          <w:tcPr>
            <w:tcW w:w="7213" w:type="dxa"/>
            <w:tcBorders>
              <w:right w:val="single" w:sz="4" w:space="0" w:color="auto"/>
            </w:tcBorders>
          </w:tcPr>
          <w:p w:rsidR="00064AE4" w:rsidRPr="00C2514D" w:rsidRDefault="00064AE4" w:rsidP="000B4A9D">
            <w:pPr>
              <w:spacing w:before="20" w:after="20"/>
              <w:rPr>
                <w:rFonts w:ascii="Arial" w:hAnsi="Arial" w:cs="Arial"/>
                <w:sz w:val="22"/>
                <w:szCs w:val="22"/>
                <w:lang w:val="en-US"/>
              </w:rPr>
            </w:pPr>
            <w:r w:rsidRPr="00C2514D">
              <w:rPr>
                <w:rFonts w:ascii="Arial" w:hAnsi="Arial" w:cs="Arial"/>
                <w:sz w:val="22"/>
                <w:szCs w:val="22"/>
                <w:lang w:val="en-US"/>
              </w:rPr>
              <w:t>Monitoring and Evaluation</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MIF</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szCs w:val="22"/>
                <w:lang w:val="en-US"/>
              </w:rPr>
              <w:t>Multilateral Investment Fund</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MoA</w:t>
            </w:r>
          </w:p>
        </w:tc>
        <w:tc>
          <w:tcPr>
            <w:tcW w:w="7213" w:type="dxa"/>
            <w:tcBorders>
              <w:right w:val="single" w:sz="4" w:space="0" w:color="auto"/>
            </w:tcBorders>
          </w:tcPr>
          <w:p w:rsidR="00064AE4" w:rsidRPr="00C2514D" w:rsidRDefault="00064AE4" w:rsidP="000B4A9D">
            <w:pPr>
              <w:spacing w:before="20" w:after="20"/>
              <w:rPr>
                <w:rFonts w:ascii="Arial" w:hAnsi="Arial" w:cs="Arial"/>
                <w:sz w:val="22"/>
                <w:szCs w:val="22"/>
                <w:lang w:val="en-US"/>
              </w:rPr>
            </w:pPr>
            <w:r w:rsidRPr="00C2514D">
              <w:rPr>
                <w:rFonts w:ascii="Arial" w:hAnsi="Arial" w:cs="Arial"/>
                <w:sz w:val="22"/>
                <w:szCs w:val="22"/>
                <w:lang w:val="en-US"/>
              </w:rPr>
              <w:t>Ministry of Agriculture</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MoB</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Ministry of Business</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MoH</w:t>
            </w:r>
          </w:p>
        </w:tc>
        <w:tc>
          <w:tcPr>
            <w:tcW w:w="7213" w:type="dxa"/>
            <w:tcBorders>
              <w:right w:val="single" w:sz="4" w:space="0" w:color="auto"/>
            </w:tcBorders>
          </w:tcPr>
          <w:p w:rsidR="00064AE4" w:rsidRPr="00C2514D" w:rsidRDefault="00064AE4" w:rsidP="000B4A9D">
            <w:pPr>
              <w:spacing w:before="20" w:after="20"/>
              <w:rPr>
                <w:rFonts w:ascii="Arial" w:hAnsi="Arial" w:cs="Arial"/>
                <w:sz w:val="22"/>
                <w:szCs w:val="22"/>
                <w:lang w:val="en-US"/>
              </w:rPr>
            </w:pPr>
            <w:r w:rsidRPr="00C2514D">
              <w:rPr>
                <w:rFonts w:ascii="Arial" w:hAnsi="Arial" w:cs="Arial"/>
                <w:sz w:val="22"/>
                <w:szCs w:val="22"/>
                <w:lang w:val="en-US"/>
              </w:rPr>
              <w:t>Ministry of Health</w:t>
            </w:r>
          </w:p>
        </w:tc>
      </w:tr>
      <w:tr w:rsidR="00064AE4" w:rsidRPr="00CC7C33"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NARE</w:t>
            </w:r>
          </w:p>
        </w:tc>
        <w:tc>
          <w:tcPr>
            <w:tcW w:w="7213" w:type="dxa"/>
            <w:tcBorders>
              <w:right w:val="single" w:sz="4" w:space="0" w:color="auto"/>
            </w:tcBorders>
          </w:tcPr>
          <w:p w:rsidR="00064AE4" w:rsidRPr="00C2514D" w:rsidRDefault="00064AE4" w:rsidP="000B4A9D">
            <w:pPr>
              <w:spacing w:before="20" w:after="20"/>
              <w:rPr>
                <w:rFonts w:ascii="Arial" w:hAnsi="Arial" w:cs="Arial"/>
                <w:sz w:val="22"/>
                <w:szCs w:val="22"/>
                <w:lang w:val="en-US"/>
              </w:rPr>
            </w:pPr>
            <w:r w:rsidRPr="00C2514D">
              <w:rPr>
                <w:rFonts w:ascii="Arial" w:hAnsi="Arial" w:cs="Arial"/>
                <w:sz w:val="22"/>
                <w:szCs w:val="22"/>
                <w:lang w:val="en-US"/>
              </w:rPr>
              <w:t>National Agricultural Research and Extension Institute</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NQI</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National Quality Infrastructure</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OM</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Operating Manual</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PEU</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szCs w:val="22"/>
                <w:lang w:val="en-US"/>
              </w:rPr>
              <w:t>Project Execution Unit</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PS</w:t>
            </w:r>
          </w:p>
        </w:tc>
        <w:tc>
          <w:tcPr>
            <w:tcW w:w="7213" w:type="dxa"/>
            <w:tcBorders>
              <w:right w:val="single" w:sz="4" w:space="0" w:color="auto"/>
            </w:tcBorders>
          </w:tcPr>
          <w:p w:rsidR="00064AE4" w:rsidRPr="00C2514D" w:rsidRDefault="00064AE4" w:rsidP="000B4A9D">
            <w:pPr>
              <w:spacing w:before="20" w:after="20"/>
              <w:rPr>
                <w:rFonts w:ascii="Arial" w:hAnsi="Arial" w:cs="Arial"/>
                <w:sz w:val="22"/>
                <w:szCs w:val="22"/>
                <w:lang w:val="en-US"/>
              </w:rPr>
            </w:pPr>
            <w:r w:rsidRPr="00C2514D">
              <w:rPr>
                <w:rFonts w:ascii="Arial" w:hAnsi="Arial" w:cs="Arial"/>
                <w:sz w:val="22"/>
                <w:szCs w:val="22"/>
                <w:lang w:val="en-US"/>
              </w:rPr>
              <w:t>Permanent Secretary</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PSAR</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Private Sector Assessment Report</w:t>
            </w:r>
          </w:p>
        </w:tc>
      </w:tr>
      <w:tr w:rsidR="00064AE4" w:rsidRPr="00C2514D"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SFD</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Sector Framework Document</w:t>
            </w:r>
          </w:p>
        </w:tc>
      </w:tr>
      <w:tr w:rsidR="00064AE4" w:rsidRPr="00CC7C33" w:rsidTr="00B448C6">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SME</w:t>
            </w:r>
          </w:p>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SMTQ</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Small and Medium-sized Enterprises</w:t>
            </w:r>
          </w:p>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Standards, Metrology, Testing and Quality Management</w:t>
            </w:r>
          </w:p>
        </w:tc>
      </w:tr>
      <w:tr w:rsidR="00064AE4" w:rsidRPr="00C2514D" w:rsidTr="00064AE4">
        <w:trPr>
          <w:cantSplit/>
        </w:trPr>
        <w:tc>
          <w:tcPr>
            <w:tcW w:w="1427" w:type="dxa"/>
            <w:tcBorders>
              <w:lef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SPS</w:t>
            </w:r>
          </w:p>
        </w:tc>
        <w:tc>
          <w:tcPr>
            <w:tcW w:w="7213" w:type="dxa"/>
            <w:tcBorders>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Sanitary and Phytosanitary Measures</w:t>
            </w:r>
          </w:p>
        </w:tc>
      </w:tr>
      <w:tr w:rsidR="00064AE4" w:rsidRPr="00C2514D" w:rsidTr="00064AE4">
        <w:trPr>
          <w:cantSplit/>
        </w:trPr>
        <w:tc>
          <w:tcPr>
            <w:tcW w:w="1427" w:type="dxa"/>
            <w:tcBorders>
              <w:left w:val="single" w:sz="4" w:space="0" w:color="auto"/>
              <w:bottom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WEF</w:t>
            </w:r>
          </w:p>
        </w:tc>
        <w:tc>
          <w:tcPr>
            <w:tcW w:w="7213" w:type="dxa"/>
            <w:tcBorders>
              <w:bottom w:val="single" w:sz="4" w:space="0" w:color="auto"/>
              <w:right w:val="single" w:sz="4" w:space="0" w:color="auto"/>
            </w:tcBorders>
          </w:tcPr>
          <w:p w:rsidR="00064AE4" w:rsidRPr="00C2514D" w:rsidRDefault="00064AE4" w:rsidP="000B4A9D">
            <w:pPr>
              <w:spacing w:before="20" w:after="20"/>
              <w:rPr>
                <w:rFonts w:ascii="Arial" w:hAnsi="Arial" w:cs="Arial"/>
                <w:sz w:val="22"/>
                <w:lang w:val="en-US"/>
              </w:rPr>
            </w:pPr>
            <w:r w:rsidRPr="00C2514D">
              <w:rPr>
                <w:rFonts w:ascii="Arial" w:hAnsi="Arial" w:cs="Arial"/>
                <w:sz w:val="22"/>
                <w:lang w:val="en-US"/>
              </w:rPr>
              <w:t>World Economic Forum</w:t>
            </w:r>
          </w:p>
        </w:tc>
      </w:tr>
    </w:tbl>
    <w:p w:rsidR="00A22820" w:rsidRPr="00C2514D" w:rsidRDefault="00A22820" w:rsidP="00B448C6">
      <w:pPr>
        <w:pStyle w:val="ColorfulList-Accent11"/>
        <w:tabs>
          <w:tab w:val="left" w:pos="0"/>
          <w:tab w:val="left" w:pos="1440"/>
          <w:tab w:val="left" w:pos="8640"/>
        </w:tabs>
        <w:ind w:left="0"/>
        <w:jc w:val="both"/>
        <w:rPr>
          <w:rFonts w:ascii="Arial" w:hAnsi="Arial" w:cs="Arial"/>
          <w:sz w:val="2"/>
          <w:szCs w:val="2"/>
          <w:lang w:val="en-US"/>
        </w:rPr>
      </w:pPr>
    </w:p>
    <w:p w:rsidR="00814C6A" w:rsidRPr="00C2514D" w:rsidRDefault="00814C6A" w:rsidP="00A434FF">
      <w:pPr>
        <w:pStyle w:val="ColorfulList-Accent11"/>
        <w:tabs>
          <w:tab w:val="left" w:pos="1440"/>
          <w:tab w:val="left" w:pos="9000"/>
        </w:tabs>
        <w:ind w:left="0"/>
        <w:jc w:val="both"/>
        <w:rPr>
          <w:rFonts w:ascii="Arial" w:hAnsi="Arial" w:cs="Arial"/>
          <w:sz w:val="2"/>
          <w:szCs w:val="2"/>
          <w:lang w:val="en-US"/>
        </w:rPr>
      </w:pPr>
    </w:p>
    <w:p w:rsidR="009C562E" w:rsidRPr="00C2514D" w:rsidRDefault="009C562E" w:rsidP="00A77DC6">
      <w:pPr>
        <w:rPr>
          <w:rFonts w:ascii="Arial" w:eastAsia="Calibri" w:hAnsi="Arial" w:cs="Arial"/>
          <w:spacing w:val="0"/>
          <w:sz w:val="22"/>
          <w:szCs w:val="22"/>
          <w:lang w:val="en-US" w:eastAsia="x-none"/>
        </w:rPr>
      </w:pPr>
      <w:r w:rsidRPr="00C2514D">
        <w:rPr>
          <w:rFonts w:ascii="Arial" w:hAnsi="Arial" w:cs="Arial"/>
          <w:sz w:val="22"/>
          <w:szCs w:val="22"/>
          <w:lang w:val="en-US"/>
        </w:rPr>
        <w:br w:type="page"/>
      </w:r>
    </w:p>
    <w:p w:rsidR="00EA6524" w:rsidRPr="00C2514D" w:rsidRDefault="00EA6524" w:rsidP="00EA6524">
      <w:pPr>
        <w:rPr>
          <w:lang w:val="en-US"/>
        </w:rPr>
      </w:pPr>
    </w:p>
    <w:p w:rsidR="00EA6524" w:rsidRPr="00C2514D" w:rsidRDefault="00EA6524" w:rsidP="00EA6524">
      <w:pPr>
        <w:rPr>
          <w:lang w:val="en-US"/>
        </w:rPr>
        <w:sectPr w:rsidR="00EA6524" w:rsidRPr="00C2514D" w:rsidSect="00064AE4">
          <w:headerReference w:type="default" r:id="rId9"/>
          <w:footerReference w:type="default" r:id="rId10"/>
          <w:headerReference w:type="first" r:id="rId11"/>
          <w:pgSz w:w="12240" w:h="15840"/>
          <w:pgMar w:top="1440" w:right="1800" w:bottom="1440" w:left="1800" w:header="720" w:footer="720" w:gutter="0"/>
          <w:cols w:space="720"/>
          <w:titlePg/>
          <w:docGrid w:linePitch="360"/>
        </w:sectPr>
      </w:pPr>
    </w:p>
    <w:p w:rsidR="009C562E" w:rsidRPr="00C2514D" w:rsidRDefault="006E6C40" w:rsidP="00EA6524">
      <w:pPr>
        <w:pStyle w:val="Chapter"/>
        <w:spacing w:before="0"/>
        <w:rPr>
          <w:rFonts w:ascii="Arial" w:hAnsi="Arial" w:cs="Arial"/>
          <w:lang w:val="en-US"/>
        </w:rPr>
      </w:pPr>
      <w:bookmarkStart w:id="0" w:name="_Toc449703273"/>
      <w:r w:rsidRPr="00C2514D">
        <w:rPr>
          <w:rFonts w:ascii="Arial" w:hAnsi="Arial" w:cs="Arial"/>
          <w:lang w:val="en-US"/>
        </w:rPr>
        <w:lastRenderedPageBreak/>
        <w:t>Introduction</w:t>
      </w:r>
      <w:bookmarkEnd w:id="0"/>
    </w:p>
    <w:p w:rsidR="00B94323" w:rsidRPr="00C2514D" w:rsidRDefault="00B61783"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Guyanese exports basket is hi</w:t>
      </w:r>
      <w:r w:rsidR="00B94323" w:rsidRPr="00C2514D">
        <w:rPr>
          <w:rFonts w:ascii="Arial" w:hAnsi="Arial" w:cs="Arial"/>
          <w:sz w:val="22"/>
          <w:szCs w:val="22"/>
          <w:lang w:val="en-US"/>
        </w:rPr>
        <w:t>ghly concentrated in</w:t>
      </w:r>
      <w:r w:rsidR="000C2765" w:rsidRPr="00C2514D">
        <w:rPr>
          <w:rFonts w:ascii="Arial" w:hAnsi="Arial" w:cs="Arial"/>
          <w:sz w:val="22"/>
          <w:szCs w:val="22"/>
          <w:lang w:val="en-US"/>
        </w:rPr>
        <w:t xml:space="preserve"> mineral or agricultural</w:t>
      </w:r>
      <w:r w:rsidR="00B94323" w:rsidRPr="00C2514D">
        <w:rPr>
          <w:rFonts w:ascii="Arial" w:hAnsi="Arial" w:cs="Arial"/>
          <w:sz w:val="22"/>
          <w:szCs w:val="22"/>
          <w:lang w:val="en-US"/>
        </w:rPr>
        <w:t xml:space="preserve"> commodities (82% of </w:t>
      </w:r>
      <w:r w:rsidR="000C2765" w:rsidRPr="00C2514D">
        <w:rPr>
          <w:rFonts w:ascii="Arial" w:hAnsi="Arial" w:cs="Arial"/>
          <w:sz w:val="22"/>
          <w:szCs w:val="22"/>
          <w:lang w:val="en-US"/>
        </w:rPr>
        <w:t>the country</w:t>
      </w:r>
      <w:r w:rsidR="00B94323" w:rsidRPr="00C2514D">
        <w:rPr>
          <w:rFonts w:ascii="Arial" w:hAnsi="Arial" w:cs="Arial"/>
          <w:sz w:val="22"/>
          <w:szCs w:val="22"/>
          <w:lang w:val="en-US"/>
        </w:rPr>
        <w:t xml:space="preserve"> exports </w:t>
      </w:r>
      <w:r w:rsidR="000C2765" w:rsidRPr="00C2514D">
        <w:rPr>
          <w:rFonts w:ascii="Arial" w:hAnsi="Arial" w:cs="Arial"/>
          <w:sz w:val="22"/>
          <w:szCs w:val="22"/>
          <w:lang w:val="en-US"/>
        </w:rPr>
        <w:t>are</w:t>
      </w:r>
      <w:r w:rsidR="00B94323" w:rsidRPr="00C2514D">
        <w:rPr>
          <w:rFonts w:ascii="Arial" w:hAnsi="Arial" w:cs="Arial"/>
          <w:sz w:val="22"/>
          <w:szCs w:val="22"/>
          <w:lang w:val="en-US"/>
        </w:rPr>
        <w:t xml:space="preserve"> concentrated </w:t>
      </w:r>
      <w:r w:rsidR="000C2765" w:rsidRPr="00C2514D">
        <w:rPr>
          <w:rFonts w:ascii="Arial" w:hAnsi="Arial" w:cs="Arial"/>
          <w:sz w:val="22"/>
          <w:szCs w:val="22"/>
          <w:lang w:val="en-US"/>
        </w:rPr>
        <w:t xml:space="preserve">in less than </w:t>
      </w:r>
      <w:r w:rsidR="0082481B">
        <w:rPr>
          <w:rFonts w:ascii="Arial" w:hAnsi="Arial" w:cs="Arial"/>
          <w:sz w:val="22"/>
          <w:szCs w:val="22"/>
          <w:lang w:val="en-US"/>
        </w:rPr>
        <w:t>ten</w:t>
      </w:r>
      <w:r w:rsidR="0082481B" w:rsidRPr="00C2514D">
        <w:rPr>
          <w:rFonts w:ascii="Arial" w:hAnsi="Arial" w:cs="Arial"/>
          <w:sz w:val="22"/>
          <w:szCs w:val="22"/>
          <w:lang w:val="en-US"/>
        </w:rPr>
        <w:t xml:space="preserve"> </w:t>
      </w:r>
      <w:r w:rsidR="000C2765" w:rsidRPr="00C2514D">
        <w:rPr>
          <w:rFonts w:ascii="Arial" w:hAnsi="Arial" w:cs="Arial"/>
          <w:sz w:val="22"/>
          <w:szCs w:val="22"/>
          <w:lang w:val="en-US"/>
        </w:rPr>
        <w:t>products:</w:t>
      </w:r>
      <w:r w:rsidR="00B94323" w:rsidRPr="00C2514D">
        <w:rPr>
          <w:rFonts w:ascii="Arial" w:hAnsi="Arial" w:cs="Arial"/>
          <w:sz w:val="22"/>
          <w:szCs w:val="22"/>
          <w:lang w:val="en-US"/>
        </w:rPr>
        <w:t xml:space="preserve"> gold</w:t>
      </w:r>
      <w:r w:rsidR="000C2765" w:rsidRPr="00C2514D">
        <w:rPr>
          <w:rFonts w:ascii="Arial" w:hAnsi="Arial" w:cs="Arial"/>
          <w:sz w:val="22"/>
          <w:szCs w:val="22"/>
          <w:lang w:val="en-US"/>
        </w:rPr>
        <w:t xml:space="preserve"> accounting for 45%</w:t>
      </w:r>
      <w:r w:rsidR="00B94323" w:rsidRPr="00C2514D">
        <w:rPr>
          <w:rFonts w:ascii="Arial" w:hAnsi="Arial" w:cs="Arial"/>
          <w:sz w:val="22"/>
          <w:szCs w:val="22"/>
          <w:lang w:val="en-US"/>
        </w:rPr>
        <w:t>, rice</w:t>
      </w:r>
      <w:r w:rsidR="000C2765" w:rsidRPr="00C2514D">
        <w:rPr>
          <w:rFonts w:ascii="Arial" w:hAnsi="Arial" w:cs="Arial"/>
          <w:sz w:val="22"/>
          <w:szCs w:val="22"/>
          <w:lang w:val="en-US"/>
        </w:rPr>
        <w:t xml:space="preserve"> for 18%</w:t>
      </w:r>
      <w:r w:rsidR="00B94323" w:rsidRPr="00C2514D">
        <w:rPr>
          <w:rFonts w:ascii="Arial" w:hAnsi="Arial" w:cs="Arial"/>
          <w:sz w:val="22"/>
          <w:szCs w:val="22"/>
          <w:lang w:val="en-US"/>
        </w:rPr>
        <w:t>,</w:t>
      </w:r>
      <w:r w:rsidR="000C2765" w:rsidRPr="00C2514D">
        <w:rPr>
          <w:rFonts w:ascii="Arial" w:hAnsi="Arial" w:cs="Arial"/>
          <w:sz w:val="22"/>
          <w:szCs w:val="22"/>
          <w:lang w:val="en-US"/>
        </w:rPr>
        <w:t xml:space="preserve"> and</w:t>
      </w:r>
      <w:r w:rsidR="00B94323" w:rsidRPr="00C2514D">
        <w:rPr>
          <w:rFonts w:ascii="Arial" w:hAnsi="Arial" w:cs="Arial"/>
          <w:sz w:val="22"/>
          <w:szCs w:val="22"/>
          <w:lang w:val="en-US"/>
        </w:rPr>
        <w:t xml:space="preserve"> raw sugar</w:t>
      </w:r>
      <w:r w:rsidR="000C2765" w:rsidRPr="00C2514D">
        <w:rPr>
          <w:rFonts w:ascii="Arial" w:hAnsi="Arial" w:cs="Arial"/>
          <w:sz w:val="22"/>
          <w:szCs w:val="22"/>
          <w:lang w:val="en-US"/>
        </w:rPr>
        <w:t xml:space="preserve"> for 7%</w:t>
      </w:r>
      <w:r w:rsidR="00B94323" w:rsidRPr="00C2514D">
        <w:rPr>
          <w:rStyle w:val="FootnoteReference"/>
          <w:rFonts w:ascii="Arial" w:hAnsi="Arial" w:cs="Arial"/>
          <w:sz w:val="22"/>
          <w:szCs w:val="22"/>
          <w:lang w:val="en-US"/>
        </w:rPr>
        <w:footnoteReference w:id="1"/>
      </w:r>
      <w:r w:rsidR="00B94323" w:rsidRPr="00C2514D">
        <w:rPr>
          <w:rFonts w:ascii="Arial" w:hAnsi="Arial" w:cs="Arial"/>
          <w:sz w:val="22"/>
          <w:szCs w:val="22"/>
          <w:lang w:val="en-US"/>
        </w:rPr>
        <w:t xml:space="preserve">). </w:t>
      </w:r>
      <w:r w:rsidR="00B82004" w:rsidRPr="00C2514D">
        <w:rPr>
          <w:rFonts w:ascii="Arial" w:hAnsi="Arial" w:cs="Arial"/>
          <w:sz w:val="22"/>
          <w:szCs w:val="22"/>
          <w:lang w:val="en-US"/>
        </w:rPr>
        <w:t>While t</w:t>
      </w:r>
      <w:r w:rsidR="000C2765" w:rsidRPr="00C2514D">
        <w:rPr>
          <w:rFonts w:ascii="Arial" w:hAnsi="Arial" w:cs="Arial"/>
          <w:sz w:val="22"/>
          <w:szCs w:val="22"/>
          <w:lang w:val="en-US"/>
        </w:rPr>
        <w:t xml:space="preserve">his composition </w:t>
      </w:r>
      <w:r w:rsidR="00B82004" w:rsidRPr="00C2514D">
        <w:rPr>
          <w:rFonts w:ascii="Arial" w:hAnsi="Arial" w:cs="Arial"/>
          <w:sz w:val="22"/>
          <w:szCs w:val="22"/>
          <w:lang w:val="en-US"/>
        </w:rPr>
        <w:t xml:space="preserve">was compatible with the favorable external conditions for commodities prices observed in the last years </w:t>
      </w:r>
      <w:r w:rsidR="00125BCC" w:rsidRPr="00C2514D">
        <w:rPr>
          <w:rFonts w:ascii="Arial" w:hAnsi="Arial" w:cs="Arial"/>
          <w:sz w:val="22"/>
          <w:szCs w:val="22"/>
          <w:lang w:val="en-US"/>
        </w:rPr>
        <w:t>(</w:t>
      </w:r>
      <w:r w:rsidR="00B82004" w:rsidRPr="00C2514D">
        <w:rPr>
          <w:rFonts w:ascii="Arial" w:hAnsi="Arial" w:cs="Arial"/>
          <w:sz w:val="22"/>
          <w:szCs w:val="22"/>
          <w:lang w:val="en-US"/>
        </w:rPr>
        <w:t>and let the country grow at an average annual pace of 4.5%</w:t>
      </w:r>
      <w:r w:rsidR="00125BCC" w:rsidRPr="00C2514D">
        <w:rPr>
          <w:rFonts w:ascii="Arial" w:hAnsi="Arial" w:cs="Arial"/>
          <w:sz w:val="22"/>
          <w:szCs w:val="22"/>
          <w:lang w:val="en-US"/>
        </w:rPr>
        <w:t xml:space="preserve"> between </w:t>
      </w:r>
      <w:r w:rsidR="00B82004" w:rsidRPr="00C2514D">
        <w:rPr>
          <w:rFonts w:ascii="Arial" w:hAnsi="Arial" w:cs="Arial"/>
          <w:sz w:val="22"/>
          <w:szCs w:val="22"/>
          <w:lang w:val="en-US"/>
        </w:rPr>
        <w:t>2009-2014)</w:t>
      </w:r>
      <w:r w:rsidR="00B82004" w:rsidRPr="00C2514D">
        <w:rPr>
          <w:rStyle w:val="FootnoteReference"/>
          <w:rFonts w:ascii="Arial" w:hAnsi="Arial" w:cs="Arial"/>
          <w:sz w:val="22"/>
          <w:szCs w:val="22"/>
          <w:lang w:val="en-US"/>
        </w:rPr>
        <w:footnoteReference w:id="2"/>
      </w:r>
      <w:r w:rsidR="00B82004" w:rsidRPr="00C2514D">
        <w:rPr>
          <w:rFonts w:ascii="Arial" w:hAnsi="Arial" w:cs="Arial"/>
          <w:sz w:val="22"/>
          <w:szCs w:val="22"/>
          <w:lang w:val="en-US"/>
        </w:rPr>
        <w:t xml:space="preserve">, now it poses </w:t>
      </w:r>
      <w:r w:rsidR="00125BCC" w:rsidRPr="00C2514D">
        <w:rPr>
          <w:rFonts w:ascii="Arial" w:hAnsi="Arial" w:cs="Arial"/>
          <w:sz w:val="22"/>
          <w:szCs w:val="22"/>
          <w:lang w:val="en-US"/>
        </w:rPr>
        <w:t xml:space="preserve">relevant </w:t>
      </w:r>
      <w:r w:rsidR="00B82004" w:rsidRPr="00C2514D">
        <w:rPr>
          <w:rFonts w:ascii="Arial" w:hAnsi="Arial" w:cs="Arial"/>
          <w:sz w:val="22"/>
          <w:szCs w:val="22"/>
          <w:lang w:val="en-US"/>
        </w:rPr>
        <w:t>development risks for the country.</w:t>
      </w:r>
      <w:r w:rsidR="00B94323" w:rsidRPr="00C2514D">
        <w:rPr>
          <w:rFonts w:ascii="Arial" w:hAnsi="Arial" w:cs="Arial"/>
          <w:sz w:val="22"/>
          <w:szCs w:val="22"/>
          <w:lang w:val="en-US"/>
        </w:rPr>
        <w:t xml:space="preserve"> </w:t>
      </w:r>
      <w:r w:rsidR="00125BCC" w:rsidRPr="00C2514D">
        <w:rPr>
          <w:rFonts w:ascii="Arial" w:hAnsi="Arial" w:cs="Arial"/>
          <w:sz w:val="22"/>
          <w:szCs w:val="22"/>
          <w:lang w:val="en-US"/>
        </w:rPr>
        <w:t>In fact</w:t>
      </w:r>
      <w:r w:rsidR="00B94323" w:rsidRPr="00C2514D">
        <w:rPr>
          <w:rFonts w:ascii="Arial" w:hAnsi="Arial" w:cs="Arial"/>
          <w:sz w:val="22"/>
          <w:szCs w:val="22"/>
          <w:lang w:val="en-US"/>
        </w:rPr>
        <w:t>, slower economic growth</w:t>
      </w:r>
      <w:r w:rsidR="000C2765" w:rsidRPr="00C2514D">
        <w:rPr>
          <w:rFonts w:ascii="Arial" w:hAnsi="Arial" w:cs="Arial"/>
          <w:sz w:val="22"/>
          <w:szCs w:val="22"/>
          <w:lang w:val="en-US"/>
        </w:rPr>
        <w:t xml:space="preserve"> </w:t>
      </w:r>
      <w:r w:rsidR="00B82004" w:rsidRPr="00C2514D">
        <w:rPr>
          <w:rFonts w:ascii="Arial" w:hAnsi="Arial" w:cs="Arial"/>
          <w:sz w:val="22"/>
          <w:szCs w:val="22"/>
          <w:lang w:val="en-US"/>
        </w:rPr>
        <w:t xml:space="preserve">registered </w:t>
      </w:r>
      <w:r w:rsidR="00125BCC" w:rsidRPr="00C2514D">
        <w:rPr>
          <w:rFonts w:ascii="Arial" w:hAnsi="Arial" w:cs="Arial"/>
          <w:sz w:val="22"/>
          <w:szCs w:val="22"/>
          <w:lang w:val="en-US"/>
        </w:rPr>
        <w:t xml:space="preserve">in the last years </w:t>
      </w:r>
      <w:r w:rsidR="000C2765" w:rsidRPr="00C2514D">
        <w:rPr>
          <w:rFonts w:ascii="Arial" w:hAnsi="Arial" w:cs="Arial"/>
          <w:sz w:val="22"/>
          <w:szCs w:val="22"/>
          <w:lang w:val="en-US"/>
        </w:rPr>
        <w:t xml:space="preserve">in major </w:t>
      </w:r>
      <w:r w:rsidR="00B82004" w:rsidRPr="00C2514D">
        <w:rPr>
          <w:rFonts w:ascii="Arial" w:hAnsi="Arial" w:cs="Arial"/>
          <w:sz w:val="22"/>
          <w:szCs w:val="22"/>
          <w:lang w:val="en-US"/>
        </w:rPr>
        <w:t xml:space="preserve">mineral </w:t>
      </w:r>
      <w:r w:rsidR="000C2765" w:rsidRPr="00C2514D">
        <w:rPr>
          <w:rFonts w:ascii="Arial" w:hAnsi="Arial" w:cs="Arial"/>
          <w:sz w:val="22"/>
          <w:szCs w:val="22"/>
          <w:lang w:val="en-US"/>
        </w:rPr>
        <w:t xml:space="preserve">consumers (e.g. China) </w:t>
      </w:r>
      <w:r w:rsidR="00125BCC" w:rsidRPr="00C2514D">
        <w:rPr>
          <w:rFonts w:ascii="Arial" w:hAnsi="Arial" w:cs="Arial"/>
          <w:sz w:val="22"/>
          <w:szCs w:val="22"/>
          <w:lang w:val="en-US"/>
        </w:rPr>
        <w:t>has put pressure for</w:t>
      </w:r>
      <w:r w:rsidR="000C2765" w:rsidRPr="00C2514D">
        <w:rPr>
          <w:rFonts w:ascii="Arial" w:hAnsi="Arial" w:cs="Arial"/>
          <w:sz w:val="22"/>
          <w:szCs w:val="22"/>
          <w:lang w:val="en-US"/>
        </w:rPr>
        <w:t xml:space="preserve"> diminishing prices</w:t>
      </w:r>
      <w:r w:rsidR="00B82004" w:rsidRPr="00C2514D">
        <w:rPr>
          <w:rFonts w:ascii="Arial" w:hAnsi="Arial" w:cs="Arial"/>
          <w:sz w:val="22"/>
          <w:szCs w:val="22"/>
          <w:lang w:val="en-US"/>
        </w:rPr>
        <w:t xml:space="preserve"> of minerals. At the same time</w:t>
      </w:r>
      <w:r w:rsidR="00AD0BF7" w:rsidRPr="00C2514D">
        <w:rPr>
          <w:rFonts w:ascii="Arial" w:hAnsi="Arial" w:cs="Arial"/>
          <w:sz w:val="22"/>
          <w:szCs w:val="22"/>
          <w:lang w:val="en-US"/>
        </w:rPr>
        <w:t>,</w:t>
      </w:r>
      <w:r w:rsidR="00B82004" w:rsidRPr="00C2514D">
        <w:rPr>
          <w:rFonts w:ascii="Arial" w:hAnsi="Arial" w:cs="Arial"/>
          <w:sz w:val="22"/>
          <w:szCs w:val="22"/>
          <w:lang w:val="en-US"/>
        </w:rPr>
        <w:t xml:space="preserve"> </w:t>
      </w:r>
      <w:r w:rsidR="00CE0B3D" w:rsidRPr="00C2514D">
        <w:rPr>
          <w:rFonts w:ascii="Arial" w:hAnsi="Arial" w:cs="Arial"/>
          <w:sz w:val="22"/>
          <w:szCs w:val="22"/>
          <w:lang w:val="en-US"/>
        </w:rPr>
        <w:t xml:space="preserve">recent </w:t>
      </w:r>
      <w:r w:rsidR="00B82004" w:rsidRPr="00C2514D">
        <w:rPr>
          <w:rFonts w:ascii="Arial" w:hAnsi="Arial" w:cs="Arial"/>
          <w:sz w:val="22"/>
          <w:szCs w:val="22"/>
          <w:lang w:val="en-US"/>
        </w:rPr>
        <w:t>increase</w:t>
      </w:r>
      <w:r w:rsidR="00AD0BF7" w:rsidRPr="00C2514D">
        <w:rPr>
          <w:rFonts w:ascii="Arial" w:hAnsi="Arial" w:cs="Arial"/>
          <w:sz w:val="22"/>
          <w:szCs w:val="22"/>
          <w:lang w:val="en-US"/>
        </w:rPr>
        <w:t>s</w:t>
      </w:r>
      <w:r w:rsidR="00B82004" w:rsidRPr="00C2514D">
        <w:rPr>
          <w:rFonts w:ascii="Arial" w:hAnsi="Arial" w:cs="Arial"/>
          <w:sz w:val="22"/>
          <w:szCs w:val="22"/>
          <w:lang w:val="en-US"/>
        </w:rPr>
        <w:t xml:space="preserve"> of</w:t>
      </w:r>
      <w:r w:rsidR="00CE0B3D" w:rsidRPr="00C2514D">
        <w:rPr>
          <w:rFonts w:ascii="Arial" w:hAnsi="Arial" w:cs="Arial"/>
          <w:sz w:val="22"/>
          <w:szCs w:val="22"/>
          <w:lang w:val="en-US"/>
        </w:rPr>
        <w:t xml:space="preserve"> </w:t>
      </w:r>
      <w:r w:rsidR="000C2765" w:rsidRPr="00C2514D">
        <w:rPr>
          <w:rFonts w:ascii="Arial" w:hAnsi="Arial" w:cs="Arial"/>
          <w:sz w:val="22"/>
          <w:szCs w:val="22"/>
          <w:lang w:val="en-US"/>
        </w:rPr>
        <w:t xml:space="preserve">production costs of </w:t>
      </w:r>
      <w:r w:rsidR="00AD0BF7" w:rsidRPr="00C2514D">
        <w:rPr>
          <w:rFonts w:ascii="Arial" w:hAnsi="Arial" w:cs="Arial"/>
          <w:sz w:val="22"/>
          <w:szCs w:val="22"/>
          <w:lang w:val="en-US"/>
        </w:rPr>
        <w:t>Guyana’s main</w:t>
      </w:r>
      <w:r w:rsidR="00CE0B3D" w:rsidRPr="00C2514D">
        <w:rPr>
          <w:rFonts w:ascii="Arial" w:hAnsi="Arial" w:cs="Arial"/>
          <w:sz w:val="22"/>
          <w:szCs w:val="22"/>
          <w:lang w:val="en-US"/>
        </w:rPr>
        <w:t xml:space="preserve"> </w:t>
      </w:r>
      <w:r w:rsidR="000C2765" w:rsidRPr="00C2514D">
        <w:rPr>
          <w:rFonts w:ascii="Arial" w:hAnsi="Arial" w:cs="Arial"/>
          <w:sz w:val="22"/>
          <w:szCs w:val="22"/>
          <w:lang w:val="en-US"/>
        </w:rPr>
        <w:t>agricultural products (rice and sugar)</w:t>
      </w:r>
      <w:r w:rsidR="00B82004" w:rsidRPr="00C2514D">
        <w:rPr>
          <w:rFonts w:ascii="Arial" w:hAnsi="Arial" w:cs="Arial"/>
          <w:sz w:val="22"/>
          <w:szCs w:val="22"/>
          <w:lang w:val="en-US"/>
        </w:rPr>
        <w:t xml:space="preserve"> </w:t>
      </w:r>
      <w:r w:rsidR="000C2765" w:rsidRPr="00C2514D">
        <w:rPr>
          <w:rFonts w:ascii="Arial" w:hAnsi="Arial" w:cs="Arial"/>
          <w:sz w:val="22"/>
          <w:szCs w:val="22"/>
          <w:lang w:val="en-US"/>
        </w:rPr>
        <w:t xml:space="preserve">challenge the competitiveness that Guyanese exporters </w:t>
      </w:r>
      <w:r w:rsidR="00105D85" w:rsidRPr="00C2514D">
        <w:rPr>
          <w:rFonts w:ascii="Arial" w:hAnsi="Arial" w:cs="Arial"/>
          <w:sz w:val="22"/>
          <w:szCs w:val="22"/>
          <w:lang w:val="en-US"/>
        </w:rPr>
        <w:t xml:space="preserve">need </w:t>
      </w:r>
      <w:r w:rsidR="00DC32AB" w:rsidRPr="00C2514D">
        <w:rPr>
          <w:rFonts w:ascii="Arial" w:hAnsi="Arial" w:cs="Arial"/>
          <w:sz w:val="22"/>
          <w:szCs w:val="22"/>
          <w:lang w:val="en-US"/>
        </w:rPr>
        <w:t>in global market.</w:t>
      </w:r>
    </w:p>
    <w:p w:rsidR="00AD0BF7" w:rsidRPr="00C2514D" w:rsidRDefault="005B4E06"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C</w:t>
      </w:r>
      <w:r w:rsidR="00AD0BF7" w:rsidRPr="00C2514D">
        <w:rPr>
          <w:rFonts w:ascii="Arial" w:hAnsi="Arial" w:cs="Arial"/>
          <w:sz w:val="22"/>
          <w:szCs w:val="22"/>
          <w:lang w:val="en-US"/>
        </w:rPr>
        <w:t xml:space="preserve">oncentration </w:t>
      </w:r>
      <w:r w:rsidR="00105D85" w:rsidRPr="00C2514D">
        <w:rPr>
          <w:rFonts w:ascii="Arial" w:hAnsi="Arial" w:cs="Arial"/>
          <w:sz w:val="22"/>
          <w:szCs w:val="22"/>
          <w:lang w:val="en-US"/>
        </w:rPr>
        <w:t xml:space="preserve">is not limited to the composition of the supplied exports basket. It </w:t>
      </w:r>
      <w:r w:rsidR="00AD0BF7" w:rsidRPr="00C2514D">
        <w:rPr>
          <w:rFonts w:ascii="Arial" w:hAnsi="Arial" w:cs="Arial"/>
          <w:sz w:val="22"/>
          <w:szCs w:val="22"/>
          <w:lang w:val="en-US"/>
        </w:rPr>
        <w:t xml:space="preserve">is also observed in the composition of the destination of Guyanese exports as </w:t>
      </w:r>
      <w:r w:rsidR="0082481B">
        <w:rPr>
          <w:rFonts w:ascii="Arial" w:hAnsi="Arial" w:cs="Arial"/>
          <w:sz w:val="22"/>
          <w:szCs w:val="22"/>
          <w:lang w:val="en-US"/>
        </w:rPr>
        <w:t>five</w:t>
      </w:r>
      <w:r w:rsidR="00AD0BF7" w:rsidRPr="00C2514D">
        <w:rPr>
          <w:rFonts w:ascii="Arial" w:hAnsi="Arial" w:cs="Arial"/>
          <w:sz w:val="22"/>
          <w:szCs w:val="22"/>
          <w:lang w:val="en-US"/>
        </w:rPr>
        <w:t xml:space="preserve"> countries make up for about 3/5 of </w:t>
      </w:r>
      <w:r w:rsidR="00105D85" w:rsidRPr="00C2514D">
        <w:rPr>
          <w:rFonts w:ascii="Arial" w:hAnsi="Arial" w:cs="Arial"/>
          <w:sz w:val="22"/>
          <w:szCs w:val="22"/>
          <w:lang w:val="en-US"/>
        </w:rPr>
        <w:t xml:space="preserve">the demand of </w:t>
      </w:r>
      <w:r w:rsidR="00AD0BF7" w:rsidRPr="00C2514D">
        <w:rPr>
          <w:rFonts w:ascii="Arial" w:hAnsi="Arial" w:cs="Arial"/>
          <w:sz w:val="22"/>
          <w:szCs w:val="22"/>
          <w:lang w:val="en-US"/>
        </w:rPr>
        <w:t>its export</w:t>
      </w:r>
      <w:r w:rsidR="00105D85" w:rsidRPr="00C2514D">
        <w:rPr>
          <w:rFonts w:ascii="Arial" w:hAnsi="Arial" w:cs="Arial"/>
          <w:sz w:val="22"/>
          <w:szCs w:val="22"/>
          <w:lang w:val="en-US"/>
        </w:rPr>
        <w:t>s</w:t>
      </w:r>
      <w:r w:rsidR="00AD0BF7" w:rsidRPr="00C2514D">
        <w:rPr>
          <w:rFonts w:ascii="Arial" w:hAnsi="Arial" w:cs="Arial"/>
          <w:sz w:val="22"/>
          <w:szCs w:val="22"/>
          <w:lang w:val="en-US"/>
        </w:rPr>
        <w:t>. Access to these markets require compliance, in most cases mandatory, with technical requirements that are standards-based and include: food safety, good agricultural practices, good manufacturing practices, quality standards, animal health, plant health, environmental, social, safety, information security, efficiency and certification standards. This requires a quality infrastructure with laboratories that are able to generate precise and accurate results</w:t>
      </w:r>
      <w:r w:rsidRPr="00C2514D">
        <w:rPr>
          <w:rFonts w:ascii="Arial" w:hAnsi="Arial" w:cs="Arial"/>
          <w:sz w:val="22"/>
          <w:szCs w:val="22"/>
          <w:lang w:val="en-US"/>
        </w:rPr>
        <w:t xml:space="preserve"> </w:t>
      </w:r>
      <w:r w:rsidR="00DC32AB" w:rsidRPr="00C2514D">
        <w:rPr>
          <w:rFonts w:ascii="Arial" w:hAnsi="Arial" w:cs="Arial"/>
          <w:sz w:val="22"/>
          <w:szCs w:val="22"/>
          <w:lang w:val="en-US"/>
        </w:rPr>
        <w:t>when testing and certifying goods for exports.</w:t>
      </w:r>
    </w:p>
    <w:p w:rsidR="000B4A9D" w:rsidRPr="00C2514D" w:rsidRDefault="00125BCC"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GY-L1059 aims at coping with these risks</w:t>
      </w:r>
      <w:r w:rsidR="00105D85" w:rsidRPr="00C2514D">
        <w:rPr>
          <w:rFonts w:ascii="Arial" w:hAnsi="Arial" w:cs="Arial"/>
          <w:sz w:val="22"/>
          <w:szCs w:val="22"/>
          <w:lang w:val="en-US"/>
        </w:rPr>
        <w:t xml:space="preserve"> </w:t>
      </w:r>
      <w:r w:rsidRPr="00C2514D">
        <w:rPr>
          <w:rFonts w:ascii="Arial" w:hAnsi="Arial" w:cs="Arial"/>
          <w:sz w:val="22"/>
          <w:szCs w:val="22"/>
          <w:lang w:val="en-US"/>
        </w:rPr>
        <w:t xml:space="preserve">by </w:t>
      </w:r>
      <w:r w:rsidR="000B4A9D" w:rsidRPr="00C2514D">
        <w:rPr>
          <w:rFonts w:ascii="Arial" w:hAnsi="Arial" w:cs="Arial"/>
          <w:sz w:val="22"/>
          <w:szCs w:val="22"/>
          <w:lang w:val="en-US"/>
        </w:rPr>
        <w:t>support</w:t>
      </w:r>
      <w:r w:rsidRPr="00C2514D">
        <w:rPr>
          <w:rFonts w:ascii="Arial" w:hAnsi="Arial" w:cs="Arial"/>
          <w:sz w:val="22"/>
          <w:szCs w:val="22"/>
          <w:lang w:val="en-US"/>
        </w:rPr>
        <w:t>ing</w:t>
      </w:r>
      <w:r w:rsidR="000B4A9D" w:rsidRPr="00C2514D">
        <w:rPr>
          <w:rFonts w:ascii="Arial" w:hAnsi="Arial" w:cs="Arial"/>
          <w:sz w:val="22"/>
          <w:szCs w:val="22"/>
          <w:lang w:val="en-US"/>
        </w:rPr>
        <w:t xml:space="preserve"> diversification</w:t>
      </w:r>
      <w:r w:rsidR="00AA75FF" w:rsidRPr="00C2514D">
        <w:rPr>
          <w:rFonts w:ascii="Arial" w:hAnsi="Arial" w:cs="Arial"/>
          <w:sz w:val="22"/>
          <w:szCs w:val="22"/>
          <w:lang w:val="en-US"/>
        </w:rPr>
        <w:t xml:space="preserve"> of </w:t>
      </w:r>
      <w:r w:rsidR="009D54F7" w:rsidRPr="00C2514D">
        <w:rPr>
          <w:rFonts w:ascii="Arial" w:hAnsi="Arial" w:cs="Arial"/>
          <w:sz w:val="22"/>
          <w:szCs w:val="22"/>
          <w:lang w:val="en-US"/>
        </w:rPr>
        <w:t xml:space="preserve">exports </w:t>
      </w:r>
      <w:r w:rsidR="00AA75FF" w:rsidRPr="00C2514D">
        <w:rPr>
          <w:rFonts w:ascii="Arial" w:hAnsi="Arial" w:cs="Arial"/>
          <w:sz w:val="22"/>
          <w:szCs w:val="22"/>
          <w:lang w:val="en-US"/>
        </w:rPr>
        <w:t>products (non-</w:t>
      </w:r>
      <w:r w:rsidR="009D54F7" w:rsidRPr="00C2514D">
        <w:rPr>
          <w:rFonts w:ascii="Arial" w:hAnsi="Arial" w:cs="Arial"/>
          <w:sz w:val="22"/>
          <w:szCs w:val="22"/>
          <w:lang w:val="en-US"/>
        </w:rPr>
        <w:t>traditional agricultural exporters</w:t>
      </w:r>
      <w:r w:rsidR="00AA75FF" w:rsidRPr="00C2514D">
        <w:rPr>
          <w:rFonts w:ascii="Arial" w:hAnsi="Arial" w:cs="Arial"/>
          <w:sz w:val="22"/>
          <w:szCs w:val="22"/>
          <w:lang w:val="en-US"/>
        </w:rPr>
        <w:t xml:space="preserve"> will be targeted as main final beneficiaries of the project)</w:t>
      </w:r>
      <w:r w:rsidR="000B4A9D" w:rsidRPr="00C2514D">
        <w:rPr>
          <w:rFonts w:ascii="Arial" w:hAnsi="Arial" w:cs="Arial"/>
          <w:sz w:val="22"/>
          <w:szCs w:val="22"/>
          <w:lang w:val="en-US"/>
        </w:rPr>
        <w:t xml:space="preserve"> </w:t>
      </w:r>
      <w:r w:rsidR="00AD0BF7" w:rsidRPr="00C2514D">
        <w:rPr>
          <w:rFonts w:ascii="Arial" w:hAnsi="Arial" w:cs="Arial"/>
          <w:sz w:val="22"/>
          <w:szCs w:val="22"/>
          <w:lang w:val="en-US"/>
        </w:rPr>
        <w:t xml:space="preserve">and </w:t>
      </w:r>
      <w:r w:rsidR="00AA75FF" w:rsidRPr="00C2514D">
        <w:rPr>
          <w:rFonts w:ascii="Arial" w:hAnsi="Arial" w:cs="Arial"/>
          <w:sz w:val="22"/>
          <w:szCs w:val="22"/>
          <w:lang w:val="en-US"/>
        </w:rPr>
        <w:t xml:space="preserve">by improving the national system for quality control (as to facilitate the compliance </w:t>
      </w:r>
      <w:r w:rsidR="009D54F7" w:rsidRPr="00C2514D">
        <w:rPr>
          <w:rFonts w:ascii="Arial" w:hAnsi="Arial" w:cs="Arial"/>
          <w:sz w:val="22"/>
          <w:szCs w:val="22"/>
          <w:lang w:val="en-US"/>
        </w:rPr>
        <w:t>with</w:t>
      </w:r>
      <w:r w:rsidR="00AA75FF" w:rsidRPr="00C2514D">
        <w:rPr>
          <w:rFonts w:ascii="Arial" w:hAnsi="Arial" w:cs="Arial"/>
          <w:sz w:val="22"/>
          <w:szCs w:val="22"/>
          <w:lang w:val="en-US"/>
        </w:rPr>
        <w:t xml:space="preserve"> international standards for exports to main destinations). </w:t>
      </w:r>
      <w:r w:rsidR="009D54F7" w:rsidRPr="00C2514D">
        <w:rPr>
          <w:rFonts w:ascii="Arial" w:hAnsi="Arial" w:cs="Arial"/>
          <w:sz w:val="22"/>
          <w:szCs w:val="22"/>
          <w:lang w:val="en-US"/>
        </w:rPr>
        <w:t xml:space="preserve">In order to strengthen the institutional </w:t>
      </w:r>
      <w:r w:rsidR="00DC32AB" w:rsidRPr="00C2514D">
        <w:rPr>
          <w:rFonts w:ascii="Arial" w:hAnsi="Arial" w:cs="Arial"/>
          <w:sz w:val="22"/>
          <w:szCs w:val="22"/>
          <w:lang w:val="en-US"/>
        </w:rPr>
        <w:t>framework</w:t>
      </w:r>
      <w:r w:rsidR="009D54F7" w:rsidRPr="00C2514D">
        <w:rPr>
          <w:rFonts w:ascii="Arial" w:hAnsi="Arial" w:cs="Arial"/>
          <w:sz w:val="22"/>
          <w:szCs w:val="22"/>
          <w:lang w:val="en-US"/>
        </w:rPr>
        <w:t xml:space="preserve"> to facilitate quality improvements</w:t>
      </w:r>
      <w:r w:rsidR="009D54F7" w:rsidRPr="00C2514D">
        <w:rPr>
          <w:rStyle w:val="FootnoteReference"/>
          <w:rFonts w:ascii="Arial" w:hAnsi="Arial" w:cs="Arial"/>
          <w:sz w:val="22"/>
          <w:szCs w:val="22"/>
          <w:lang w:val="en-US"/>
        </w:rPr>
        <w:footnoteReference w:id="3"/>
      </w:r>
      <w:r w:rsidR="009D54F7" w:rsidRPr="00C2514D">
        <w:rPr>
          <w:rFonts w:ascii="Arial" w:hAnsi="Arial" w:cs="Arial"/>
          <w:sz w:val="22"/>
          <w:szCs w:val="22"/>
          <w:lang w:val="en-US"/>
        </w:rPr>
        <w:t>, a</w:t>
      </w:r>
      <w:r w:rsidR="00AA75FF" w:rsidRPr="00C2514D">
        <w:rPr>
          <w:rFonts w:ascii="Arial" w:hAnsi="Arial" w:cs="Arial"/>
          <w:sz w:val="22"/>
          <w:szCs w:val="22"/>
          <w:lang w:val="en-US"/>
        </w:rPr>
        <w:t xml:space="preserve">ctivities will be conducted </w:t>
      </w:r>
      <w:r w:rsidR="00AD0BF7" w:rsidRPr="00C2514D">
        <w:rPr>
          <w:rFonts w:ascii="Arial" w:hAnsi="Arial" w:cs="Arial"/>
          <w:sz w:val="22"/>
          <w:szCs w:val="22"/>
          <w:lang w:val="en-US"/>
        </w:rPr>
        <w:t xml:space="preserve">in two fronts (supply and demand related): </w:t>
      </w:r>
      <w:r w:rsidR="000B4A9D" w:rsidRPr="00C2514D">
        <w:rPr>
          <w:rFonts w:ascii="Arial" w:hAnsi="Arial" w:cs="Arial"/>
          <w:sz w:val="22"/>
          <w:szCs w:val="22"/>
          <w:lang w:val="en-US"/>
        </w:rPr>
        <w:t>through the enhancement of the National Quality Infrastructure (NQI) and through a National Export and Investment Promotion Strategy.</w:t>
      </w:r>
      <w:r w:rsidR="00AD0BF7" w:rsidRPr="00C2514D">
        <w:rPr>
          <w:rFonts w:ascii="Arial" w:hAnsi="Arial" w:cs="Arial"/>
          <w:sz w:val="22"/>
          <w:szCs w:val="22"/>
          <w:lang w:val="en-US"/>
        </w:rPr>
        <w:t xml:space="preserve"> </w:t>
      </w:r>
      <w:r w:rsidR="00AA75FF" w:rsidRPr="00C2514D">
        <w:rPr>
          <w:rFonts w:ascii="Arial" w:hAnsi="Arial" w:cs="Arial"/>
          <w:sz w:val="22"/>
          <w:szCs w:val="22"/>
          <w:lang w:val="en-US"/>
        </w:rPr>
        <w:t>In particular</w:t>
      </w:r>
      <w:r w:rsidR="00AD0BF7" w:rsidRPr="00C2514D">
        <w:rPr>
          <w:rFonts w:ascii="Arial" w:hAnsi="Arial" w:cs="Arial"/>
          <w:sz w:val="22"/>
          <w:szCs w:val="22"/>
          <w:lang w:val="en-US"/>
        </w:rPr>
        <w:t xml:space="preserve">, </w:t>
      </w:r>
      <w:r w:rsidR="00AA75FF" w:rsidRPr="00C2514D">
        <w:rPr>
          <w:rFonts w:ascii="Arial" w:hAnsi="Arial" w:cs="Arial"/>
          <w:sz w:val="22"/>
          <w:szCs w:val="22"/>
          <w:lang w:val="en-US"/>
        </w:rPr>
        <w:t xml:space="preserve">the </w:t>
      </w:r>
      <w:r w:rsidR="00AD0BF7" w:rsidRPr="00C2514D">
        <w:rPr>
          <w:rFonts w:ascii="Arial" w:hAnsi="Arial" w:cs="Arial"/>
          <w:sz w:val="22"/>
          <w:szCs w:val="22"/>
          <w:lang w:val="en-US"/>
        </w:rPr>
        <w:t>s</w:t>
      </w:r>
      <w:r w:rsidR="000B4A9D" w:rsidRPr="00C2514D">
        <w:rPr>
          <w:rFonts w:ascii="Arial" w:hAnsi="Arial" w:cs="Arial"/>
          <w:sz w:val="22"/>
          <w:szCs w:val="22"/>
          <w:lang w:val="en-US"/>
        </w:rPr>
        <w:t xml:space="preserve">pecific </w:t>
      </w:r>
      <w:r w:rsidR="00646571">
        <w:rPr>
          <w:rFonts w:ascii="Arial" w:hAnsi="Arial" w:cs="Arial"/>
          <w:sz w:val="22"/>
          <w:szCs w:val="22"/>
          <w:lang w:val="en-US"/>
        </w:rPr>
        <w:t>sub</w:t>
      </w:r>
      <w:r w:rsidR="00523C33" w:rsidRPr="00C2514D">
        <w:rPr>
          <w:rFonts w:ascii="Arial" w:hAnsi="Arial" w:cs="Arial"/>
          <w:sz w:val="22"/>
          <w:szCs w:val="22"/>
          <w:lang w:val="en-US"/>
        </w:rPr>
        <w:t>components</w:t>
      </w:r>
      <w:r w:rsidR="000B4A9D" w:rsidRPr="00C2514D">
        <w:rPr>
          <w:rFonts w:ascii="Arial" w:hAnsi="Arial" w:cs="Arial"/>
          <w:sz w:val="22"/>
          <w:szCs w:val="22"/>
          <w:lang w:val="en-US"/>
        </w:rPr>
        <w:t xml:space="preserve"> </w:t>
      </w:r>
      <w:r w:rsidR="00AA75FF" w:rsidRPr="00C2514D">
        <w:rPr>
          <w:rFonts w:ascii="Arial" w:hAnsi="Arial" w:cs="Arial"/>
          <w:sz w:val="22"/>
          <w:szCs w:val="22"/>
          <w:lang w:val="en-US"/>
        </w:rPr>
        <w:t xml:space="preserve">of the intervention </w:t>
      </w:r>
      <w:r w:rsidR="000B4A9D" w:rsidRPr="00C2514D">
        <w:rPr>
          <w:rFonts w:ascii="Arial" w:hAnsi="Arial" w:cs="Arial"/>
          <w:sz w:val="22"/>
          <w:szCs w:val="22"/>
          <w:lang w:val="en-US"/>
        </w:rPr>
        <w:t>are:</w:t>
      </w:r>
    </w:p>
    <w:p w:rsidR="00B61783" w:rsidRPr="00C2514D" w:rsidRDefault="00FA241D" w:rsidP="00507B7D">
      <w:pPr>
        <w:pStyle w:val="Paragraph"/>
        <w:tabs>
          <w:tab w:val="clear" w:pos="1296"/>
          <w:tab w:val="num" w:pos="720"/>
        </w:tabs>
        <w:ind w:left="720" w:hanging="720"/>
        <w:rPr>
          <w:rFonts w:ascii="Arial" w:hAnsi="Arial" w:cs="Arial"/>
          <w:sz w:val="22"/>
          <w:szCs w:val="22"/>
          <w:lang w:val="en-US"/>
        </w:rPr>
      </w:pPr>
      <w:r>
        <w:rPr>
          <w:rFonts w:ascii="Arial" w:hAnsi="Arial" w:cs="Arial"/>
          <w:b/>
          <w:sz w:val="22"/>
          <w:szCs w:val="22"/>
          <w:lang w:val="en-US"/>
        </w:rPr>
        <w:t>Sub</w:t>
      </w:r>
      <w:r w:rsidR="00AA09C1">
        <w:rPr>
          <w:rFonts w:ascii="Arial" w:hAnsi="Arial" w:cs="Arial"/>
          <w:b/>
          <w:sz w:val="22"/>
          <w:szCs w:val="22"/>
          <w:lang w:val="en-US"/>
        </w:rPr>
        <w:t>c</w:t>
      </w:r>
      <w:r w:rsidR="00B61783" w:rsidRPr="00C2514D">
        <w:rPr>
          <w:rFonts w:ascii="Arial" w:hAnsi="Arial" w:cs="Arial"/>
          <w:b/>
          <w:sz w:val="22"/>
          <w:szCs w:val="22"/>
          <w:lang w:val="en-US"/>
        </w:rPr>
        <w:t xml:space="preserve">omponent </w:t>
      </w:r>
      <w:r w:rsidR="00646571">
        <w:rPr>
          <w:rFonts w:ascii="Arial" w:hAnsi="Arial" w:cs="Arial"/>
          <w:b/>
          <w:sz w:val="22"/>
          <w:szCs w:val="22"/>
          <w:lang w:val="en-US"/>
        </w:rPr>
        <w:t>1</w:t>
      </w:r>
      <w:r w:rsidR="00B61783" w:rsidRPr="00C2514D">
        <w:rPr>
          <w:rFonts w:ascii="Arial" w:hAnsi="Arial" w:cs="Arial"/>
          <w:b/>
          <w:sz w:val="22"/>
          <w:szCs w:val="22"/>
          <w:lang w:val="en-US"/>
        </w:rPr>
        <w:t>. Moderniz</w:t>
      </w:r>
      <w:r w:rsidR="00AA75FF" w:rsidRPr="00C2514D">
        <w:rPr>
          <w:rFonts w:ascii="Arial" w:hAnsi="Arial" w:cs="Arial"/>
          <w:b/>
          <w:sz w:val="22"/>
          <w:szCs w:val="22"/>
          <w:lang w:val="en-US"/>
        </w:rPr>
        <w:t>ation of</w:t>
      </w:r>
      <w:r w:rsidR="00B61783" w:rsidRPr="00C2514D">
        <w:rPr>
          <w:rFonts w:ascii="Arial" w:hAnsi="Arial" w:cs="Arial"/>
          <w:b/>
          <w:sz w:val="22"/>
          <w:szCs w:val="22"/>
          <w:lang w:val="en-US"/>
        </w:rPr>
        <w:t xml:space="preserve"> the Institutional Framework for the NQI (US$</w:t>
      </w:r>
      <w:r>
        <w:rPr>
          <w:rFonts w:ascii="Arial" w:hAnsi="Arial" w:cs="Arial"/>
          <w:b/>
          <w:sz w:val="22"/>
          <w:szCs w:val="22"/>
          <w:lang w:val="en-US"/>
        </w:rPr>
        <w:t>0.615</w:t>
      </w:r>
      <w:r w:rsidR="00B61783" w:rsidRPr="00C2514D">
        <w:rPr>
          <w:rFonts w:ascii="Arial" w:hAnsi="Arial" w:cs="Arial"/>
          <w:b/>
          <w:sz w:val="22"/>
          <w:szCs w:val="22"/>
          <w:lang w:val="en-US"/>
        </w:rPr>
        <w:t>MM).</w:t>
      </w:r>
      <w:r w:rsidR="00B61783" w:rsidRPr="00C2514D">
        <w:rPr>
          <w:rFonts w:ascii="Arial" w:hAnsi="Arial" w:cs="Arial"/>
          <w:sz w:val="22"/>
          <w:szCs w:val="22"/>
          <w:lang w:val="en-US"/>
        </w:rPr>
        <w:t xml:space="preserve"> The </w:t>
      </w:r>
      <w:r w:rsidR="00646571">
        <w:rPr>
          <w:rFonts w:ascii="Arial" w:hAnsi="Arial" w:cs="Arial"/>
          <w:sz w:val="22"/>
          <w:szCs w:val="22"/>
          <w:lang w:val="en-US"/>
        </w:rPr>
        <w:t>sub</w:t>
      </w:r>
      <w:r w:rsidR="00B61783" w:rsidRPr="00C2514D">
        <w:rPr>
          <w:rFonts w:ascii="Arial" w:hAnsi="Arial" w:cs="Arial"/>
          <w:sz w:val="22"/>
          <w:szCs w:val="22"/>
          <w:lang w:val="en-US"/>
        </w:rPr>
        <w:t xml:space="preserve">component will support the capacity building of the stakeholders of the NQI, in particular the GNBS, </w:t>
      </w:r>
      <w:r w:rsidR="00941F76" w:rsidRPr="00C2514D">
        <w:rPr>
          <w:rFonts w:ascii="Arial" w:hAnsi="Arial" w:cs="Arial"/>
          <w:sz w:val="22"/>
          <w:szCs w:val="22"/>
          <w:lang w:val="en-US"/>
        </w:rPr>
        <w:t>by</w:t>
      </w:r>
      <w:r w:rsidR="00B61783" w:rsidRPr="00C2514D">
        <w:rPr>
          <w:rFonts w:ascii="Arial" w:hAnsi="Arial" w:cs="Arial"/>
          <w:sz w:val="22"/>
          <w:szCs w:val="22"/>
          <w:lang w:val="en-US"/>
        </w:rPr>
        <w:t xml:space="preserve"> strengthening the areas of technical regulations, compliance, conformity, accreditation and training, and capacity building of public and private stakeholders. The governance structure of the NQI will be streamlined to include the needs of private sector with priority given to non</w:t>
      </w:r>
      <w:r w:rsidR="00C61270" w:rsidRPr="00C2514D">
        <w:rPr>
          <w:rFonts w:ascii="Arial" w:hAnsi="Arial" w:cs="Arial"/>
          <w:sz w:val="22"/>
          <w:szCs w:val="22"/>
          <w:lang w:val="en-US"/>
        </w:rPr>
        <w:t>-</w:t>
      </w:r>
      <w:r w:rsidR="00B61783" w:rsidRPr="00C2514D">
        <w:rPr>
          <w:rFonts w:ascii="Arial" w:hAnsi="Arial" w:cs="Arial"/>
          <w:sz w:val="22"/>
          <w:szCs w:val="22"/>
          <w:lang w:val="en-US"/>
        </w:rPr>
        <w:t xml:space="preserve">traditional exporters and a network of laboratories will be created in order to promote the most efficient use of the current facilities. In addition, the network of laboratories under the GNBS will create a monitoring and evaluation system, in which data of the users of the NQI will be collected. This </w:t>
      </w:r>
      <w:r w:rsidR="00646571">
        <w:rPr>
          <w:rFonts w:ascii="Arial" w:hAnsi="Arial" w:cs="Arial"/>
          <w:sz w:val="22"/>
          <w:szCs w:val="22"/>
          <w:lang w:val="en-US"/>
        </w:rPr>
        <w:t>sub</w:t>
      </w:r>
      <w:r w:rsidR="00B61783" w:rsidRPr="00C2514D">
        <w:rPr>
          <w:rFonts w:ascii="Arial" w:hAnsi="Arial" w:cs="Arial"/>
          <w:sz w:val="22"/>
          <w:szCs w:val="22"/>
          <w:lang w:val="en-US"/>
        </w:rPr>
        <w:t xml:space="preserve">component will finance: (i) activities to support the accreditation process of existing laboratories; (ii) training </w:t>
      </w:r>
      <w:r w:rsidR="00B61783" w:rsidRPr="00C2514D">
        <w:rPr>
          <w:rFonts w:ascii="Arial" w:hAnsi="Arial" w:cs="Arial"/>
          <w:sz w:val="22"/>
          <w:szCs w:val="22"/>
          <w:lang w:val="en-US"/>
        </w:rPr>
        <w:lastRenderedPageBreak/>
        <w:t>and capacity building for laboratories in the network and for the GNBS; (iii) creation and operation of a network of laboratories; (iv) capacity building activities on SMEs and standards (v) the development of a strategic plan for the GNBS that aligns with both the regional and national policy framework; and (v) awareness campaigns on the use of standards and quality.</w:t>
      </w:r>
    </w:p>
    <w:p w:rsidR="00B61783" w:rsidRPr="00C2514D" w:rsidRDefault="00FA241D" w:rsidP="00507B7D">
      <w:pPr>
        <w:pStyle w:val="Paragraph"/>
        <w:tabs>
          <w:tab w:val="clear" w:pos="1296"/>
          <w:tab w:val="num" w:pos="720"/>
        </w:tabs>
        <w:ind w:left="720" w:hanging="720"/>
        <w:rPr>
          <w:rFonts w:ascii="Arial" w:hAnsi="Arial" w:cs="Arial"/>
          <w:sz w:val="22"/>
          <w:szCs w:val="22"/>
          <w:lang w:val="en-US"/>
        </w:rPr>
      </w:pPr>
      <w:r>
        <w:rPr>
          <w:rFonts w:ascii="Arial" w:hAnsi="Arial" w:cs="Arial"/>
          <w:b/>
          <w:sz w:val="22"/>
          <w:szCs w:val="22"/>
          <w:lang w:val="en-US"/>
        </w:rPr>
        <w:t>Subc</w:t>
      </w:r>
      <w:r w:rsidR="00646571">
        <w:rPr>
          <w:rFonts w:ascii="Arial" w:hAnsi="Arial" w:cs="Arial"/>
          <w:b/>
          <w:sz w:val="22"/>
          <w:szCs w:val="22"/>
          <w:lang w:val="en-US"/>
        </w:rPr>
        <w:t>omponent 2</w:t>
      </w:r>
      <w:r w:rsidR="00B61783" w:rsidRPr="00C2514D">
        <w:rPr>
          <w:rFonts w:ascii="Arial" w:hAnsi="Arial" w:cs="Arial"/>
          <w:b/>
          <w:sz w:val="22"/>
          <w:szCs w:val="22"/>
          <w:lang w:val="en-US"/>
        </w:rPr>
        <w:t>: Improving Laboratory F</w:t>
      </w:r>
      <w:r>
        <w:rPr>
          <w:rFonts w:ascii="Arial" w:hAnsi="Arial" w:cs="Arial"/>
          <w:b/>
          <w:sz w:val="22"/>
          <w:szCs w:val="22"/>
          <w:lang w:val="en-US"/>
        </w:rPr>
        <w:t>acilities and Equipment (US$5.79</w:t>
      </w:r>
      <w:r w:rsidR="00B61783" w:rsidRPr="00C2514D">
        <w:rPr>
          <w:rFonts w:ascii="Arial" w:hAnsi="Arial" w:cs="Arial"/>
          <w:b/>
          <w:sz w:val="22"/>
          <w:szCs w:val="22"/>
          <w:lang w:val="en-US"/>
        </w:rPr>
        <w:t>MM).</w:t>
      </w:r>
      <w:r w:rsidR="00B61783" w:rsidRPr="00C2514D">
        <w:rPr>
          <w:rFonts w:ascii="Arial" w:hAnsi="Arial" w:cs="Arial"/>
          <w:sz w:val="22"/>
          <w:szCs w:val="22"/>
          <w:lang w:val="en-US"/>
        </w:rPr>
        <w:t xml:space="preserve"> The objective of this </w:t>
      </w:r>
      <w:r w:rsidR="00646571">
        <w:rPr>
          <w:rFonts w:ascii="Arial" w:hAnsi="Arial" w:cs="Arial"/>
          <w:sz w:val="22"/>
          <w:szCs w:val="22"/>
          <w:lang w:val="en-US"/>
        </w:rPr>
        <w:t>sub</w:t>
      </w:r>
      <w:r w:rsidR="00B61783" w:rsidRPr="00C2514D">
        <w:rPr>
          <w:rFonts w:ascii="Arial" w:hAnsi="Arial" w:cs="Arial"/>
          <w:sz w:val="22"/>
          <w:szCs w:val="22"/>
          <w:lang w:val="en-US"/>
        </w:rPr>
        <w:t xml:space="preserve">component is to </w:t>
      </w:r>
      <w:r w:rsidR="00BA5A3E" w:rsidRPr="00C2514D">
        <w:rPr>
          <w:rFonts w:ascii="Arial" w:hAnsi="Arial" w:cs="Arial"/>
          <w:sz w:val="22"/>
          <w:szCs w:val="22"/>
          <w:lang w:val="en-US"/>
        </w:rPr>
        <w:t>improve facilities for the NQI.</w:t>
      </w:r>
      <w:r w:rsidR="00B61783" w:rsidRPr="00C2514D">
        <w:rPr>
          <w:rFonts w:ascii="Arial" w:hAnsi="Arial" w:cs="Arial"/>
          <w:sz w:val="22"/>
          <w:szCs w:val="22"/>
          <w:lang w:val="en-US"/>
        </w:rPr>
        <w:t xml:space="preserve">  </w:t>
      </w:r>
      <w:r w:rsidR="00BA5A3E" w:rsidRPr="00C2514D">
        <w:rPr>
          <w:rFonts w:ascii="Arial" w:hAnsi="Arial" w:cs="Arial"/>
          <w:sz w:val="22"/>
          <w:szCs w:val="22"/>
          <w:lang w:val="en-US"/>
        </w:rPr>
        <w:t xml:space="preserve">This </w:t>
      </w:r>
      <w:r w:rsidR="00646571">
        <w:rPr>
          <w:rFonts w:ascii="Arial" w:hAnsi="Arial" w:cs="Arial"/>
          <w:sz w:val="22"/>
          <w:szCs w:val="22"/>
          <w:lang w:val="en-US"/>
        </w:rPr>
        <w:t>sub</w:t>
      </w:r>
      <w:r w:rsidR="00BA5A3E" w:rsidRPr="00C2514D">
        <w:rPr>
          <w:rFonts w:ascii="Arial" w:hAnsi="Arial" w:cs="Arial"/>
          <w:sz w:val="22"/>
          <w:szCs w:val="22"/>
          <w:lang w:val="en-US"/>
        </w:rPr>
        <w:t>component will finance specifically: (i) architecture and engineering designs of the new laboratory facility for the GNBS, including "green building" provisions; (ii) building of the new facility (the facility will house metrology, testing, chemistry and microbiology, and legal metrology); (iii) required equipment for the adequate functioning of the GNBS; (iv) maintenance contracts; (v) specific support to the main laboratories related to the export/import processes under the MoH and MoB filling specific gaps in those laboratories; and (vi) a sustainability plan (t</w:t>
      </w:r>
      <w:r w:rsidR="00B61783" w:rsidRPr="00C2514D">
        <w:rPr>
          <w:rFonts w:ascii="Arial" w:hAnsi="Arial" w:cs="Arial"/>
          <w:sz w:val="22"/>
          <w:szCs w:val="22"/>
          <w:lang w:val="en-US"/>
        </w:rPr>
        <w:t>o guarantee the sustainability of the investment, the development of the facilities will be concentrated in the core functio</w:t>
      </w:r>
      <w:r w:rsidR="00BA5A3E" w:rsidRPr="00C2514D">
        <w:rPr>
          <w:rFonts w:ascii="Arial" w:hAnsi="Arial" w:cs="Arial"/>
          <w:sz w:val="22"/>
          <w:szCs w:val="22"/>
          <w:lang w:val="en-US"/>
        </w:rPr>
        <w:t xml:space="preserve">ns of the GNBS - </w:t>
      </w:r>
      <w:r w:rsidR="00B61783" w:rsidRPr="00C2514D">
        <w:rPr>
          <w:rFonts w:ascii="Arial" w:hAnsi="Arial" w:cs="Arial"/>
          <w:sz w:val="22"/>
          <w:szCs w:val="22"/>
          <w:lang w:val="en-US"/>
        </w:rPr>
        <w:t>metrology, calibration and testing</w:t>
      </w:r>
      <w:r w:rsidR="00BA5A3E" w:rsidRPr="00C2514D">
        <w:rPr>
          <w:rFonts w:ascii="Arial" w:hAnsi="Arial" w:cs="Arial"/>
          <w:sz w:val="22"/>
          <w:szCs w:val="22"/>
          <w:lang w:val="en-US"/>
        </w:rPr>
        <w:t xml:space="preserve"> -</w:t>
      </w:r>
      <w:r w:rsidR="00B61783" w:rsidRPr="00C2514D">
        <w:rPr>
          <w:rFonts w:ascii="Arial" w:hAnsi="Arial" w:cs="Arial"/>
          <w:sz w:val="22"/>
          <w:szCs w:val="22"/>
          <w:lang w:val="en-US"/>
        </w:rPr>
        <w:t xml:space="preserve"> and will provide specific support to the Food and Drug and Agriculture facilities related to export promotion</w:t>
      </w:r>
      <w:r w:rsidR="00BA5A3E" w:rsidRPr="00C2514D">
        <w:rPr>
          <w:rFonts w:ascii="Arial" w:hAnsi="Arial" w:cs="Arial"/>
          <w:sz w:val="22"/>
          <w:szCs w:val="22"/>
          <w:lang w:val="en-US"/>
        </w:rPr>
        <w:t>)</w:t>
      </w:r>
      <w:r w:rsidR="00B61783" w:rsidRPr="00C2514D">
        <w:rPr>
          <w:rFonts w:ascii="Arial" w:hAnsi="Arial" w:cs="Arial"/>
          <w:sz w:val="22"/>
          <w:szCs w:val="22"/>
          <w:lang w:val="en-US"/>
        </w:rPr>
        <w:t>. Additional requirements, derived from quality value chain analysis that will be conducted on selected sectors and the quality bottlenecks</w:t>
      </w:r>
      <w:r w:rsidR="00646571">
        <w:rPr>
          <w:rFonts w:ascii="Arial" w:hAnsi="Arial" w:cs="Arial"/>
          <w:sz w:val="22"/>
          <w:szCs w:val="22"/>
          <w:lang w:val="en-US"/>
        </w:rPr>
        <w:t>, as part of the activities of Subc</w:t>
      </w:r>
      <w:r w:rsidR="00B61783" w:rsidRPr="00C2514D">
        <w:rPr>
          <w:rFonts w:ascii="Arial" w:hAnsi="Arial" w:cs="Arial"/>
          <w:sz w:val="22"/>
          <w:szCs w:val="22"/>
          <w:lang w:val="en-US"/>
        </w:rPr>
        <w:t xml:space="preserve">omponent </w:t>
      </w:r>
      <w:r w:rsidR="00646571">
        <w:rPr>
          <w:rFonts w:ascii="Arial" w:hAnsi="Arial" w:cs="Arial"/>
          <w:sz w:val="22"/>
          <w:szCs w:val="22"/>
          <w:lang w:val="en-US"/>
        </w:rPr>
        <w:t>3</w:t>
      </w:r>
      <w:r w:rsidR="00B61783" w:rsidRPr="00C2514D">
        <w:rPr>
          <w:rFonts w:ascii="Arial" w:hAnsi="Arial" w:cs="Arial"/>
          <w:sz w:val="22"/>
          <w:szCs w:val="22"/>
          <w:lang w:val="en-US"/>
        </w:rPr>
        <w:t xml:space="preserve"> will be addressed by this component as well. </w:t>
      </w:r>
    </w:p>
    <w:p w:rsidR="00B61783" w:rsidRPr="00C2514D" w:rsidRDefault="00FA241D" w:rsidP="00507B7D">
      <w:pPr>
        <w:pStyle w:val="Paragraph"/>
        <w:tabs>
          <w:tab w:val="clear" w:pos="1296"/>
          <w:tab w:val="num" w:pos="720"/>
        </w:tabs>
        <w:ind w:left="720" w:hanging="720"/>
        <w:rPr>
          <w:rFonts w:ascii="Arial" w:hAnsi="Arial" w:cs="Arial"/>
          <w:sz w:val="22"/>
          <w:szCs w:val="22"/>
          <w:lang w:val="en-US"/>
        </w:rPr>
      </w:pPr>
      <w:r>
        <w:rPr>
          <w:rFonts w:ascii="Arial" w:hAnsi="Arial" w:cs="Arial"/>
          <w:b/>
          <w:sz w:val="22"/>
          <w:szCs w:val="22"/>
          <w:lang w:val="en-US"/>
        </w:rPr>
        <w:t>Subc</w:t>
      </w:r>
      <w:r w:rsidR="00646571">
        <w:rPr>
          <w:rFonts w:ascii="Arial" w:hAnsi="Arial" w:cs="Arial"/>
          <w:b/>
          <w:sz w:val="22"/>
          <w:szCs w:val="22"/>
          <w:lang w:val="en-US"/>
        </w:rPr>
        <w:t>omponent 3</w:t>
      </w:r>
      <w:r w:rsidR="00B61783" w:rsidRPr="00C2514D">
        <w:rPr>
          <w:rFonts w:ascii="Arial" w:hAnsi="Arial" w:cs="Arial"/>
          <w:b/>
          <w:sz w:val="22"/>
          <w:szCs w:val="22"/>
          <w:lang w:val="en-US"/>
        </w:rPr>
        <w:t>: Implementing the National Export</w:t>
      </w:r>
      <w:r>
        <w:rPr>
          <w:rFonts w:ascii="Arial" w:hAnsi="Arial" w:cs="Arial"/>
          <w:b/>
          <w:sz w:val="22"/>
          <w:szCs w:val="22"/>
          <w:lang w:val="en-US"/>
        </w:rPr>
        <w:t xml:space="preserve"> and Investment Strategy (US$1.16</w:t>
      </w:r>
      <w:r w:rsidR="00B61783" w:rsidRPr="00C2514D">
        <w:rPr>
          <w:rFonts w:ascii="Arial" w:hAnsi="Arial" w:cs="Arial"/>
          <w:b/>
          <w:sz w:val="22"/>
          <w:szCs w:val="22"/>
          <w:lang w:val="en-US"/>
        </w:rPr>
        <w:t>MM).</w:t>
      </w:r>
      <w:r w:rsidR="00B61783" w:rsidRPr="00C2514D">
        <w:rPr>
          <w:rFonts w:ascii="Arial" w:hAnsi="Arial" w:cs="Arial"/>
          <w:sz w:val="22"/>
          <w:szCs w:val="22"/>
          <w:lang w:val="en-US"/>
        </w:rPr>
        <w:t xml:space="preserve"> In order to enhance the capability of export and investment promotion, this </w:t>
      </w:r>
      <w:r w:rsidR="00646571">
        <w:rPr>
          <w:rFonts w:ascii="Arial" w:hAnsi="Arial" w:cs="Arial"/>
          <w:sz w:val="22"/>
          <w:szCs w:val="22"/>
          <w:lang w:val="en-US"/>
        </w:rPr>
        <w:t>sub</w:t>
      </w:r>
      <w:r w:rsidR="00B61783" w:rsidRPr="00C2514D">
        <w:rPr>
          <w:rFonts w:ascii="Arial" w:hAnsi="Arial" w:cs="Arial"/>
          <w:sz w:val="22"/>
          <w:szCs w:val="22"/>
          <w:lang w:val="en-US"/>
        </w:rPr>
        <w:t>component will support: (i) technical assistance to design and implement a trade and investment promotion strategy, including mapping major value chains; and (ii) technical assistance for the strengthening of Go Invest and its ability to promote exports and attract foreign direct investment, especially in the sectors that will need the operation of modern certified lab facilities that are required for accessing international markets.</w:t>
      </w:r>
    </w:p>
    <w:p w:rsidR="00D6582C" w:rsidRPr="00C2514D" w:rsidRDefault="00D6582C">
      <w:pPr>
        <w:spacing w:after="200" w:line="276" w:lineRule="auto"/>
        <w:rPr>
          <w:lang w:val="en-US"/>
        </w:rPr>
      </w:pPr>
      <w:r w:rsidRPr="00C2514D">
        <w:rPr>
          <w:lang w:val="en-US"/>
        </w:rPr>
        <w:br w:type="page"/>
      </w:r>
    </w:p>
    <w:p w:rsidR="0093142D" w:rsidRPr="00C2514D" w:rsidRDefault="0093142D" w:rsidP="0093142D">
      <w:pPr>
        <w:rPr>
          <w:lang w:val="en-US"/>
        </w:rPr>
        <w:sectPr w:rsidR="0093142D" w:rsidRPr="00C2514D" w:rsidSect="00CA5FF8">
          <w:type w:val="continuous"/>
          <w:pgSz w:w="12240" w:h="15840"/>
          <w:pgMar w:top="1440" w:right="1800" w:bottom="1440" w:left="1800" w:header="720" w:footer="720" w:gutter="0"/>
          <w:cols w:space="720"/>
          <w:titlePg/>
          <w:docGrid w:linePitch="360"/>
        </w:sectPr>
      </w:pPr>
    </w:p>
    <w:p w:rsidR="00883AA7" w:rsidRPr="00C2514D" w:rsidRDefault="00722AF8" w:rsidP="00462C29">
      <w:pPr>
        <w:pStyle w:val="Chapter"/>
        <w:spacing w:before="0" w:after="0"/>
        <w:rPr>
          <w:rFonts w:ascii="Arial" w:hAnsi="Arial" w:cs="Arial"/>
          <w:lang w:val="en-US"/>
        </w:rPr>
      </w:pPr>
      <w:r w:rsidRPr="00C2514D">
        <w:rPr>
          <w:rFonts w:ascii="Arial" w:hAnsi="Arial" w:cs="Arial"/>
          <w:lang w:val="en-US"/>
        </w:rPr>
        <w:lastRenderedPageBreak/>
        <w:t>Monitoring</w:t>
      </w:r>
    </w:p>
    <w:p w:rsidR="00883AA7" w:rsidRPr="00C2514D" w:rsidRDefault="0093142D" w:rsidP="00462C29">
      <w:pPr>
        <w:pStyle w:val="FirstHeading"/>
        <w:ind w:left="720"/>
        <w:rPr>
          <w:rFonts w:ascii="Arial" w:hAnsi="Arial" w:cs="Arial"/>
          <w:sz w:val="22"/>
          <w:szCs w:val="22"/>
          <w:lang w:val="en-US"/>
        </w:rPr>
      </w:pPr>
      <w:r w:rsidRPr="00C2514D">
        <w:rPr>
          <w:rFonts w:ascii="Arial" w:hAnsi="Arial" w:cs="Arial"/>
          <w:sz w:val="22"/>
          <w:szCs w:val="22"/>
          <w:lang w:val="en-US"/>
        </w:rPr>
        <w:fldChar w:fldCharType="begin"/>
      </w:r>
      <w:r w:rsidRPr="00C2514D">
        <w:rPr>
          <w:rFonts w:ascii="Arial" w:hAnsi="Arial" w:cs="Arial"/>
          <w:sz w:val="22"/>
          <w:szCs w:val="22"/>
          <w:lang w:val="en-US"/>
        </w:rPr>
        <w:instrText xml:space="preserve"> SEQ "</w:instrText>
      </w:r>
      <w:r w:rsidRPr="00C2514D">
        <w:rPr>
          <w:rFonts w:ascii="Arial" w:hAnsi="Arial" w:cs="Arial"/>
          <w:sz w:val="22"/>
          <w:szCs w:val="22"/>
          <w:lang w:val="en-US"/>
        </w:rPr>
        <w:fldChar w:fldCharType="begin"/>
      </w:r>
      <w:r w:rsidRPr="00C2514D">
        <w:rPr>
          <w:rFonts w:ascii="Arial" w:hAnsi="Arial" w:cs="Arial"/>
          <w:sz w:val="22"/>
          <w:szCs w:val="22"/>
          <w:lang w:val="en-US"/>
        </w:rPr>
        <w:instrText xml:space="preserve"> SECTION  \* MERGEFORMAT </w:instrText>
      </w:r>
      <w:r w:rsidRPr="00C2514D">
        <w:rPr>
          <w:rFonts w:ascii="Arial" w:hAnsi="Arial" w:cs="Arial"/>
          <w:sz w:val="22"/>
          <w:szCs w:val="22"/>
          <w:lang w:val="en-US"/>
        </w:rPr>
        <w:fldChar w:fldCharType="separate"/>
      </w:r>
      <w:r w:rsidRPr="00C2514D">
        <w:rPr>
          <w:rFonts w:ascii="Arial" w:hAnsi="Arial" w:cs="Arial"/>
          <w:sz w:val="22"/>
          <w:szCs w:val="22"/>
          <w:lang w:val="en-US"/>
        </w:rPr>
        <w:instrText>3</w:instrText>
      </w:r>
      <w:r w:rsidRPr="00C2514D">
        <w:rPr>
          <w:rFonts w:ascii="Arial" w:hAnsi="Arial" w:cs="Arial"/>
          <w:sz w:val="22"/>
          <w:szCs w:val="22"/>
          <w:lang w:val="en-US"/>
        </w:rPr>
        <w:fldChar w:fldCharType="end"/>
      </w:r>
      <w:r w:rsidRPr="00C2514D">
        <w:rPr>
          <w:rFonts w:ascii="Arial" w:hAnsi="Arial" w:cs="Arial"/>
          <w:sz w:val="22"/>
          <w:szCs w:val="22"/>
          <w:lang w:val="en-US"/>
        </w:rPr>
        <w:instrText xml:space="preserve">#"\* ALPHABETIC \* MERGEFORMAT </w:instrText>
      </w:r>
      <w:r w:rsidRPr="00C2514D">
        <w:rPr>
          <w:rFonts w:ascii="Arial" w:hAnsi="Arial" w:cs="Arial"/>
          <w:sz w:val="22"/>
          <w:szCs w:val="22"/>
          <w:lang w:val="en-US"/>
        </w:rPr>
        <w:fldChar w:fldCharType="separate"/>
      </w:r>
      <w:bookmarkStart w:id="1" w:name="_Toc449703275"/>
      <w:r w:rsidRPr="00C2514D">
        <w:rPr>
          <w:rFonts w:ascii="Arial" w:hAnsi="Arial" w:cs="Arial"/>
          <w:noProof/>
          <w:sz w:val="22"/>
          <w:szCs w:val="22"/>
          <w:lang w:val="en-US"/>
        </w:rPr>
        <w:t>A</w:t>
      </w:r>
      <w:r w:rsidRPr="00C2514D">
        <w:rPr>
          <w:rFonts w:ascii="Arial" w:hAnsi="Arial" w:cs="Arial"/>
          <w:sz w:val="22"/>
          <w:szCs w:val="22"/>
          <w:lang w:val="en-US"/>
        </w:rPr>
        <w:fldChar w:fldCharType="end"/>
      </w:r>
      <w:r w:rsidRPr="00C2514D">
        <w:rPr>
          <w:rFonts w:ascii="Arial" w:hAnsi="Arial" w:cs="Arial"/>
          <w:sz w:val="22"/>
          <w:szCs w:val="22"/>
          <w:lang w:val="en-US"/>
        </w:rPr>
        <w:t>.</w:t>
      </w:r>
      <w:r w:rsidRPr="00C2514D">
        <w:rPr>
          <w:rFonts w:ascii="Arial" w:hAnsi="Arial" w:cs="Arial"/>
          <w:sz w:val="22"/>
          <w:szCs w:val="22"/>
          <w:lang w:val="en-US"/>
        </w:rPr>
        <w:tab/>
      </w:r>
      <w:r w:rsidR="00883AA7" w:rsidRPr="00C2514D">
        <w:rPr>
          <w:rFonts w:ascii="Arial" w:hAnsi="Arial" w:cs="Arial"/>
          <w:sz w:val="22"/>
          <w:szCs w:val="22"/>
          <w:lang w:val="en-US"/>
        </w:rPr>
        <w:t>Indica</w:t>
      </w:r>
      <w:r w:rsidR="00722AF8" w:rsidRPr="00C2514D">
        <w:rPr>
          <w:rFonts w:ascii="Arial" w:hAnsi="Arial" w:cs="Arial"/>
          <w:sz w:val="22"/>
          <w:szCs w:val="22"/>
          <w:lang w:val="en-US"/>
        </w:rPr>
        <w:t>t</w:t>
      </w:r>
      <w:r w:rsidR="00883AA7" w:rsidRPr="00C2514D">
        <w:rPr>
          <w:rFonts w:ascii="Arial" w:hAnsi="Arial" w:cs="Arial"/>
          <w:sz w:val="22"/>
          <w:szCs w:val="22"/>
          <w:lang w:val="en-US"/>
        </w:rPr>
        <w:t>ors</w:t>
      </w:r>
      <w:bookmarkEnd w:id="1"/>
    </w:p>
    <w:p w:rsidR="00882C58" w:rsidRPr="00C2514D" w:rsidRDefault="001201A7"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 xml:space="preserve">The vertical logic of the program </w:t>
      </w:r>
      <w:r w:rsidR="00E221E5" w:rsidRPr="00C2514D">
        <w:rPr>
          <w:rFonts w:ascii="Arial" w:hAnsi="Arial" w:cs="Arial"/>
          <w:sz w:val="22"/>
          <w:szCs w:val="22"/>
          <w:lang w:val="en-US"/>
        </w:rPr>
        <w:t xml:space="preserve">and the causality chain of outputs delivered, </w:t>
      </w:r>
      <w:r w:rsidR="00EC2F97" w:rsidRPr="00C2514D">
        <w:rPr>
          <w:rFonts w:ascii="Arial" w:hAnsi="Arial" w:cs="Arial"/>
          <w:sz w:val="22"/>
          <w:szCs w:val="22"/>
          <w:lang w:val="en-US"/>
        </w:rPr>
        <w:t xml:space="preserve">expected </w:t>
      </w:r>
      <w:r w:rsidR="00E221E5" w:rsidRPr="00C2514D">
        <w:rPr>
          <w:rFonts w:ascii="Arial" w:hAnsi="Arial" w:cs="Arial"/>
          <w:sz w:val="22"/>
          <w:szCs w:val="22"/>
          <w:lang w:val="en-US"/>
        </w:rPr>
        <w:t xml:space="preserve">results and impacts </w:t>
      </w:r>
      <w:r w:rsidRPr="00C2514D">
        <w:rPr>
          <w:rFonts w:ascii="Arial" w:hAnsi="Arial" w:cs="Arial"/>
          <w:sz w:val="22"/>
          <w:szCs w:val="22"/>
          <w:lang w:val="en-US"/>
        </w:rPr>
        <w:t>is summarized in the Results Matrix of the project (s</w:t>
      </w:r>
      <w:r w:rsidR="001F3D3C" w:rsidRPr="00C2514D">
        <w:rPr>
          <w:rFonts w:ascii="Arial" w:hAnsi="Arial" w:cs="Arial"/>
          <w:sz w:val="22"/>
          <w:szCs w:val="22"/>
          <w:lang w:val="en-US"/>
        </w:rPr>
        <w:t xml:space="preserve">ee </w:t>
      </w:r>
      <w:r w:rsidR="00647B5E" w:rsidRPr="00C2514D">
        <w:rPr>
          <w:rFonts w:ascii="Arial" w:hAnsi="Arial" w:cs="Arial"/>
          <w:sz w:val="22"/>
          <w:szCs w:val="22"/>
          <w:lang w:val="en-US"/>
        </w:rPr>
        <w:t xml:space="preserve">Annex </w:t>
      </w:r>
      <w:r w:rsidR="00CB5C3E">
        <w:rPr>
          <w:rFonts w:ascii="Arial" w:hAnsi="Arial" w:cs="Arial"/>
          <w:sz w:val="22"/>
          <w:szCs w:val="22"/>
          <w:lang w:val="en-US"/>
        </w:rPr>
        <w:t>II</w:t>
      </w:r>
      <w:r w:rsidRPr="00C2514D">
        <w:rPr>
          <w:rFonts w:ascii="Arial" w:hAnsi="Arial" w:cs="Arial"/>
          <w:sz w:val="22"/>
          <w:szCs w:val="22"/>
          <w:lang w:val="en-US"/>
        </w:rPr>
        <w:t>). The monitoring of the indicators proposed in the matrix constitutes one of the main inputs to conduct the evaluation of effectiveness of the program at</w:t>
      </w:r>
      <w:r w:rsidR="00F61C86" w:rsidRPr="00C2514D">
        <w:rPr>
          <w:rFonts w:ascii="Arial" w:hAnsi="Arial" w:cs="Arial"/>
          <w:sz w:val="22"/>
          <w:szCs w:val="22"/>
          <w:lang w:val="en-US"/>
        </w:rPr>
        <w:t xml:space="preserve"> project completion. Monitoring, then, </w:t>
      </w:r>
      <w:r w:rsidRPr="00C2514D">
        <w:rPr>
          <w:rFonts w:ascii="Arial" w:hAnsi="Arial" w:cs="Arial"/>
          <w:sz w:val="22"/>
          <w:szCs w:val="22"/>
          <w:lang w:val="en-US"/>
        </w:rPr>
        <w:t>will provide annual updates of all the out</w:t>
      </w:r>
      <w:r w:rsidR="006E00B8" w:rsidRPr="00C2514D">
        <w:rPr>
          <w:rFonts w:ascii="Arial" w:hAnsi="Arial" w:cs="Arial"/>
          <w:sz w:val="22"/>
          <w:szCs w:val="22"/>
          <w:lang w:val="en-US"/>
        </w:rPr>
        <w:t>puts and outcome indicators. Bi</w:t>
      </w:r>
      <w:r w:rsidR="00101870" w:rsidRPr="00C2514D">
        <w:rPr>
          <w:rFonts w:ascii="Arial" w:hAnsi="Arial" w:cs="Arial"/>
          <w:sz w:val="22"/>
          <w:szCs w:val="22"/>
          <w:lang w:val="en-US"/>
        </w:rPr>
        <w:t>enni</w:t>
      </w:r>
      <w:r w:rsidRPr="00C2514D">
        <w:rPr>
          <w:rFonts w:ascii="Arial" w:hAnsi="Arial" w:cs="Arial"/>
          <w:sz w:val="22"/>
          <w:szCs w:val="22"/>
          <w:lang w:val="en-US"/>
        </w:rPr>
        <w:t>al updates will be provided for those impacts</w:t>
      </w:r>
      <w:r w:rsidR="002754A0">
        <w:rPr>
          <w:rFonts w:ascii="Arial" w:hAnsi="Arial" w:cs="Arial"/>
          <w:sz w:val="22"/>
          <w:szCs w:val="22"/>
          <w:lang w:val="en-US"/>
        </w:rPr>
        <w:t xml:space="preserve"> and outcomes</w:t>
      </w:r>
      <w:r w:rsidRPr="00C2514D">
        <w:rPr>
          <w:rFonts w:ascii="Arial" w:hAnsi="Arial" w:cs="Arial"/>
          <w:sz w:val="22"/>
          <w:szCs w:val="22"/>
          <w:lang w:val="en-US"/>
        </w:rPr>
        <w:t xml:space="preserve"> drawn from ad-hoc surveys (as it will be explained later, we distinguish results indicators according to the source of information: annual for those comi</w:t>
      </w:r>
      <w:r w:rsidR="006E00B8" w:rsidRPr="00C2514D">
        <w:rPr>
          <w:rFonts w:ascii="Arial" w:hAnsi="Arial" w:cs="Arial"/>
          <w:sz w:val="22"/>
          <w:szCs w:val="22"/>
          <w:lang w:val="en-US"/>
        </w:rPr>
        <w:t>ng from administrative data, bi</w:t>
      </w:r>
      <w:r w:rsidR="00101870" w:rsidRPr="00C2514D">
        <w:rPr>
          <w:rFonts w:ascii="Arial" w:hAnsi="Arial" w:cs="Arial"/>
          <w:sz w:val="22"/>
          <w:szCs w:val="22"/>
          <w:lang w:val="en-US"/>
        </w:rPr>
        <w:t>enni</w:t>
      </w:r>
      <w:r w:rsidRPr="00C2514D">
        <w:rPr>
          <w:rFonts w:ascii="Arial" w:hAnsi="Arial" w:cs="Arial"/>
          <w:sz w:val="22"/>
          <w:szCs w:val="22"/>
          <w:lang w:val="en-US"/>
        </w:rPr>
        <w:t>al for those relying on an ad-hoc survey for labs and their clients that will be advanced for this progra</w:t>
      </w:r>
      <w:r w:rsidR="006E00B8" w:rsidRPr="00C2514D">
        <w:rPr>
          <w:rFonts w:ascii="Arial" w:hAnsi="Arial" w:cs="Arial"/>
          <w:sz w:val="22"/>
          <w:szCs w:val="22"/>
          <w:lang w:val="en-US"/>
        </w:rPr>
        <w:t xml:space="preserve">m through the non-reimbursable </w:t>
      </w:r>
      <w:r w:rsidRPr="00C2514D">
        <w:rPr>
          <w:rFonts w:ascii="Arial" w:hAnsi="Arial" w:cs="Arial"/>
          <w:sz w:val="22"/>
          <w:szCs w:val="22"/>
          <w:lang w:val="en-US"/>
        </w:rPr>
        <w:t>TC GY-T1129)</w:t>
      </w:r>
    </w:p>
    <w:p w:rsidR="00061A04" w:rsidRPr="00C2514D" w:rsidRDefault="006E00B8"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As explained, t</w:t>
      </w:r>
      <w:r w:rsidR="001F3D3C" w:rsidRPr="00C2514D">
        <w:rPr>
          <w:rFonts w:ascii="Arial" w:hAnsi="Arial" w:cs="Arial"/>
          <w:sz w:val="22"/>
          <w:szCs w:val="22"/>
          <w:lang w:val="en-US"/>
        </w:rPr>
        <w:t>hree types of indicators will</w:t>
      </w:r>
      <w:r w:rsidR="00CD1173" w:rsidRPr="00C2514D">
        <w:rPr>
          <w:rFonts w:ascii="Arial" w:hAnsi="Arial" w:cs="Arial"/>
          <w:sz w:val="22"/>
          <w:szCs w:val="22"/>
          <w:lang w:val="en-US"/>
        </w:rPr>
        <w:t xml:space="preserve"> be monitored: outputs </w:t>
      </w:r>
      <w:r w:rsidR="00061A04" w:rsidRPr="00C2514D">
        <w:rPr>
          <w:rFonts w:ascii="Arial" w:hAnsi="Arial" w:cs="Arial"/>
          <w:sz w:val="22"/>
          <w:szCs w:val="22"/>
          <w:lang w:val="en-US"/>
        </w:rPr>
        <w:t>(</w:t>
      </w:r>
      <w:r w:rsidR="00CD1173" w:rsidRPr="00C2514D">
        <w:rPr>
          <w:rFonts w:ascii="Arial" w:hAnsi="Arial" w:cs="Arial"/>
          <w:sz w:val="22"/>
          <w:szCs w:val="22"/>
          <w:lang w:val="en-US"/>
        </w:rPr>
        <w:t>Table</w:t>
      </w:r>
      <w:r w:rsidR="00061A04" w:rsidRPr="00C2514D">
        <w:rPr>
          <w:rFonts w:ascii="Arial" w:hAnsi="Arial" w:cs="Arial"/>
          <w:sz w:val="22"/>
          <w:szCs w:val="22"/>
          <w:lang w:val="en-US"/>
        </w:rPr>
        <w:t xml:space="preserve"> 1), </w:t>
      </w:r>
      <w:r w:rsidR="00CD1173" w:rsidRPr="00C2514D">
        <w:rPr>
          <w:rFonts w:ascii="Arial" w:hAnsi="Arial" w:cs="Arial"/>
          <w:sz w:val="22"/>
          <w:szCs w:val="22"/>
          <w:lang w:val="en-US"/>
        </w:rPr>
        <w:t>outcomes</w:t>
      </w:r>
      <w:r w:rsidR="00F61C86" w:rsidRPr="00C2514D">
        <w:rPr>
          <w:rFonts w:ascii="Arial" w:hAnsi="Arial" w:cs="Arial"/>
          <w:sz w:val="22"/>
          <w:szCs w:val="22"/>
          <w:lang w:val="en-US"/>
        </w:rPr>
        <w:t xml:space="preserve"> </w:t>
      </w:r>
      <w:r w:rsidR="00CD1173" w:rsidRPr="00C2514D">
        <w:rPr>
          <w:rFonts w:ascii="Arial" w:hAnsi="Arial" w:cs="Arial"/>
          <w:sz w:val="22"/>
          <w:szCs w:val="22"/>
          <w:lang w:val="en-US"/>
        </w:rPr>
        <w:t>and impact</w:t>
      </w:r>
      <w:r w:rsidR="00061A04" w:rsidRPr="00C2514D">
        <w:rPr>
          <w:rFonts w:ascii="Arial" w:hAnsi="Arial" w:cs="Arial"/>
          <w:sz w:val="22"/>
          <w:szCs w:val="22"/>
          <w:lang w:val="en-US"/>
        </w:rPr>
        <w:t>s (</w:t>
      </w:r>
      <w:r w:rsidR="00CD1173" w:rsidRPr="00C2514D">
        <w:rPr>
          <w:rFonts w:ascii="Arial" w:hAnsi="Arial" w:cs="Arial"/>
          <w:sz w:val="22"/>
          <w:szCs w:val="22"/>
          <w:lang w:val="en-US"/>
        </w:rPr>
        <w:t xml:space="preserve">Table </w:t>
      </w:r>
      <w:r w:rsidR="001E2A63" w:rsidRPr="00C2514D">
        <w:rPr>
          <w:rFonts w:ascii="Arial" w:hAnsi="Arial" w:cs="Arial"/>
          <w:sz w:val="22"/>
          <w:szCs w:val="22"/>
          <w:lang w:val="en-US"/>
        </w:rPr>
        <w:t>4</w:t>
      </w:r>
      <w:r w:rsidR="00CD1173" w:rsidRPr="00C2514D">
        <w:rPr>
          <w:rFonts w:ascii="Arial" w:hAnsi="Arial" w:cs="Arial"/>
          <w:sz w:val="22"/>
          <w:szCs w:val="22"/>
          <w:lang w:val="en-US"/>
        </w:rPr>
        <w:t>)</w:t>
      </w:r>
      <w:r w:rsidR="009D7E89" w:rsidRPr="00C2514D">
        <w:rPr>
          <w:rFonts w:ascii="Arial" w:hAnsi="Arial" w:cs="Arial"/>
          <w:sz w:val="22"/>
          <w:szCs w:val="22"/>
          <w:lang w:val="en-US"/>
        </w:rPr>
        <w:t xml:space="preserve">. </w:t>
      </w:r>
      <w:r w:rsidR="00CD1173" w:rsidRPr="00C2514D">
        <w:rPr>
          <w:rFonts w:ascii="Arial" w:hAnsi="Arial" w:cs="Arial"/>
          <w:sz w:val="22"/>
          <w:szCs w:val="22"/>
          <w:lang w:val="en-US"/>
        </w:rPr>
        <w:t>For evaluation and accountability purposes (PMR and PCR), attention will be put in the first two. For learning purposes, impacts will be also monitored and analyzed.</w:t>
      </w:r>
    </w:p>
    <w:p w:rsidR="006E00B8" w:rsidRPr="00C2514D" w:rsidRDefault="006E00B8"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Table 1</w:t>
      </w:r>
      <w:r w:rsidR="00462C29" w:rsidRPr="00C2514D">
        <w:rPr>
          <w:rFonts w:ascii="Arial" w:hAnsi="Arial" w:cs="Arial"/>
          <w:sz w:val="22"/>
          <w:szCs w:val="22"/>
          <w:lang w:val="en-US"/>
        </w:rPr>
        <w:t xml:space="preserve"> </w:t>
      </w:r>
      <w:r w:rsidRPr="00C2514D">
        <w:rPr>
          <w:rFonts w:ascii="Arial" w:hAnsi="Arial" w:cs="Arial"/>
          <w:sz w:val="22"/>
          <w:szCs w:val="22"/>
          <w:lang w:val="en-US"/>
        </w:rPr>
        <w:t>show the</w:t>
      </w:r>
      <w:r w:rsidR="00462C29" w:rsidRPr="00C2514D">
        <w:rPr>
          <w:rFonts w:ascii="Arial" w:hAnsi="Arial" w:cs="Arial"/>
          <w:sz w:val="22"/>
          <w:szCs w:val="22"/>
          <w:lang w:val="en-US"/>
        </w:rPr>
        <w:t xml:space="preserve"> </w:t>
      </w:r>
      <w:r w:rsidR="00CB5C3E" w:rsidRPr="00C2514D">
        <w:rPr>
          <w:rFonts w:ascii="Arial" w:hAnsi="Arial" w:cs="Arial"/>
          <w:sz w:val="22"/>
          <w:szCs w:val="22"/>
          <w:lang w:val="en-US"/>
        </w:rPr>
        <w:t xml:space="preserve">projected </w:t>
      </w:r>
      <w:r w:rsidR="00462C29" w:rsidRPr="00C2514D">
        <w:rPr>
          <w:rFonts w:ascii="Arial" w:hAnsi="Arial" w:cs="Arial"/>
          <w:sz w:val="22"/>
          <w:szCs w:val="22"/>
          <w:lang w:val="en-US"/>
        </w:rPr>
        <w:t>annual</w:t>
      </w:r>
      <w:r w:rsidRPr="00C2514D">
        <w:rPr>
          <w:rFonts w:ascii="Arial" w:hAnsi="Arial" w:cs="Arial"/>
          <w:sz w:val="22"/>
          <w:szCs w:val="22"/>
          <w:lang w:val="en-US"/>
        </w:rPr>
        <w:t xml:space="preserve"> </w:t>
      </w:r>
      <w:r w:rsidR="00462C29" w:rsidRPr="00C2514D">
        <w:rPr>
          <w:rFonts w:ascii="Arial" w:hAnsi="Arial" w:cs="Arial"/>
          <w:sz w:val="22"/>
          <w:szCs w:val="22"/>
          <w:lang w:val="en-US"/>
        </w:rPr>
        <w:t xml:space="preserve">financial execution for the outputs planned to be delivered </w:t>
      </w:r>
      <w:r w:rsidR="00646571">
        <w:rPr>
          <w:rFonts w:ascii="Arial" w:hAnsi="Arial" w:cs="Arial"/>
          <w:sz w:val="22"/>
          <w:szCs w:val="22"/>
          <w:lang w:val="en-US"/>
        </w:rPr>
        <w:t>for each sub</w:t>
      </w:r>
      <w:r w:rsidR="00462C29" w:rsidRPr="00C2514D">
        <w:rPr>
          <w:rFonts w:ascii="Arial" w:hAnsi="Arial" w:cs="Arial"/>
          <w:sz w:val="22"/>
          <w:szCs w:val="22"/>
          <w:lang w:val="en-US"/>
        </w:rPr>
        <w:t>component of the program</w:t>
      </w:r>
      <w:r w:rsidR="00CB5C3E">
        <w:rPr>
          <w:rFonts w:ascii="Arial" w:hAnsi="Arial" w:cs="Arial"/>
          <w:sz w:val="22"/>
          <w:szCs w:val="22"/>
          <w:lang w:val="en-US"/>
        </w:rPr>
        <w:t xml:space="preserve"> (Annex II reports the projected annual physical execution).</w:t>
      </w:r>
      <w:r w:rsidR="00462C29" w:rsidRPr="00C2514D">
        <w:rPr>
          <w:rFonts w:ascii="Arial" w:hAnsi="Arial" w:cs="Arial"/>
          <w:sz w:val="22"/>
          <w:szCs w:val="22"/>
          <w:lang w:val="en-US"/>
        </w:rPr>
        <w:t xml:space="preserve"> </w:t>
      </w:r>
    </w:p>
    <w:p w:rsidR="00576CAA" w:rsidRPr="00C2514D" w:rsidRDefault="0093142D" w:rsidP="00EF661C">
      <w:pPr>
        <w:pStyle w:val="FirstHeading"/>
        <w:ind w:left="720"/>
        <w:rPr>
          <w:rFonts w:ascii="Arial" w:hAnsi="Arial" w:cs="Arial"/>
          <w:sz w:val="22"/>
          <w:szCs w:val="22"/>
          <w:lang w:val="en-US"/>
        </w:rPr>
      </w:pPr>
      <w:r w:rsidRPr="00C2514D">
        <w:rPr>
          <w:rFonts w:ascii="Arial" w:hAnsi="Arial" w:cs="Arial"/>
          <w:sz w:val="22"/>
          <w:szCs w:val="22"/>
          <w:lang w:val="en-US"/>
        </w:rPr>
        <w:fldChar w:fldCharType="begin"/>
      </w:r>
      <w:r w:rsidRPr="00C2514D">
        <w:rPr>
          <w:rFonts w:ascii="Arial" w:hAnsi="Arial" w:cs="Arial"/>
          <w:sz w:val="22"/>
          <w:szCs w:val="22"/>
          <w:lang w:val="en-US"/>
        </w:rPr>
        <w:instrText xml:space="preserve"> SEQ "</w:instrText>
      </w:r>
      <w:r w:rsidRPr="00C2514D">
        <w:rPr>
          <w:rFonts w:ascii="Arial" w:hAnsi="Arial" w:cs="Arial"/>
          <w:sz w:val="22"/>
          <w:szCs w:val="22"/>
          <w:lang w:val="en-US"/>
        </w:rPr>
        <w:fldChar w:fldCharType="begin"/>
      </w:r>
      <w:r w:rsidRPr="00C2514D">
        <w:rPr>
          <w:rFonts w:ascii="Arial" w:hAnsi="Arial" w:cs="Arial"/>
          <w:sz w:val="22"/>
          <w:szCs w:val="22"/>
          <w:lang w:val="en-US"/>
        </w:rPr>
        <w:instrText xml:space="preserve"> SECTION  \* MERGEFORMAT </w:instrText>
      </w:r>
      <w:r w:rsidRPr="00C2514D">
        <w:rPr>
          <w:rFonts w:ascii="Arial" w:hAnsi="Arial" w:cs="Arial"/>
          <w:sz w:val="22"/>
          <w:szCs w:val="22"/>
          <w:lang w:val="en-US"/>
        </w:rPr>
        <w:fldChar w:fldCharType="separate"/>
      </w:r>
      <w:r w:rsidRPr="00C2514D">
        <w:rPr>
          <w:rFonts w:ascii="Arial" w:hAnsi="Arial" w:cs="Arial"/>
          <w:sz w:val="22"/>
          <w:szCs w:val="22"/>
          <w:lang w:val="en-US"/>
        </w:rPr>
        <w:instrText>3</w:instrText>
      </w:r>
      <w:r w:rsidRPr="00C2514D">
        <w:rPr>
          <w:rFonts w:ascii="Arial" w:hAnsi="Arial" w:cs="Arial"/>
          <w:sz w:val="22"/>
          <w:szCs w:val="22"/>
          <w:lang w:val="en-US"/>
        </w:rPr>
        <w:fldChar w:fldCharType="end"/>
      </w:r>
      <w:r w:rsidRPr="00C2514D">
        <w:rPr>
          <w:rFonts w:ascii="Arial" w:hAnsi="Arial" w:cs="Arial"/>
          <w:sz w:val="22"/>
          <w:szCs w:val="22"/>
          <w:lang w:val="en-US"/>
        </w:rPr>
        <w:instrText xml:space="preserve">#"\* ALPHABETIC \* MERGEFORMAT </w:instrText>
      </w:r>
      <w:r w:rsidRPr="00C2514D">
        <w:rPr>
          <w:rFonts w:ascii="Arial" w:hAnsi="Arial" w:cs="Arial"/>
          <w:sz w:val="22"/>
          <w:szCs w:val="22"/>
          <w:lang w:val="en-US"/>
        </w:rPr>
        <w:fldChar w:fldCharType="separate"/>
      </w:r>
      <w:bookmarkStart w:id="2" w:name="_Toc449703276"/>
      <w:r w:rsidRPr="00C2514D">
        <w:rPr>
          <w:rFonts w:ascii="Arial" w:hAnsi="Arial" w:cs="Arial"/>
          <w:noProof/>
          <w:sz w:val="22"/>
          <w:szCs w:val="22"/>
          <w:lang w:val="en-US"/>
        </w:rPr>
        <w:t>B</w:t>
      </w:r>
      <w:r w:rsidRPr="00C2514D">
        <w:rPr>
          <w:rFonts w:ascii="Arial" w:hAnsi="Arial" w:cs="Arial"/>
          <w:sz w:val="22"/>
          <w:szCs w:val="22"/>
          <w:lang w:val="en-US"/>
        </w:rPr>
        <w:fldChar w:fldCharType="end"/>
      </w:r>
      <w:r w:rsidRPr="00C2514D">
        <w:rPr>
          <w:rFonts w:ascii="Arial" w:hAnsi="Arial" w:cs="Arial"/>
          <w:sz w:val="22"/>
          <w:szCs w:val="22"/>
          <w:lang w:val="en-US"/>
        </w:rPr>
        <w:t>.</w:t>
      </w:r>
      <w:r w:rsidRPr="00C2514D">
        <w:rPr>
          <w:rFonts w:ascii="Arial" w:hAnsi="Arial" w:cs="Arial"/>
          <w:sz w:val="22"/>
          <w:szCs w:val="22"/>
          <w:lang w:val="en-US"/>
        </w:rPr>
        <w:tab/>
      </w:r>
      <w:bookmarkEnd w:id="2"/>
      <w:r w:rsidR="00D6582C" w:rsidRPr="00C2514D">
        <w:rPr>
          <w:rFonts w:ascii="Arial" w:hAnsi="Arial" w:cs="Arial"/>
          <w:sz w:val="22"/>
          <w:szCs w:val="22"/>
          <w:lang w:val="en-US"/>
        </w:rPr>
        <w:t>Data collection</w:t>
      </w:r>
    </w:p>
    <w:p w:rsidR="00266CD5" w:rsidRPr="00C2514D" w:rsidRDefault="00266CD5"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Monitoring of outputs will be conducted biannually through reports to the GSBB. The ROP will indicate that the GSBB will be responsible for the collection, processing, validation and submission of this information to the Bank as to fulfill the monitoring and evaluation clauses described in this document.</w:t>
      </w:r>
    </w:p>
    <w:p w:rsidR="00194031" w:rsidRPr="00C2514D" w:rsidRDefault="00194031" w:rsidP="00194031">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The main source of information to conduct the monitoring and evaluation of outcomes will be the customs administrative records collected by the Guyana Revenue Authority and processed by the National Bureau of Statistics. Both institutions have collaborated with aggregate information computed from information at the level of the firm with coverage of the universe of formal firms of the Guyanese economy. For the purposes of the project, and spite of the level of informality of the economy, the formal sector is the relevant target as it is virtually impossible for an informal firm to comply with all the requisites (metrology, sanitary, etc.) by importer countries.</w:t>
      </w:r>
    </w:p>
    <w:p w:rsidR="00194031" w:rsidRPr="00C2514D" w:rsidRDefault="00194031" w:rsidP="00194031">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Outcome variables are measured systematically by GRA. Data is transactional and is recorded at the moment of each event of exports. The level of measure is by product by firm. GRA collects several variables (name of firm, product sold, volume sold, value of export, country of destination, number of workers, etc.). All of these information allow to identify the outcomes</w:t>
      </w:r>
      <w:r w:rsidR="00305606">
        <w:rPr>
          <w:rFonts w:ascii="Arial" w:hAnsi="Arial" w:cs="Arial"/>
          <w:sz w:val="22"/>
          <w:szCs w:val="22"/>
          <w:lang w:val="en-US"/>
        </w:rPr>
        <w:t xml:space="preserve"> and observables</w:t>
      </w:r>
      <w:r w:rsidRPr="00C2514D">
        <w:rPr>
          <w:rFonts w:ascii="Arial" w:hAnsi="Arial" w:cs="Arial"/>
          <w:sz w:val="22"/>
          <w:szCs w:val="22"/>
          <w:lang w:val="en-US"/>
        </w:rPr>
        <w:t xml:space="preserve"> of interest, for the types of exporter of interest, for the two groups of interest (treated and non-treated), for several periods, pre and post treatment. For M&amp;E purposes, data will be collapsed yearly for non-traditional producers and for treated and control groups. Contribution of aggregate measures made by GRA during the preparation of this document </w:t>
      </w:r>
      <w:r w:rsidRPr="00C2514D">
        <w:rPr>
          <w:rFonts w:ascii="Arial" w:hAnsi="Arial" w:cs="Arial"/>
          <w:sz w:val="22"/>
          <w:szCs w:val="22"/>
          <w:lang w:val="en-US"/>
        </w:rPr>
        <w:lastRenderedPageBreak/>
        <w:t>show that access to aggregate information coming from this sources is feasible and that the monitoring and evaluation activities will not be undermined by data access.</w:t>
      </w:r>
    </w:p>
    <w:p w:rsidR="00462C29" w:rsidRPr="00C2514D" w:rsidRDefault="00462C29" w:rsidP="00462C29">
      <w:pPr>
        <w:pStyle w:val="AutoNumpara"/>
        <w:numPr>
          <w:ilvl w:val="0"/>
          <w:numId w:val="0"/>
        </w:numPr>
        <w:spacing w:before="0" w:after="0"/>
        <w:jc w:val="center"/>
        <w:rPr>
          <w:rFonts w:ascii="Arial" w:hAnsi="Arial" w:cs="Arial"/>
          <w:b/>
          <w:sz w:val="22"/>
          <w:lang w:val="en-US"/>
        </w:rPr>
      </w:pPr>
      <w:r w:rsidRPr="00CB5C3E">
        <w:rPr>
          <w:rFonts w:ascii="Arial" w:hAnsi="Arial" w:cs="Arial"/>
          <w:b/>
          <w:sz w:val="22"/>
          <w:lang w:val="en-US"/>
        </w:rPr>
        <w:t>Table 1.</w:t>
      </w:r>
      <w:r w:rsidRPr="00C2514D">
        <w:rPr>
          <w:rFonts w:ascii="Arial" w:hAnsi="Arial" w:cs="Arial"/>
          <w:b/>
          <w:sz w:val="22"/>
          <w:lang w:val="en-US"/>
        </w:rPr>
        <w:t xml:space="preserve"> Outputs</w:t>
      </w:r>
    </w:p>
    <w:p w:rsidR="00462C29" w:rsidRPr="00C2514D" w:rsidRDefault="00462C29" w:rsidP="00C734EE">
      <w:pPr>
        <w:pStyle w:val="AutoNumpara"/>
        <w:numPr>
          <w:ilvl w:val="0"/>
          <w:numId w:val="0"/>
        </w:numPr>
        <w:spacing w:before="0" w:after="0"/>
        <w:jc w:val="center"/>
        <w:rPr>
          <w:rFonts w:ascii="Arial" w:hAnsi="Arial" w:cs="Arial"/>
          <w:b/>
          <w:sz w:val="22"/>
          <w:lang w:val="en-US"/>
        </w:rPr>
      </w:pPr>
      <w:r w:rsidRPr="00C2514D">
        <w:rPr>
          <w:rFonts w:ascii="Arial" w:hAnsi="Arial" w:cs="Arial"/>
          <w:b/>
          <w:sz w:val="22"/>
          <w:lang w:val="en-US"/>
        </w:rPr>
        <w:t xml:space="preserve">Annual projection of </w:t>
      </w:r>
      <w:r w:rsidR="00CF7A75">
        <w:rPr>
          <w:rFonts w:ascii="Arial" w:hAnsi="Arial" w:cs="Arial"/>
          <w:b/>
          <w:sz w:val="22"/>
          <w:lang w:val="en-US"/>
        </w:rPr>
        <w:t>financial</w:t>
      </w:r>
      <w:r w:rsidR="00CF7A75" w:rsidRPr="00C2514D">
        <w:rPr>
          <w:rFonts w:ascii="Arial" w:hAnsi="Arial" w:cs="Arial"/>
          <w:b/>
          <w:sz w:val="22"/>
          <w:lang w:val="en-US"/>
        </w:rPr>
        <w:t xml:space="preserve"> </w:t>
      </w:r>
      <w:r w:rsidRPr="00C2514D">
        <w:rPr>
          <w:rFonts w:ascii="Arial" w:hAnsi="Arial" w:cs="Arial"/>
          <w:b/>
          <w:sz w:val="22"/>
          <w:lang w:val="en-US"/>
        </w:rPr>
        <w:t>execution</w:t>
      </w:r>
    </w:p>
    <w:p w:rsidR="00462C29" w:rsidRPr="00C2514D" w:rsidRDefault="00CF7A75" w:rsidP="00CF7A75">
      <w:pPr>
        <w:pStyle w:val="AutoNumpara"/>
        <w:numPr>
          <w:ilvl w:val="0"/>
          <w:numId w:val="0"/>
        </w:numPr>
        <w:spacing w:before="0" w:after="0"/>
        <w:ind w:left="-540"/>
        <w:jc w:val="left"/>
        <w:rPr>
          <w:rFonts w:ascii="Arial" w:hAnsi="Arial" w:cs="Arial"/>
          <w:sz w:val="20"/>
          <w:szCs w:val="22"/>
          <w:lang w:val="en-US"/>
        </w:rPr>
      </w:pPr>
      <w:r w:rsidRPr="00CF7A75">
        <w:rPr>
          <w:rFonts w:ascii="Arial" w:hAnsi="Arial" w:cs="Arial"/>
          <w:sz w:val="20"/>
          <w:szCs w:val="22"/>
          <w:lang w:val="en-US"/>
        </w:rPr>
        <w:t xml:space="preserve"> </w:t>
      </w:r>
      <w:r w:rsidR="000375A7" w:rsidRPr="000375A7">
        <w:rPr>
          <w:lang w:val="en-US" w:eastAsia="en-US"/>
        </w:rPr>
        <w:drawing>
          <wp:inline distT="0" distB="0" distL="0" distR="0" wp14:anchorId="0E3C7A44" wp14:editId="412B350E">
            <wp:extent cx="6409426" cy="718752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15528" cy="7194369"/>
                    </a:xfrm>
                    <a:prstGeom prst="rect">
                      <a:avLst/>
                    </a:prstGeom>
                    <a:noFill/>
                    <a:ln>
                      <a:noFill/>
                    </a:ln>
                  </pic:spPr>
                </pic:pic>
              </a:graphicData>
            </a:graphic>
          </wp:inline>
        </w:drawing>
      </w:r>
    </w:p>
    <w:p w:rsidR="00462C29" w:rsidRPr="00C734EE" w:rsidRDefault="00462C29" w:rsidP="00EB59D6">
      <w:pPr>
        <w:pStyle w:val="AutoNumpara"/>
        <w:numPr>
          <w:ilvl w:val="0"/>
          <w:numId w:val="0"/>
        </w:numPr>
        <w:spacing w:before="0" w:after="0"/>
        <w:ind w:left="-360" w:right="-630"/>
        <w:jc w:val="left"/>
        <w:rPr>
          <w:rFonts w:ascii="Arial" w:hAnsi="Arial" w:cs="Arial"/>
          <w:b/>
          <w:sz w:val="20"/>
          <w:lang w:val="en-US"/>
        </w:rPr>
      </w:pPr>
      <w:r w:rsidRPr="00C734EE">
        <w:rPr>
          <w:rFonts w:ascii="Arial" w:hAnsi="Arial" w:cs="Arial"/>
          <w:sz w:val="18"/>
          <w:szCs w:val="22"/>
          <w:lang w:val="en-US"/>
        </w:rPr>
        <w:t>Source: Projections of financial progress</w:t>
      </w:r>
      <w:r w:rsidR="00C53116">
        <w:rPr>
          <w:rFonts w:ascii="Arial" w:hAnsi="Arial" w:cs="Arial"/>
          <w:sz w:val="18"/>
          <w:szCs w:val="22"/>
          <w:lang w:val="en-US"/>
        </w:rPr>
        <w:t xml:space="preserve"> (Annual projection of Physical progress are reported in Annex II Results Matrix)</w:t>
      </w:r>
      <w:r w:rsidRPr="00C734EE">
        <w:rPr>
          <w:rFonts w:ascii="Arial" w:hAnsi="Arial" w:cs="Arial"/>
          <w:sz w:val="18"/>
          <w:szCs w:val="22"/>
          <w:lang w:val="en-US"/>
        </w:rPr>
        <w:t>.</w:t>
      </w:r>
      <w:r w:rsidRPr="00C734EE">
        <w:rPr>
          <w:rFonts w:ascii="Arial" w:hAnsi="Arial" w:cs="Arial"/>
          <w:b/>
          <w:sz w:val="20"/>
          <w:lang w:val="en-US"/>
        </w:rPr>
        <w:br w:type="page"/>
      </w:r>
    </w:p>
    <w:p w:rsidR="00194031" w:rsidRPr="00C2514D" w:rsidRDefault="00194031" w:rsidP="00194031">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lastRenderedPageBreak/>
        <w:t>Two complimentary sources of information are also of interest. Annual reports of the Guyana Marketing Corporation and the Central Bank Statistics. Complementary aggregate data will be drawn from these sources (as for example aggregate level of exports). Data availability coming from these sources is also granted. Central Bank produces and publishes official aggregate data on a frequent basis. The Guyana Marketing Corporation Annual report also produces and publishes aggregate information related to non-traditional exports.</w:t>
      </w:r>
    </w:p>
    <w:p w:rsidR="009621FD" w:rsidRPr="00C2514D" w:rsidRDefault="00194031" w:rsidP="00194031">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A third source of information will be financed by GY-T1129. The TC will invest US$200 thousand in generating knowledge aimed at strengthening Guyana’s competitiveness</w:t>
      </w:r>
      <w:r w:rsidR="00524BED" w:rsidRPr="00C2514D">
        <w:rPr>
          <w:rFonts w:ascii="Arial" w:hAnsi="Arial" w:cs="Arial"/>
          <w:sz w:val="22"/>
          <w:szCs w:val="22"/>
          <w:lang w:val="en-US"/>
        </w:rPr>
        <w:t xml:space="preserve"> through the improvement of its National Quality System (the objective of this TC will be to enhance the capacity of the Ministry of Business by providing necessary data for informed decision making. The specific objectives will be to carry out a survey to gather information about the existing laboratories, survey to identify the needs and practices of exporters regarding quality and standards and to carry out facilitating workshops with stakeholders)</w:t>
      </w:r>
      <w:r w:rsidRPr="00C2514D">
        <w:rPr>
          <w:rFonts w:ascii="Arial" w:hAnsi="Arial" w:cs="Arial"/>
          <w:sz w:val="22"/>
          <w:szCs w:val="22"/>
          <w:lang w:val="en-US"/>
        </w:rPr>
        <w:t xml:space="preserve">. US$70 thousand are earmarked </w:t>
      </w:r>
      <w:r w:rsidR="006C1B4A">
        <w:rPr>
          <w:rFonts w:ascii="Arial" w:hAnsi="Arial" w:cs="Arial"/>
          <w:sz w:val="22"/>
          <w:szCs w:val="22"/>
          <w:lang w:val="en-US"/>
        </w:rPr>
        <w:t>for</w:t>
      </w:r>
      <w:r w:rsidR="006C1B4A" w:rsidRPr="00C2514D">
        <w:rPr>
          <w:rFonts w:ascii="Arial" w:hAnsi="Arial" w:cs="Arial"/>
          <w:sz w:val="22"/>
          <w:szCs w:val="22"/>
          <w:lang w:val="en-US"/>
        </w:rPr>
        <w:t xml:space="preserve"> </w:t>
      </w:r>
      <w:r w:rsidRPr="00C2514D">
        <w:rPr>
          <w:rFonts w:ascii="Arial" w:hAnsi="Arial" w:cs="Arial"/>
          <w:sz w:val="22"/>
          <w:szCs w:val="22"/>
          <w:lang w:val="en-US"/>
        </w:rPr>
        <w:t>data generation (survey to exporters) and US$40 are allocated for dissemination and US$10 for contingencies, all of which could be oriented to complement data collection activities if necessary. The survey will collect data about the cost of use of laboratories for all users of the local network of laboratories benefitted by the program and from exporters non-users of the services of the local network.</w:t>
      </w:r>
    </w:p>
    <w:p w:rsidR="00883AA7" w:rsidRPr="00C2514D" w:rsidRDefault="0093142D" w:rsidP="00507B7D">
      <w:pPr>
        <w:pStyle w:val="FirstHeading"/>
        <w:tabs>
          <w:tab w:val="num" w:pos="720"/>
        </w:tabs>
        <w:ind w:left="720"/>
        <w:rPr>
          <w:rFonts w:ascii="Arial" w:hAnsi="Arial" w:cs="Arial"/>
          <w:sz w:val="22"/>
          <w:szCs w:val="22"/>
          <w:lang w:val="en-US"/>
        </w:rPr>
      </w:pPr>
      <w:r w:rsidRPr="00C2514D">
        <w:rPr>
          <w:rFonts w:ascii="Arial" w:hAnsi="Arial" w:cs="Arial"/>
          <w:sz w:val="22"/>
          <w:szCs w:val="22"/>
          <w:lang w:val="en-US"/>
        </w:rPr>
        <w:fldChar w:fldCharType="begin"/>
      </w:r>
      <w:r w:rsidRPr="00C2514D">
        <w:rPr>
          <w:rFonts w:ascii="Arial" w:hAnsi="Arial" w:cs="Arial"/>
          <w:sz w:val="22"/>
          <w:szCs w:val="22"/>
          <w:lang w:val="en-US"/>
        </w:rPr>
        <w:instrText xml:space="preserve"> SEQ "</w:instrText>
      </w:r>
      <w:r w:rsidRPr="00C2514D">
        <w:rPr>
          <w:rFonts w:ascii="Arial" w:hAnsi="Arial" w:cs="Arial"/>
          <w:sz w:val="22"/>
          <w:szCs w:val="22"/>
          <w:lang w:val="en-US"/>
        </w:rPr>
        <w:fldChar w:fldCharType="begin"/>
      </w:r>
      <w:r w:rsidRPr="00C2514D">
        <w:rPr>
          <w:rFonts w:ascii="Arial" w:hAnsi="Arial" w:cs="Arial"/>
          <w:sz w:val="22"/>
          <w:szCs w:val="22"/>
          <w:lang w:val="en-US"/>
        </w:rPr>
        <w:instrText xml:space="preserve"> SECTION  \* MERGEFORMAT </w:instrText>
      </w:r>
      <w:r w:rsidRPr="00C2514D">
        <w:rPr>
          <w:rFonts w:ascii="Arial" w:hAnsi="Arial" w:cs="Arial"/>
          <w:sz w:val="22"/>
          <w:szCs w:val="22"/>
          <w:lang w:val="en-US"/>
        </w:rPr>
        <w:fldChar w:fldCharType="separate"/>
      </w:r>
      <w:r w:rsidRPr="00C2514D">
        <w:rPr>
          <w:rFonts w:ascii="Arial" w:hAnsi="Arial" w:cs="Arial"/>
          <w:sz w:val="22"/>
          <w:szCs w:val="22"/>
          <w:lang w:val="en-US"/>
        </w:rPr>
        <w:instrText>3</w:instrText>
      </w:r>
      <w:r w:rsidRPr="00C2514D">
        <w:rPr>
          <w:rFonts w:ascii="Arial" w:hAnsi="Arial" w:cs="Arial"/>
          <w:sz w:val="22"/>
          <w:szCs w:val="22"/>
          <w:lang w:val="en-US"/>
        </w:rPr>
        <w:fldChar w:fldCharType="end"/>
      </w:r>
      <w:r w:rsidRPr="00C2514D">
        <w:rPr>
          <w:rFonts w:ascii="Arial" w:hAnsi="Arial" w:cs="Arial"/>
          <w:sz w:val="22"/>
          <w:szCs w:val="22"/>
          <w:lang w:val="en-US"/>
        </w:rPr>
        <w:instrText xml:space="preserve">#"\* ALPHABETIC \* MERGEFORMAT </w:instrText>
      </w:r>
      <w:r w:rsidRPr="00C2514D">
        <w:rPr>
          <w:rFonts w:ascii="Arial" w:hAnsi="Arial" w:cs="Arial"/>
          <w:sz w:val="22"/>
          <w:szCs w:val="22"/>
          <w:lang w:val="en-US"/>
        </w:rPr>
        <w:fldChar w:fldCharType="separate"/>
      </w:r>
      <w:bookmarkStart w:id="3" w:name="_Toc449703277"/>
      <w:r w:rsidRPr="00C2514D">
        <w:rPr>
          <w:rFonts w:ascii="Arial" w:hAnsi="Arial" w:cs="Arial"/>
          <w:noProof/>
          <w:sz w:val="22"/>
          <w:szCs w:val="22"/>
          <w:lang w:val="en-US"/>
        </w:rPr>
        <w:t>C</w:t>
      </w:r>
      <w:r w:rsidRPr="00C2514D">
        <w:rPr>
          <w:rFonts w:ascii="Arial" w:hAnsi="Arial" w:cs="Arial"/>
          <w:sz w:val="22"/>
          <w:szCs w:val="22"/>
          <w:lang w:val="en-US"/>
        </w:rPr>
        <w:fldChar w:fldCharType="end"/>
      </w:r>
      <w:r w:rsidRPr="00C2514D">
        <w:rPr>
          <w:rFonts w:ascii="Arial" w:hAnsi="Arial" w:cs="Arial"/>
          <w:sz w:val="22"/>
          <w:szCs w:val="22"/>
          <w:lang w:val="en-US"/>
        </w:rPr>
        <w:t>.</w:t>
      </w:r>
      <w:r w:rsidRPr="00C2514D">
        <w:rPr>
          <w:rFonts w:ascii="Arial" w:hAnsi="Arial" w:cs="Arial"/>
          <w:sz w:val="22"/>
          <w:szCs w:val="22"/>
          <w:lang w:val="en-US"/>
        </w:rPr>
        <w:tab/>
      </w:r>
      <w:bookmarkEnd w:id="3"/>
      <w:r w:rsidR="00D6582C" w:rsidRPr="00C2514D">
        <w:rPr>
          <w:rFonts w:ascii="Arial" w:hAnsi="Arial" w:cs="Arial"/>
          <w:sz w:val="22"/>
          <w:szCs w:val="22"/>
          <w:lang w:val="en-US"/>
        </w:rPr>
        <w:t>Reporting</w:t>
      </w:r>
    </w:p>
    <w:p w:rsidR="00F90778" w:rsidRPr="00C2514D" w:rsidRDefault="007E6486"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For evaluation purposes, th</w:t>
      </w:r>
      <w:r w:rsidR="00991BAB" w:rsidRPr="00C2514D">
        <w:rPr>
          <w:rFonts w:ascii="Arial" w:hAnsi="Arial" w:cs="Arial"/>
          <w:sz w:val="22"/>
          <w:szCs w:val="22"/>
          <w:lang w:val="en-US"/>
        </w:rPr>
        <w:t xml:space="preserve">ree reports will be produced: at the baseline, an intermediate report and a final report. </w:t>
      </w:r>
      <w:r w:rsidR="00AC3032" w:rsidRPr="00C2514D">
        <w:rPr>
          <w:rFonts w:ascii="Arial" w:hAnsi="Arial" w:cs="Arial"/>
          <w:sz w:val="22"/>
          <w:szCs w:val="22"/>
          <w:lang w:val="en-US"/>
        </w:rPr>
        <w:t xml:space="preserve">The </w:t>
      </w:r>
      <w:r w:rsidR="00991BAB" w:rsidRPr="00C2514D">
        <w:rPr>
          <w:rFonts w:ascii="Arial" w:hAnsi="Arial" w:cs="Arial"/>
          <w:sz w:val="22"/>
          <w:szCs w:val="22"/>
          <w:lang w:val="en-US"/>
        </w:rPr>
        <w:t>MoB will b</w:t>
      </w:r>
      <w:r w:rsidR="004904BD">
        <w:rPr>
          <w:rFonts w:ascii="Arial" w:hAnsi="Arial" w:cs="Arial"/>
          <w:sz w:val="22"/>
          <w:szCs w:val="22"/>
          <w:lang w:val="en-US"/>
        </w:rPr>
        <w:t>e responsible of these reports</w:t>
      </w:r>
      <w:r w:rsidR="00991BAB" w:rsidRPr="00C2514D">
        <w:rPr>
          <w:rFonts w:ascii="Arial" w:hAnsi="Arial" w:cs="Arial"/>
          <w:sz w:val="22"/>
          <w:szCs w:val="22"/>
          <w:lang w:val="en-US"/>
        </w:rPr>
        <w:t>. The IDB will provide technical advice and technical inputs as well as feedback on the documents produced</w:t>
      </w:r>
      <w:r w:rsidR="00814C6A" w:rsidRPr="00C2514D">
        <w:rPr>
          <w:rFonts w:ascii="Arial" w:hAnsi="Arial" w:cs="Arial"/>
          <w:sz w:val="22"/>
          <w:szCs w:val="22"/>
          <w:lang w:val="en-US"/>
        </w:rPr>
        <w:t>.</w:t>
      </w:r>
      <w:r w:rsidR="00991BAB" w:rsidRPr="00C2514D">
        <w:rPr>
          <w:rFonts w:ascii="Arial" w:hAnsi="Arial" w:cs="Arial"/>
          <w:sz w:val="22"/>
          <w:szCs w:val="22"/>
          <w:lang w:val="en-US"/>
        </w:rPr>
        <w:t xml:space="preserve"> The IDB will also participate in the design of the survey (GY-T1129), the collection of the information and the econometric analysis necessary to evaluate the impacts of the programs. </w:t>
      </w:r>
      <w:r w:rsidR="00AC3032" w:rsidRPr="00C2514D">
        <w:rPr>
          <w:rFonts w:ascii="Arial" w:hAnsi="Arial" w:cs="Arial"/>
          <w:sz w:val="22"/>
          <w:szCs w:val="22"/>
          <w:lang w:val="en-US"/>
        </w:rPr>
        <w:t xml:space="preserve">The </w:t>
      </w:r>
      <w:r w:rsidR="00AE02DA" w:rsidRPr="00C2514D">
        <w:rPr>
          <w:rFonts w:ascii="Arial" w:hAnsi="Arial" w:cs="Arial"/>
          <w:sz w:val="22"/>
          <w:szCs w:val="22"/>
          <w:lang w:val="en-US"/>
        </w:rPr>
        <w:t xml:space="preserve">MoB will be responsible to deliver all necessary inputs for the evaluation exercise, </w:t>
      </w:r>
      <w:r w:rsidR="00AC3032" w:rsidRPr="00C2514D">
        <w:rPr>
          <w:rFonts w:ascii="Arial" w:hAnsi="Arial" w:cs="Arial"/>
          <w:sz w:val="22"/>
          <w:szCs w:val="22"/>
          <w:lang w:val="en-US"/>
        </w:rPr>
        <w:t>this is</w:t>
      </w:r>
      <w:r w:rsidR="00AE02DA" w:rsidRPr="00C2514D">
        <w:rPr>
          <w:rFonts w:ascii="Arial" w:hAnsi="Arial" w:cs="Arial"/>
          <w:sz w:val="22"/>
          <w:szCs w:val="22"/>
          <w:lang w:val="en-US"/>
        </w:rPr>
        <w:t xml:space="preserve">, </w:t>
      </w:r>
      <w:r w:rsidR="00AC3032" w:rsidRPr="00C2514D">
        <w:rPr>
          <w:rFonts w:ascii="Arial" w:hAnsi="Arial" w:cs="Arial"/>
          <w:sz w:val="22"/>
          <w:szCs w:val="22"/>
          <w:lang w:val="en-US"/>
        </w:rPr>
        <w:t xml:space="preserve">the </w:t>
      </w:r>
      <w:r w:rsidR="00AE02DA" w:rsidRPr="00C2514D">
        <w:rPr>
          <w:rFonts w:ascii="Arial" w:hAnsi="Arial" w:cs="Arial"/>
          <w:sz w:val="22"/>
          <w:szCs w:val="22"/>
          <w:lang w:val="en-US"/>
        </w:rPr>
        <w:t>MoB is responsible to provide all necessary information to comply with the Monitoring Plan (customs administrative records, transactional records of the program, ad-hoc survey</w:t>
      </w:r>
      <w:r w:rsidR="006C1B4A">
        <w:rPr>
          <w:rFonts w:ascii="Arial" w:hAnsi="Arial" w:cs="Arial"/>
          <w:sz w:val="22"/>
          <w:szCs w:val="22"/>
          <w:lang w:val="en-US"/>
        </w:rPr>
        <w:t>,</w:t>
      </w:r>
      <w:r w:rsidR="00AC3032" w:rsidRPr="00C2514D">
        <w:rPr>
          <w:rFonts w:ascii="Arial" w:hAnsi="Arial" w:cs="Arial"/>
          <w:sz w:val="22"/>
          <w:szCs w:val="22"/>
          <w:lang w:val="en-US"/>
        </w:rPr>
        <w:t xml:space="preserve"> etc.</w:t>
      </w:r>
      <w:r w:rsidR="00AE02DA" w:rsidRPr="00C2514D">
        <w:rPr>
          <w:rFonts w:ascii="Arial" w:hAnsi="Arial" w:cs="Arial"/>
          <w:sz w:val="22"/>
          <w:szCs w:val="22"/>
          <w:lang w:val="en-US"/>
        </w:rPr>
        <w:t>).</w:t>
      </w:r>
    </w:p>
    <w:p w:rsidR="00F90778" w:rsidRPr="00C2514D" w:rsidRDefault="00AE02DA"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For outputs and activities</w:t>
      </w:r>
      <w:r w:rsidR="00814C6A" w:rsidRPr="00C2514D">
        <w:rPr>
          <w:rFonts w:ascii="Arial" w:hAnsi="Arial" w:cs="Arial"/>
          <w:sz w:val="22"/>
          <w:szCs w:val="22"/>
          <w:lang w:val="en-US"/>
        </w:rPr>
        <w:t xml:space="preserve">, </w:t>
      </w:r>
      <w:r w:rsidR="00756E3C" w:rsidRPr="00C2514D">
        <w:rPr>
          <w:rFonts w:ascii="Arial" w:hAnsi="Arial" w:cs="Arial"/>
          <w:sz w:val="22"/>
          <w:szCs w:val="22"/>
          <w:lang w:val="en-US"/>
        </w:rPr>
        <w:t>the project considers several indicators</w:t>
      </w:r>
      <w:r w:rsidR="00DF3E4D" w:rsidRPr="00C2514D">
        <w:rPr>
          <w:rFonts w:ascii="Arial" w:hAnsi="Arial" w:cs="Arial"/>
          <w:sz w:val="22"/>
          <w:szCs w:val="22"/>
          <w:lang w:val="en-US"/>
        </w:rPr>
        <w:t xml:space="preserve"> (see Table 1, PEP, POA</w:t>
      </w:r>
      <w:r w:rsidR="004904BD">
        <w:rPr>
          <w:rFonts w:ascii="Arial" w:hAnsi="Arial" w:cs="Arial"/>
          <w:sz w:val="22"/>
          <w:szCs w:val="22"/>
          <w:lang w:val="en-US"/>
        </w:rPr>
        <w:t xml:space="preserve"> and Annex II</w:t>
      </w:r>
      <w:r w:rsidR="00DF3E4D" w:rsidRPr="00C2514D">
        <w:rPr>
          <w:rFonts w:ascii="Arial" w:hAnsi="Arial" w:cs="Arial"/>
          <w:sz w:val="22"/>
          <w:szCs w:val="22"/>
          <w:lang w:val="en-US"/>
        </w:rPr>
        <w:t>)</w:t>
      </w:r>
      <w:r w:rsidR="00756E3C" w:rsidRPr="00C2514D">
        <w:rPr>
          <w:rFonts w:ascii="Arial" w:hAnsi="Arial" w:cs="Arial"/>
          <w:sz w:val="22"/>
          <w:szCs w:val="22"/>
          <w:lang w:val="en-US"/>
        </w:rPr>
        <w:t xml:space="preserve">. </w:t>
      </w:r>
      <w:r w:rsidR="00E07E09" w:rsidRPr="00C2514D">
        <w:rPr>
          <w:rFonts w:ascii="Arial" w:hAnsi="Arial" w:cs="Arial"/>
          <w:sz w:val="22"/>
          <w:szCs w:val="22"/>
          <w:lang w:val="en-US"/>
        </w:rPr>
        <w:t>Monitoring of p</w:t>
      </w:r>
      <w:r w:rsidR="00756E3C" w:rsidRPr="00C2514D">
        <w:rPr>
          <w:rFonts w:ascii="Arial" w:hAnsi="Arial" w:cs="Arial"/>
          <w:sz w:val="22"/>
          <w:szCs w:val="22"/>
          <w:lang w:val="en-US"/>
        </w:rPr>
        <w:t>rogress and compliance of physical and financial delivery of outputs will be registered in the PMR of the project based upon those indicators</w:t>
      </w:r>
      <w:r w:rsidR="00E07E09" w:rsidRPr="00C2514D">
        <w:rPr>
          <w:rFonts w:ascii="Arial" w:hAnsi="Arial" w:cs="Arial"/>
          <w:sz w:val="22"/>
          <w:szCs w:val="22"/>
          <w:lang w:val="en-US"/>
        </w:rPr>
        <w:t xml:space="preserve">. To this end, the MoB will report every semester progress reports on the evolution </w:t>
      </w:r>
      <w:r w:rsidR="00627C3B" w:rsidRPr="00C2514D">
        <w:rPr>
          <w:rFonts w:ascii="Arial" w:hAnsi="Arial" w:cs="Arial"/>
          <w:sz w:val="22"/>
          <w:szCs w:val="22"/>
          <w:lang w:val="en-US"/>
        </w:rPr>
        <w:t xml:space="preserve">of </w:t>
      </w:r>
      <w:r w:rsidR="00E07E09" w:rsidRPr="00C2514D">
        <w:rPr>
          <w:rFonts w:ascii="Arial" w:hAnsi="Arial" w:cs="Arial"/>
          <w:sz w:val="22"/>
          <w:szCs w:val="22"/>
          <w:lang w:val="en-US"/>
        </w:rPr>
        <w:t>each output (</w:t>
      </w:r>
      <w:r w:rsidR="006F7173" w:rsidRPr="00C2514D">
        <w:rPr>
          <w:rFonts w:ascii="Arial" w:hAnsi="Arial" w:cs="Arial"/>
          <w:sz w:val="22"/>
          <w:szCs w:val="22"/>
          <w:lang w:val="en-US"/>
        </w:rPr>
        <w:t xml:space="preserve">information on </w:t>
      </w:r>
      <w:r w:rsidR="00E07E09" w:rsidRPr="00C2514D">
        <w:rPr>
          <w:rFonts w:ascii="Arial" w:hAnsi="Arial" w:cs="Arial"/>
          <w:sz w:val="22"/>
          <w:szCs w:val="22"/>
          <w:lang w:val="en-US"/>
        </w:rPr>
        <w:t xml:space="preserve">physical and financial progress as well as disbursement progress </w:t>
      </w:r>
      <w:r w:rsidR="00627C3B" w:rsidRPr="00C2514D">
        <w:rPr>
          <w:rFonts w:ascii="Arial" w:hAnsi="Arial" w:cs="Arial"/>
          <w:sz w:val="22"/>
          <w:szCs w:val="22"/>
          <w:lang w:val="en-US"/>
        </w:rPr>
        <w:t>necessary</w:t>
      </w:r>
      <w:r w:rsidR="00E07E09" w:rsidRPr="00C2514D">
        <w:rPr>
          <w:rFonts w:ascii="Arial" w:hAnsi="Arial" w:cs="Arial"/>
          <w:sz w:val="22"/>
          <w:szCs w:val="22"/>
          <w:lang w:val="en-US"/>
        </w:rPr>
        <w:t xml:space="preserve"> to update the </w:t>
      </w:r>
      <w:r w:rsidR="00101870" w:rsidRPr="00C2514D">
        <w:rPr>
          <w:rFonts w:ascii="Arial" w:hAnsi="Arial" w:cs="Arial"/>
          <w:sz w:val="22"/>
          <w:szCs w:val="22"/>
          <w:lang w:val="en-US"/>
        </w:rPr>
        <w:t xml:space="preserve">biannual </w:t>
      </w:r>
      <w:r w:rsidR="00E07E09" w:rsidRPr="00C2514D">
        <w:rPr>
          <w:rFonts w:ascii="Arial" w:hAnsi="Arial" w:cs="Arial"/>
          <w:sz w:val="22"/>
          <w:szCs w:val="22"/>
          <w:lang w:val="en-US"/>
        </w:rPr>
        <w:t>PMR, the an</w:t>
      </w:r>
      <w:r w:rsidR="00627C3B" w:rsidRPr="00C2514D">
        <w:rPr>
          <w:rFonts w:ascii="Arial" w:hAnsi="Arial" w:cs="Arial"/>
          <w:sz w:val="22"/>
          <w:szCs w:val="22"/>
          <w:lang w:val="en-US"/>
        </w:rPr>
        <w:t>n</w:t>
      </w:r>
      <w:r w:rsidR="00E07E09" w:rsidRPr="00C2514D">
        <w:rPr>
          <w:rFonts w:ascii="Arial" w:hAnsi="Arial" w:cs="Arial"/>
          <w:sz w:val="22"/>
          <w:szCs w:val="22"/>
          <w:lang w:val="en-US"/>
        </w:rPr>
        <w:t>ual operation plan and the an</w:t>
      </w:r>
      <w:r w:rsidR="00627C3B" w:rsidRPr="00C2514D">
        <w:rPr>
          <w:rFonts w:ascii="Arial" w:hAnsi="Arial" w:cs="Arial"/>
          <w:sz w:val="22"/>
          <w:szCs w:val="22"/>
          <w:lang w:val="en-US"/>
        </w:rPr>
        <w:t>n</w:t>
      </w:r>
      <w:r w:rsidR="00E07E09" w:rsidRPr="00C2514D">
        <w:rPr>
          <w:rFonts w:ascii="Arial" w:hAnsi="Arial" w:cs="Arial"/>
          <w:sz w:val="22"/>
          <w:szCs w:val="22"/>
          <w:lang w:val="en-US"/>
        </w:rPr>
        <w:t>ual acquisition plan). The IDB can request additional information or reports considered relevant to complement the monitoring and evaluation plan</w:t>
      </w:r>
      <w:r w:rsidR="00814C6A" w:rsidRPr="00C2514D">
        <w:rPr>
          <w:rFonts w:ascii="Arial" w:hAnsi="Arial" w:cs="Arial"/>
          <w:sz w:val="22"/>
          <w:szCs w:val="22"/>
          <w:lang w:val="en-US"/>
        </w:rPr>
        <w:t xml:space="preserve">. </w:t>
      </w:r>
      <w:r w:rsidR="00E07E09" w:rsidRPr="00C2514D">
        <w:rPr>
          <w:rFonts w:ascii="Arial" w:hAnsi="Arial" w:cs="Arial"/>
          <w:sz w:val="22"/>
          <w:szCs w:val="22"/>
          <w:lang w:val="en-US"/>
        </w:rPr>
        <w:t xml:space="preserve">The </w:t>
      </w:r>
      <w:r w:rsidR="00627C3B" w:rsidRPr="00C2514D">
        <w:rPr>
          <w:rFonts w:ascii="Arial" w:hAnsi="Arial" w:cs="Arial"/>
          <w:sz w:val="22"/>
          <w:szCs w:val="22"/>
          <w:lang w:val="en-US"/>
        </w:rPr>
        <w:t xml:space="preserve">second semester </w:t>
      </w:r>
      <w:r w:rsidR="00E07E09" w:rsidRPr="00C2514D">
        <w:rPr>
          <w:rFonts w:ascii="Arial" w:hAnsi="Arial" w:cs="Arial"/>
          <w:sz w:val="22"/>
          <w:szCs w:val="22"/>
          <w:lang w:val="en-US"/>
        </w:rPr>
        <w:t xml:space="preserve">report </w:t>
      </w:r>
      <w:r w:rsidR="00627C3B" w:rsidRPr="00C2514D">
        <w:rPr>
          <w:rFonts w:ascii="Arial" w:hAnsi="Arial" w:cs="Arial"/>
          <w:sz w:val="22"/>
          <w:szCs w:val="22"/>
          <w:lang w:val="en-US"/>
        </w:rPr>
        <w:t>will contain a synthesis of the main achievements</w:t>
      </w:r>
      <w:r w:rsidR="00646571">
        <w:rPr>
          <w:rFonts w:ascii="Arial" w:hAnsi="Arial" w:cs="Arial"/>
          <w:sz w:val="22"/>
          <w:szCs w:val="22"/>
          <w:lang w:val="en-US"/>
        </w:rPr>
        <w:t xml:space="preserve"> per sub</w:t>
      </w:r>
      <w:r w:rsidR="00627C3B" w:rsidRPr="00C2514D">
        <w:rPr>
          <w:rFonts w:ascii="Arial" w:hAnsi="Arial" w:cs="Arial"/>
          <w:sz w:val="22"/>
          <w:szCs w:val="22"/>
          <w:lang w:val="en-US"/>
        </w:rPr>
        <w:t xml:space="preserve">component describing main challenges faced during execution and analyzing the </w:t>
      </w:r>
      <w:r w:rsidR="006F7173" w:rsidRPr="00C2514D">
        <w:rPr>
          <w:rFonts w:ascii="Arial" w:hAnsi="Arial" w:cs="Arial"/>
          <w:sz w:val="22"/>
          <w:szCs w:val="22"/>
          <w:lang w:val="en-US"/>
        </w:rPr>
        <w:t xml:space="preserve">actual </w:t>
      </w:r>
      <w:r w:rsidR="00627C3B" w:rsidRPr="00C2514D">
        <w:rPr>
          <w:rFonts w:ascii="Arial" w:hAnsi="Arial" w:cs="Arial"/>
          <w:sz w:val="22"/>
          <w:szCs w:val="22"/>
          <w:lang w:val="en-US"/>
        </w:rPr>
        <w:t xml:space="preserve">risks </w:t>
      </w:r>
      <w:r w:rsidR="006F7173" w:rsidRPr="00C2514D">
        <w:rPr>
          <w:rFonts w:ascii="Arial" w:hAnsi="Arial" w:cs="Arial"/>
          <w:sz w:val="22"/>
          <w:szCs w:val="22"/>
          <w:lang w:val="en-US"/>
        </w:rPr>
        <w:t>faced by</w:t>
      </w:r>
      <w:r w:rsidR="00627C3B" w:rsidRPr="00C2514D">
        <w:rPr>
          <w:rFonts w:ascii="Arial" w:hAnsi="Arial" w:cs="Arial"/>
          <w:sz w:val="22"/>
          <w:szCs w:val="22"/>
          <w:lang w:val="en-US"/>
        </w:rPr>
        <w:t xml:space="preserve"> the program (</w:t>
      </w:r>
      <w:r w:rsidR="006F7173" w:rsidRPr="00C2514D">
        <w:rPr>
          <w:rFonts w:ascii="Arial" w:hAnsi="Arial" w:cs="Arial"/>
          <w:sz w:val="22"/>
          <w:szCs w:val="22"/>
          <w:lang w:val="en-US"/>
        </w:rPr>
        <w:t>and describing how th</w:t>
      </w:r>
      <w:r w:rsidR="00627C3B" w:rsidRPr="00C2514D">
        <w:rPr>
          <w:rFonts w:ascii="Arial" w:hAnsi="Arial" w:cs="Arial"/>
          <w:sz w:val="22"/>
          <w:szCs w:val="22"/>
          <w:lang w:val="en-US"/>
        </w:rPr>
        <w:t>e mitigation strategies envisioned in the Risk Matrix of the program</w:t>
      </w:r>
      <w:r w:rsidR="006F7173" w:rsidRPr="00C2514D">
        <w:rPr>
          <w:rFonts w:ascii="Arial" w:hAnsi="Arial" w:cs="Arial"/>
          <w:sz w:val="22"/>
          <w:szCs w:val="22"/>
          <w:lang w:val="en-US"/>
        </w:rPr>
        <w:t xml:space="preserve"> were of use</w:t>
      </w:r>
      <w:r w:rsidR="00627C3B" w:rsidRPr="00C2514D">
        <w:rPr>
          <w:rFonts w:ascii="Arial" w:hAnsi="Arial" w:cs="Arial"/>
          <w:sz w:val="22"/>
          <w:szCs w:val="22"/>
          <w:lang w:val="en-US"/>
        </w:rPr>
        <w:t>)</w:t>
      </w:r>
      <w:r w:rsidR="00814C6A" w:rsidRPr="00C2514D">
        <w:rPr>
          <w:rFonts w:ascii="Arial" w:hAnsi="Arial" w:cs="Arial"/>
          <w:sz w:val="22"/>
          <w:szCs w:val="22"/>
          <w:lang w:val="en-US"/>
        </w:rPr>
        <w:t xml:space="preserve">. </w:t>
      </w:r>
      <w:r w:rsidR="00226B9D" w:rsidRPr="00C2514D">
        <w:rPr>
          <w:rFonts w:ascii="Arial" w:hAnsi="Arial" w:cs="Arial"/>
          <w:sz w:val="22"/>
          <w:szCs w:val="22"/>
          <w:lang w:val="en-US"/>
        </w:rPr>
        <w:t xml:space="preserve">In this sense this second semester report will recount a consolidated vision of the lessons learned during implementation as well as the recommendations based </w:t>
      </w:r>
      <w:r w:rsidR="00226B9D" w:rsidRPr="00C2514D">
        <w:rPr>
          <w:rFonts w:ascii="Arial" w:hAnsi="Arial" w:cs="Arial"/>
          <w:sz w:val="22"/>
          <w:szCs w:val="22"/>
          <w:lang w:val="en-US"/>
        </w:rPr>
        <w:lastRenderedPageBreak/>
        <w:t>upon this learning</w:t>
      </w:r>
      <w:r w:rsidR="00814C6A" w:rsidRPr="00C2514D">
        <w:rPr>
          <w:rFonts w:ascii="Arial" w:hAnsi="Arial" w:cs="Arial"/>
          <w:sz w:val="22"/>
          <w:szCs w:val="22"/>
          <w:lang w:val="en-US"/>
        </w:rPr>
        <w:t xml:space="preserve">. </w:t>
      </w:r>
      <w:r w:rsidR="00226B9D" w:rsidRPr="00C2514D">
        <w:rPr>
          <w:rFonts w:ascii="Arial" w:hAnsi="Arial" w:cs="Arial"/>
          <w:sz w:val="22"/>
          <w:szCs w:val="22"/>
          <w:lang w:val="en-US"/>
        </w:rPr>
        <w:t>Biannual progress reports will be delivered no later than 30 days after the end of each semester</w:t>
      </w:r>
      <w:r w:rsidR="00814C6A" w:rsidRPr="00C2514D">
        <w:rPr>
          <w:rFonts w:ascii="Arial" w:hAnsi="Arial" w:cs="Arial"/>
          <w:sz w:val="22"/>
          <w:szCs w:val="22"/>
          <w:lang w:val="en-US"/>
        </w:rPr>
        <w:t xml:space="preserve">. </w:t>
      </w:r>
    </w:p>
    <w:p w:rsidR="00F90778" w:rsidRPr="00C2514D" w:rsidRDefault="001D3D00"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 xml:space="preserve">The annual operative plan </w:t>
      </w:r>
      <w:r w:rsidR="00814C6A" w:rsidRPr="00C2514D">
        <w:rPr>
          <w:rFonts w:ascii="Arial" w:hAnsi="Arial" w:cs="Arial"/>
          <w:sz w:val="22"/>
          <w:szCs w:val="22"/>
          <w:lang w:val="en-US"/>
        </w:rPr>
        <w:t>(POA) consolida</w:t>
      </w:r>
      <w:r w:rsidRPr="00C2514D">
        <w:rPr>
          <w:rFonts w:ascii="Arial" w:hAnsi="Arial" w:cs="Arial"/>
          <w:sz w:val="22"/>
          <w:szCs w:val="22"/>
          <w:lang w:val="en-US"/>
        </w:rPr>
        <w:t>tes all the activities that will be carried out during a specific execution period and its physical and financial schedule. The first POA reaches the first deadline period, 18 month</w:t>
      </w:r>
      <w:r w:rsidR="00707005">
        <w:rPr>
          <w:rFonts w:ascii="Arial" w:hAnsi="Arial" w:cs="Arial"/>
          <w:sz w:val="22"/>
          <w:szCs w:val="22"/>
          <w:lang w:val="en-US"/>
        </w:rPr>
        <w:t>s</w:t>
      </w:r>
      <w:r w:rsidRPr="00C2514D">
        <w:rPr>
          <w:rFonts w:ascii="Arial" w:hAnsi="Arial" w:cs="Arial"/>
          <w:sz w:val="22"/>
          <w:szCs w:val="22"/>
          <w:lang w:val="en-US"/>
        </w:rPr>
        <w:t xml:space="preserve"> after the undersigning of the loan contract</w:t>
      </w:r>
      <w:r w:rsidR="00814C6A" w:rsidRPr="00C2514D">
        <w:rPr>
          <w:rFonts w:ascii="Arial" w:hAnsi="Arial" w:cs="Arial"/>
          <w:sz w:val="22"/>
          <w:szCs w:val="22"/>
          <w:lang w:val="en-US"/>
        </w:rPr>
        <w:t xml:space="preserve">. </w:t>
      </w:r>
      <w:r w:rsidRPr="00C2514D">
        <w:rPr>
          <w:rFonts w:ascii="Arial" w:hAnsi="Arial" w:cs="Arial"/>
          <w:sz w:val="22"/>
          <w:szCs w:val="22"/>
          <w:lang w:val="en-US"/>
        </w:rPr>
        <w:t xml:space="preserve">The second </w:t>
      </w:r>
      <w:r w:rsidR="00814C6A" w:rsidRPr="00C2514D">
        <w:rPr>
          <w:rFonts w:ascii="Arial" w:hAnsi="Arial" w:cs="Arial"/>
          <w:sz w:val="22"/>
          <w:szCs w:val="22"/>
          <w:lang w:val="en-US"/>
        </w:rPr>
        <w:t xml:space="preserve">POA </w:t>
      </w:r>
      <w:r w:rsidR="00CB1084" w:rsidRPr="00C2514D">
        <w:rPr>
          <w:rFonts w:ascii="Arial" w:hAnsi="Arial" w:cs="Arial"/>
          <w:sz w:val="22"/>
          <w:szCs w:val="22"/>
          <w:lang w:val="en-US"/>
        </w:rPr>
        <w:t>reaches its deadline on December 31st of the year after the first revision</w:t>
      </w:r>
      <w:r w:rsidR="00814C6A" w:rsidRPr="00C2514D">
        <w:rPr>
          <w:rFonts w:ascii="Arial" w:hAnsi="Arial" w:cs="Arial"/>
          <w:sz w:val="22"/>
          <w:szCs w:val="22"/>
          <w:lang w:val="en-US"/>
        </w:rPr>
        <w:t>.</w:t>
      </w:r>
      <w:r w:rsidR="00CB1084" w:rsidRPr="00C2514D">
        <w:rPr>
          <w:rFonts w:ascii="Arial" w:hAnsi="Arial" w:cs="Arial"/>
          <w:sz w:val="22"/>
          <w:szCs w:val="22"/>
          <w:lang w:val="en-US"/>
        </w:rPr>
        <w:t xml:space="preserve"> From then onwards, POAs will be presented for each calendar year (January 1</w:t>
      </w:r>
      <w:r w:rsidR="00CB1084" w:rsidRPr="00C2514D">
        <w:rPr>
          <w:rFonts w:ascii="Arial" w:hAnsi="Arial" w:cs="Arial"/>
          <w:sz w:val="22"/>
          <w:szCs w:val="22"/>
          <w:vertAlign w:val="superscript"/>
          <w:lang w:val="en-US"/>
        </w:rPr>
        <w:t>st</w:t>
      </w:r>
      <w:r w:rsidR="00CB1084" w:rsidRPr="00C2514D">
        <w:rPr>
          <w:rFonts w:ascii="Arial" w:hAnsi="Arial" w:cs="Arial"/>
          <w:sz w:val="22"/>
          <w:szCs w:val="22"/>
          <w:lang w:val="en-US"/>
        </w:rPr>
        <w:t xml:space="preserve"> to December 31</w:t>
      </w:r>
      <w:r w:rsidR="00CB1084" w:rsidRPr="00C2514D">
        <w:rPr>
          <w:rFonts w:ascii="Arial" w:hAnsi="Arial" w:cs="Arial"/>
          <w:sz w:val="22"/>
          <w:szCs w:val="22"/>
          <w:vertAlign w:val="superscript"/>
          <w:lang w:val="en-US"/>
        </w:rPr>
        <w:t>st</w:t>
      </w:r>
      <w:r w:rsidR="00CB1084" w:rsidRPr="00C2514D">
        <w:rPr>
          <w:rFonts w:ascii="Arial" w:hAnsi="Arial" w:cs="Arial"/>
          <w:sz w:val="22"/>
          <w:szCs w:val="22"/>
          <w:lang w:val="en-US"/>
        </w:rPr>
        <w:t>).</w:t>
      </w:r>
      <w:r w:rsidR="00814C6A" w:rsidRPr="00C2514D">
        <w:rPr>
          <w:rFonts w:ascii="Arial" w:hAnsi="Arial" w:cs="Arial"/>
          <w:sz w:val="22"/>
          <w:szCs w:val="22"/>
          <w:lang w:val="en-US"/>
        </w:rPr>
        <w:t xml:space="preserve"> </w:t>
      </w:r>
      <w:r w:rsidR="00CB1084" w:rsidRPr="00C2514D">
        <w:rPr>
          <w:rFonts w:ascii="Arial" w:hAnsi="Arial" w:cs="Arial"/>
          <w:sz w:val="22"/>
          <w:szCs w:val="22"/>
          <w:lang w:val="en-US"/>
        </w:rPr>
        <w:t>The document will be presented to the IDB before November 30th of the previous year to its application</w:t>
      </w:r>
      <w:r w:rsidR="00814C6A" w:rsidRPr="00C2514D">
        <w:rPr>
          <w:rFonts w:ascii="Arial" w:hAnsi="Arial" w:cs="Arial"/>
          <w:sz w:val="22"/>
          <w:szCs w:val="22"/>
          <w:lang w:val="en-US"/>
        </w:rPr>
        <w:t xml:space="preserve">. </w:t>
      </w:r>
      <w:r w:rsidR="00CB1084" w:rsidRPr="00C2514D">
        <w:rPr>
          <w:rFonts w:ascii="Arial" w:hAnsi="Arial" w:cs="Arial"/>
          <w:sz w:val="22"/>
          <w:szCs w:val="22"/>
          <w:lang w:val="en-US"/>
        </w:rPr>
        <w:t xml:space="preserve">The POA will include an update of the Acquisition Plan </w:t>
      </w:r>
      <w:r w:rsidR="00814C6A" w:rsidRPr="00C2514D">
        <w:rPr>
          <w:rFonts w:ascii="Arial" w:hAnsi="Arial" w:cs="Arial"/>
          <w:sz w:val="22"/>
          <w:szCs w:val="22"/>
          <w:lang w:val="en-US"/>
        </w:rPr>
        <w:t xml:space="preserve">(PA). </w:t>
      </w:r>
      <w:r w:rsidR="00CB1084" w:rsidRPr="00C2514D">
        <w:rPr>
          <w:rFonts w:ascii="Arial" w:hAnsi="Arial" w:cs="Arial"/>
          <w:sz w:val="22"/>
          <w:szCs w:val="22"/>
          <w:lang w:val="en-US"/>
        </w:rPr>
        <w:t>This document is aimed at describing the detail of all the acquisitions and contracts that will be undertaken in each specific period of execution of the program</w:t>
      </w:r>
      <w:r w:rsidR="00814C6A" w:rsidRPr="00C2514D">
        <w:rPr>
          <w:rFonts w:ascii="Arial" w:hAnsi="Arial" w:cs="Arial"/>
          <w:sz w:val="22"/>
          <w:szCs w:val="22"/>
          <w:lang w:val="en-US"/>
        </w:rPr>
        <w:t xml:space="preserve">. </w:t>
      </w:r>
      <w:r w:rsidR="00CB1084" w:rsidRPr="00C2514D">
        <w:rPr>
          <w:rFonts w:ascii="Arial" w:hAnsi="Arial" w:cs="Arial"/>
          <w:sz w:val="22"/>
          <w:szCs w:val="22"/>
          <w:lang w:val="en-US"/>
        </w:rPr>
        <w:t xml:space="preserve">The </w:t>
      </w:r>
      <w:r w:rsidR="00814C6A" w:rsidRPr="00C2514D">
        <w:rPr>
          <w:rFonts w:ascii="Arial" w:hAnsi="Arial" w:cs="Arial"/>
          <w:sz w:val="22"/>
          <w:szCs w:val="22"/>
          <w:lang w:val="en-US"/>
        </w:rPr>
        <w:t xml:space="preserve">PA </w:t>
      </w:r>
      <w:r w:rsidR="00CB1084" w:rsidRPr="00C2514D">
        <w:rPr>
          <w:rFonts w:ascii="Arial" w:hAnsi="Arial" w:cs="Arial"/>
          <w:sz w:val="22"/>
          <w:szCs w:val="22"/>
          <w:lang w:val="en-US"/>
        </w:rPr>
        <w:t>will be updated on an annual basis or when necessary during the whole period of execution of the program</w:t>
      </w:r>
      <w:r w:rsidR="00814C6A" w:rsidRPr="00C2514D">
        <w:rPr>
          <w:rFonts w:ascii="Arial" w:hAnsi="Arial" w:cs="Arial"/>
          <w:sz w:val="22"/>
          <w:szCs w:val="22"/>
          <w:lang w:val="en-US"/>
        </w:rPr>
        <w:t>.</w:t>
      </w:r>
    </w:p>
    <w:p w:rsidR="00F90778" w:rsidRPr="00C2514D" w:rsidRDefault="00872E0B"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 xml:space="preserve">At mid execution term (three years after starting execution or when 50% of disbursements have been made), </w:t>
      </w:r>
      <w:r w:rsidR="006C0C18" w:rsidRPr="00C2514D">
        <w:rPr>
          <w:rFonts w:ascii="Arial" w:hAnsi="Arial" w:cs="Arial"/>
          <w:sz w:val="22"/>
          <w:szCs w:val="22"/>
          <w:lang w:val="en-US"/>
        </w:rPr>
        <w:t xml:space="preserve">an intermediate evaluation will be undertaken.to evaluate the progresses in execution of the different </w:t>
      </w:r>
      <w:r w:rsidR="00646571">
        <w:rPr>
          <w:rFonts w:ascii="Arial" w:hAnsi="Arial" w:cs="Arial"/>
          <w:sz w:val="22"/>
          <w:szCs w:val="22"/>
          <w:lang w:val="en-US"/>
        </w:rPr>
        <w:t>sub</w:t>
      </w:r>
      <w:r w:rsidR="006C0C18" w:rsidRPr="00C2514D">
        <w:rPr>
          <w:rFonts w:ascii="Arial" w:hAnsi="Arial" w:cs="Arial"/>
          <w:sz w:val="22"/>
          <w:szCs w:val="22"/>
          <w:lang w:val="en-US"/>
        </w:rPr>
        <w:t>components of the program</w:t>
      </w:r>
      <w:r w:rsidRPr="00C2514D">
        <w:rPr>
          <w:rFonts w:ascii="Arial" w:hAnsi="Arial" w:cs="Arial"/>
          <w:sz w:val="22"/>
          <w:szCs w:val="22"/>
          <w:lang w:val="en-US"/>
        </w:rPr>
        <w:t>.</w:t>
      </w:r>
      <w:r w:rsidR="006C0C18" w:rsidRPr="00C2514D">
        <w:rPr>
          <w:rFonts w:ascii="Arial" w:hAnsi="Arial" w:cs="Arial"/>
          <w:sz w:val="22"/>
          <w:szCs w:val="22"/>
          <w:lang w:val="en-US"/>
        </w:rPr>
        <w:t xml:space="preserve"> Besides documenting progress, the evaluation will consider case studies of successful exporters that managed to improve the intensity of exports thanks to the use of treated labs</w:t>
      </w:r>
      <w:r w:rsidRPr="00C2514D">
        <w:rPr>
          <w:rFonts w:ascii="Arial" w:hAnsi="Arial" w:cs="Arial"/>
          <w:sz w:val="22"/>
          <w:szCs w:val="22"/>
          <w:lang w:val="en-US"/>
        </w:rPr>
        <w:t>.</w:t>
      </w:r>
      <w:r w:rsidR="00482812" w:rsidRPr="00C2514D">
        <w:rPr>
          <w:rFonts w:ascii="Arial" w:hAnsi="Arial" w:cs="Arial"/>
          <w:sz w:val="22"/>
          <w:szCs w:val="22"/>
          <w:lang w:val="en-US"/>
        </w:rPr>
        <w:t xml:space="preserve"> The intermediate evaluation will also show potential sources of problem in case of slow progress or ineffectiveness in the achievement of planned goals. This input will be key for the fine tuning of the program during execution.</w:t>
      </w:r>
    </w:p>
    <w:p w:rsidR="00F90778" w:rsidRPr="00C2514D" w:rsidRDefault="00872E0B"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At the end of the program, the MoB will undertake a final evaluation of the program. The Terms of Reference for the production of this evaluation will be reviewed and approved by the IDB and will emphasize the importance of the attribution analysis necessary to claim effectiveness due to the project in the achievement of outcomes and impacts stated in the Results Matrix. This evaluation will be coordinated with the preparation of the Project Completion Report (PCR) of the operation. The evaluation will be delivered 90 days after the disbursement of 90% of the loan.</w:t>
      </w:r>
    </w:p>
    <w:p w:rsidR="00F90778" w:rsidRPr="00C2514D" w:rsidRDefault="00F64874" w:rsidP="00507B7D">
      <w:pPr>
        <w:pStyle w:val="FirstHeading"/>
        <w:tabs>
          <w:tab w:val="num" w:pos="720"/>
        </w:tabs>
        <w:ind w:left="720"/>
        <w:rPr>
          <w:rFonts w:ascii="Arial" w:hAnsi="Arial" w:cs="Arial"/>
          <w:sz w:val="22"/>
          <w:szCs w:val="22"/>
          <w:lang w:val="en-US"/>
        </w:rPr>
      </w:pPr>
      <w:r w:rsidRPr="00C2514D">
        <w:rPr>
          <w:rFonts w:ascii="Arial" w:hAnsi="Arial" w:cs="Arial"/>
          <w:sz w:val="22"/>
          <w:szCs w:val="22"/>
          <w:lang w:val="en-US"/>
        </w:rPr>
        <w:fldChar w:fldCharType="begin"/>
      </w:r>
      <w:r w:rsidRPr="00C2514D">
        <w:rPr>
          <w:rFonts w:ascii="Arial" w:hAnsi="Arial" w:cs="Arial"/>
          <w:sz w:val="22"/>
          <w:szCs w:val="22"/>
          <w:lang w:val="en-US"/>
        </w:rPr>
        <w:instrText xml:space="preserve"> SEQ "</w:instrText>
      </w:r>
      <w:r w:rsidRPr="00C2514D">
        <w:rPr>
          <w:rFonts w:ascii="Arial" w:hAnsi="Arial" w:cs="Arial"/>
          <w:sz w:val="22"/>
          <w:szCs w:val="22"/>
          <w:lang w:val="en-US"/>
        </w:rPr>
        <w:fldChar w:fldCharType="begin"/>
      </w:r>
      <w:r w:rsidRPr="00C2514D">
        <w:rPr>
          <w:rFonts w:ascii="Arial" w:hAnsi="Arial" w:cs="Arial"/>
          <w:sz w:val="22"/>
          <w:szCs w:val="22"/>
          <w:lang w:val="en-US"/>
        </w:rPr>
        <w:instrText xml:space="preserve"> SECTION  \* MERGEFORMAT </w:instrText>
      </w:r>
      <w:r w:rsidRPr="00C2514D">
        <w:rPr>
          <w:rFonts w:ascii="Arial" w:hAnsi="Arial" w:cs="Arial"/>
          <w:sz w:val="22"/>
          <w:szCs w:val="22"/>
          <w:lang w:val="en-US"/>
        </w:rPr>
        <w:fldChar w:fldCharType="separate"/>
      </w:r>
      <w:r w:rsidRPr="00C2514D">
        <w:rPr>
          <w:rFonts w:ascii="Arial" w:hAnsi="Arial" w:cs="Arial"/>
          <w:sz w:val="22"/>
          <w:szCs w:val="22"/>
          <w:lang w:val="en-US"/>
        </w:rPr>
        <w:instrText>3</w:instrText>
      </w:r>
      <w:r w:rsidRPr="00C2514D">
        <w:rPr>
          <w:rFonts w:ascii="Arial" w:hAnsi="Arial" w:cs="Arial"/>
          <w:sz w:val="22"/>
          <w:szCs w:val="22"/>
          <w:lang w:val="en-US"/>
        </w:rPr>
        <w:fldChar w:fldCharType="end"/>
      </w:r>
      <w:r w:rsidRPr="00C2514D">
        <w:rPr>
          <w:rFonts w:ascii="Arial" w:hAnsi="Arial" w:cs="Arial"/>
          <w:sz w:val="22"/>
          <w:szCs w:val="22"/>
          <w:lang w:val="en-US"/>
        </w:rPr>
        <w:instrText xml:space="preserve">#"\* ALPHABETIC \* MERGEFORMAT </w:instrText>
      </w:r>
      <w:r w:rsidRPr="00C2514D">
        <w:rPr>
          <w:rFonts w:ascii="Arial" w:hAnsi="Arial" w:cs="Arial"/>
          <w:sz w:val="22"/>
          <w:szCs w:val="22"/>
          <w:lang w:val="en-US"/>
        </w:rPr>
        <w:fldChar w:fldCharType="separate"/>
      </w:r>
      <w:bookmarkStart w:id="4" w:name="_Toc449703278"/>
      <w:r w:rsidRPr="00C2514D">
        <w:rPr>
          <w:rFonts w:ascii="Arial" w:hAnsi="Arial" w:cs="Arial"/>
          <w:noProof/>
          <w:sz w:val="22"/>
          <w:szCs w:val="22"/>
          <w:lang w:val="en-US"/>
        </w:rPr>
        <w:t>D</w:t>
      </w:r>
      <w:r w:rsidRPr="00C2514D">
        <w:rPr>
          <w:rFonts w:ascii="Arial" w:hAnsi="Arial" w:cs="Arial"/>
          <w:sz w:val="22"/>
          <w:szCs w:val="22"/>
          <w:lang w:val="en-US"/>
        </w:rPr>
        <w:fldChar w:fldCharType="end"/>
      </w:r>
      <w:r w:rsidRPr="00C2514D">
        <w:rPr>
          <w:rFonts w:ascii="Arial" w:hAnsi="Arial" w:cs="Arial"/>
          <w:sz w:val="22"/>
          <w:szCs w:val="22"/>
          <w:lang w:val="en-US"/>
        </w:rPr>
        <w:t>.</w:t>
      </w:r>
      <w:r w:rsidRPr="00C2514D">
        <w:rPr>
          <w:rFonts w:ascii="Arial" w:hAnsi="Arial" w:cs="Arial"/>
          <w:sz w:val="22"/>
          <w:szCs w:val="22"/>
          <w:lang w:val="en-US"/>
        </w:rPr>
        <w:tab/>
      </w:r>
      <w:bookmarkEnd w:id="4"/>
      <w:r w:rsidR="00D6582C" w:rsidRPr="00C2514D">
        <w:rPr>
          <w:rFonts w:ascii="Arial" w:hAnsi="Arial" w:cs="Arial"/>
          <w:sz w:val="22"/>
          <w:szCs w:val="22"/>
          <w:lang w:val="en-US"/>
        </w:rPr>
        <w:t>Coordination, workplan and budget</w:t>
      </w:r>
    </w:p>
    <w:p w:rsidR="00F90778" w:rsidRPr="00C2514D" w:rsidRDefault="00447745" w:rsidP="00824ADE">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The MoB will be responsible for the supervision, technical and administrative coordination of the program. The MoB will also be responsible for the biannual execution reports as well as for any additional report or document required by the IDB</w:t>
      </w:r>
      <w:r w:rsidR="0053531B" w:rsidRPr="00C2514D">
        <w:rPr>
          <w:rFonts w:ascii="Arial" w:hAnsi="Arial" w:cs="Arial"/>
          <w:sz w:val="22"/>
          <w:szCs w:val="22"/>
          <w:lang w:val="en-US"/>
        </w:rPr>
        <w:t xml:space="preserve"> in order to fulfill the Monitoring and Evaluation Plan</w:t>
      </w:r>
      <w:r w:rsidRPr="00C2514D">
        <w:rPr>
          <w:rFonts w:ascii="Arial" w:hAnsi="Arial" w:cs="Arial"/>
          <w:sz w:val="22"/>
          <w:szCs w:val="22"/>
          <w:lang w:val="en-US"/>
        </w:rPr>
        <w:t xml:space="preserve">. </w:t>
      </w:r>
      <w:r w:rsidR="0053531B" w:rsidRPr="00C2514D">
        <w:rPr>
          <w:rFonts w:ascii="Arial" w:hAnsi="Arial" w:cs="Arial"/>
          <w:sz w:val="22"/>
          <w:szCs w:val="22"/>
          <w:lang w:val="en-US"/>
        </w:rPr>
        <w:t>The schedule of a</w:t>
      </w:r>
      <w:r w:rsidR="00194031" w:rsidRPr="00C2514D">
        <w:rPr>
          <w:rFonts w:ascii="Arial" w:hAnsi="Arial" w:cs="Arial"/>
          <w:sz w:val="22"/>
          <w:szCs w:val="22"/>
          <w:lang w:val="en-US"/>
        </w:rPr>
        <w:t xml:space="preserve">ctivities, the disbursement program and the implementation costs of the monitoring plan are shown in </w:t>
      </w:r>
      <w:r w:rsidR="00194031" w:rsidRPr="004904BD">
        <w:rPr>
          <w:rFonts w:ascii="Arial" w:hAnsi="Arial" w:cs="Arial"/>
          <w:sz w:val="22"/>
          <w:szCs w:val="22"/>
          <w:lang w:val="en-US"/>
        </w:rPr>
        <w:t>Table 1.</w:t>
      </w:r>
      <w:r w:rsidR="00194031" w:rsidRPr="00C2514D">
        <w:rPr>
          <w:rFonts w:ascii="Arial" w:hAnsi="Arial" w:cs="Arial"/>
          <w:sz w:val="22"/>
          <w:szCs w:val="22"/>
          <w:lang w:val="en-US"/>
        </w:rPr>
        <w:t xml:space="preserve"> </w:t>
      </w:r>
      <w:r w:rsidR="00824ADE" w:rsidRPr="00C2514D">
        <w:rPr>
          <w:rFonts w:ascii="Arial" w:hAnsi="Arial" w:cs="Arial"/>
          <w:sz w:val="22"/>
          <w:szCs w:val="22"/>
          <w:lang w:val="en-US"/>
        </w:rPr>
        <w:t xml:space="preserve">Both, the project (see Table 1) and the TC </w:t>
      </w:r>
      <w:r w:rsidR="0053531B" w:rsidRPr="00C2514D">
        <w:rPr>
          <w:rFonts w:ascii="Arial" w:hAnsi="Arial" w:cs="Arial"/>
          <w:sz w:val="22"/>
          <w:szCs w:val="22"/>
          <w:lang w:val="en-US"/>
        </w:rPr>
        <w:t xml:space="preserve">(GY-T1129) </w:t>
      </w:r>
      <w:r w:rsidR="00824ADE" w:rsidRPr="00C2514D">
        <w:rPr>
          <w:rFonts w:ascii="Arial" w:hAnsi="Arial" w:cs="Arial"/>
          <w:sz w:val="22"/>
          <w:szCs w:val="22"/>
          <w:lang w:val="en-US"/>
        </w:rPr>
        <w:t>devote resources to comply with the Monit</w:t>
      </w:r>
      <w:r w:rsidR="004904BD">
        <w:rPr>
          <w:rFonts w:ascii="Arial" w:hAnsi="Arial" w:cs="Arial"/>
          <w:sz w:val="22"/>
          <w:szCs w:val="22"/>
          <w:lang w:val="en-US"/>
        </w:rPr>
        <w:t>oring and Evaluation Plan (US$</w:t>
      </w:r>
      <w:r w:rsidR="002E5ACC">
        <w:rPr>
          <w:rFonts w:ascii="Arial" w:hAnsi="Arial" w:cs="Arial"/>
          <w:sz w:val="22"/>
          <w:szCs w:val="22"/>
          <w:lang w:val="en-US"/>
        </w:rPr>
        <w:t>50</w:t>
      </w:r>
      <w:r w:rsidR="00824ADE" w:rsidRPr="00C2514D">
        <w:rPr>
          <w:rFonts w:ascii="Arial" w:hAnsi="Arial" w:cs="Arial"/>
          <w:sz w:val="22"/>
          <w:szCs w:val="22"/>
          <w:lang w:val="en-US"/>
        </w:rPr>
        <w:t>,000 and US$70,000 respectively)</w:t>
      </w:r>
      <w:r w:rsidR="00284A67" w:rsidRPr="00C2514D">
        <w:rPr>
          <w:rFonts w:ascii="Arial" w:hAnsi="Arial" w:cs="Arial"/>
          <w:sz w:val="22"/>
          <w:szCs w:val="22"/>
          <w:lang w:val="en-US"/>
        </w:rPr>
        <w:t>.</w:t>
      </w:r>
    </w:p>
    <w:p w:rsidR="00F64874" w:rsidRPr="00C2514D" w:rsidRDefault="00F64874" w:rsidP="00A77DC6">
      <w:pPr>
        <w:pStyle w:val="Heading1"/>
        <w:spacing w:before="0" w:after="0"/>
        <w:jc w:val="left"/>
        <w:rPr>
          <w:rFonts w:ascii="Arial" w:hAnsi="Arial" w:cs="Arial"/>
          <w:sz w:val="22"/>
          <w:szCs w:val="22"/>
        </w:rPr>
        <w:sectPr w:rsidR="00F64874" w:rsidRPr="00C2514D" w:rsidSect="00064AE4">
          <w:type w:val="continuous"/>
          <w:pgSz w:w="12240" w:h="15840"/>
          <w:pgMar w:top="1440" w:right="1800" w:bottom="1440" w:left="1800" w:header="720" w:footer="720" w:gutter="0"/>
          <w:cols w:space="720"/>
          <w:docGrid w:linePitch="360"/>
        </w:sectPr>
      </w:pPr>
    </w:p>
    <w:p w:rsidR="00EF661C" w:rsidRPr="00C2514D" w:rsidRDefault="00EF661C">
      <w:pPr>
        <w:spacing w:after="200" w:line="276" w:lineRule="auto"/>
        <w:rPr>
          <w:rFonts w:ascii="Arial" w:hAnsi="Arial" w:cs="Arial"/>
          <w:b/>
          <w:smallCaps/>
          <w:spacing w:val="0"/>
          <w:lang w:val="en-US"/>
        </w:rPr>
      </w:pPr>
      <w:bookmarkStart w:id="5" w:name="_Toc449703279"/>
      <w:r w:rsidRPr="00C2514D">
        <w:rPr>
          <w:rFonts w:ascii="Arial" w:hAnsi="Arial" w:cs="Arial"/>
          <w:lang w:val="en-US"/>
        </w:rPr>
        <w:lastRenderedPageBreak/>
        <w:br w:type="page"/>
      </w:r>
    </w:p>
    <w:p w:rsidR="009C562E" w:rsidRPr="00C2514D" w:rsidRDefault="00883AA7" w:rsidP="00F64874">
      <w:pPr>
        <w:pStyle w:val="Chapter"/>
        <w:rPr>
          <w:rFonts w:ascii="Arial" w:hAnsi="Arial" w:cs="Arial"/>
          <w:lang w:val="en-US"/>
        </w:rPr>
      </w:pPr>
      <w:r w:rsidRPr="00C2514D">
        <w:rPr>
          <w:rFonts w:ascii="Arial" w:hAnsi="Arial" w:cs="Arial"/>
          <w:lang w:val="en-US"/>
        </w:rPr>
        <w:lastRenderedPageBreak/>
        <w:t>Evalua</w:t>
      </w:r>
      <w:r w:rsidR="00D6582C" w:rsidRPr="00C2514D">
        <w:rPr>
          <w:rFonts w:ascii="Arial" w:hAnsi="Arial" w:cs="Arial"/>
          <w:lang w:val="en-US"/>
        </w:rPr>
        <w:t>tio</w:t>
      </w:r>
      <w:r w:rsidRPr="00C2514D">
        <w:rPr>
          <w:rFonts w:ascii="Arial" w:hAnsi="Arial" w:cs="Arial"/>
          <w:lang w:val="en-US"/>
        </w:rPr>
        <w:t>n</w:t>
      </w:r>
      <w:bookmarkEnd w:id="5"/>
    </w:p>
    <w:p w:rsidR="003E44DD" w:rsidRPr="00C2514D" w:rsidRDefault="00F64874" w:rsidP="007A396F">
      <w:pPr>
        <w:pStyle w:val="FirstHeading"/>
        <w:ind w:left="720"/>
        <w:rPr>
          <w:rFonts w:ascii="Arial" w:hAnsi="Arial" w:cs="Arial"/>
          <w:sz w:val="22"/>
          <w:szCs w:val="22"/>
          <w:lang w:val="en-US"/>
        </w:rPr>
      </w:pPr>
      <w:r w:rsidRPr="00C2514D">
        <w:rPr>
          <w:rFonts w:ascii="Arial" w:hAnsi="Arial" w:cs="Arial"/>
          <w:sz w:val="22"/>
          <w:szCs w:val="22"/>
          <w:lang w:val="en-US"/>
        </w:rPr>
        <w:fldChar w:fldCharType="begin"/>
      </w:r>
      <w:r w:rsidRPr="00C2514D">
        <w:rPr>
          <w:rFonts w:ascii="Arial" w:hAnsi="Arial" w:cs="Arial"/>
          <w:sz w:val="22"/>
          <w:szCs w:val="22"/>
          <w:lang w:val="en-US"/>
        </w:rPr>
        <w:instrText xml:space="preserve"> SEQ "</w:instrText>
      </w:r>
      <w:r w:rsidRPr="00C2514D">
        <w:rPr>
          <w:rFonts w:ascii="Arial" w:hAnsi="Arial" w:cs="Arial"/>
          <w:sz w:val="22"/>
          <w:szCs w:val="22"/>
          <w:lang w:val="en-US"/>
        </w:rPr>
        <w:fldChar w:fldCharType="begin"/>
      </w:r>
      <w:r w:rsidRPr="00C2514D">
        <w:rPr>
          <w:rFonts w:ascii="Arial" w:hAnsi="Arial" w:cs="Arial"/>
          <w:sz w:val="22"/>
          <w:szCs w:val="22"/>
          <w:lang w:val="en-US"/>
        </w:rPr>
        <w:instrText xml:space="preserve"> SECTION  \* MERGEFORMAT </w:instrText>
      </w:r>
      <w:r w:rsidRPr="00C2514D">
        <w:rPr>
          <w:rFonts w:ascii="Arial" w:hAnsi="Arial" w:cs="Arial"/>
          <w:sz w:val="22"/>
          <w:szCs w:val="22"/>
          <w:lang w:val="en-US"/>
        </w:rPr>
        <w:fldChar w:fldCharType="separate"/>
      </w:r>
      <w:r w:rsidRPr="00C2514D">
        <w:rPr>
          <w:rFonts w:ascii="Arial" w:hAnsi="Arial" w:cs="Arial"/>
          <w:sz w:val="22"/>
          <w:szCs w:val="22"/>
          <w:lang w:val="en-US"/>
        </w:rPr>
        <w:instrText>4</w:instrText>
      </w:r>
      <w:r w:rsidRPr="00C2514D">
        <w:rPr>
          <w:rFonts w:ascii="Arial" w:hAnsi="Arial" w:cs="Arial"/>
          <w:sz w:val="22"/>
          <w:szCs w:val="22"/>
          <w:lang w:val="en-US"/>
        </w:rPr>
        <w:fldChar w:fldCharType="end"/>
      </w:r>
      <w:r w:rsidRPr="00C2514D">
        <w:rPr>
          <w:rFonts w:ascii="Arial" w:hAnsi="Arial" w:cs="Arial"/>
          <w:sz w:val="22"/>
          <w:szCs w:val="22"/>
          <w:lang w:val="en-US"/>
        </w:rPr>
        <w:instrText xml:space="preserve">#"\* ALPHABETIC \* MERGEFORMAT </w:instrText>
      </w:r>
      <w:r w:rsidRPr="00C2514D">
        <w:rPr>
          <w:rFonts w:ascii="Arial" w:hAnsi="Arial" w:cs="Arial"/>
          <w:sz w:val="22"/>
          <w:szCs w:val="22"/>
          <w:lang w:val="en-US"/>
        </w:rPr>
        <w:fldChar w:fldCharType="separate"/>
      </w:r>
      <w:bookmarkStart w:id="6" w:name="_Toc449703280"/>
      <w:r w:rsidRPr="00C2514D">
        <w:rPr>
          <w:rFonts w:ascii="Arial" w:hAnsi="Arial" w:cs="Arial"/>
          <w:noProof/>
          <w:sz w:val="22"/>
          <w:szCs w:val="22"/>
          <w:lang w:val="en-US"/>
        </w:rPr>
        <w:t>A</w:t>
      </w:r>
      <w:r w:rsidRPr="00C2514D">
        <w:rPr>
          <w:rFonts w:ascii="Arial" w:hAnsi="Arial" w:cs="Arial"/>
          <w:sz w:val="22"/>
          <w:szCs w:val="22"/>
          <w:lang w:val="en-US"/>
        </w:rPr>
        <w:fldChar w:fldCharType="end"/>
      </w:r>
      <w:r w:rsidRPr="00C2514D">
        <w:rPr>
          <w:rFonts w:ascii="Arial" w:hAnsi="Arial" w:cs="Arial"/>
          <w:sz w:val="22"/>
          <w:szCs w:val="22"/>
          <w:lang w:val="en-US"/>
        </w:rPr>
        <w:t>.</w:t>
      </w:r>
      <w:r w:rsidRPr="00C2514D">
        <w:rPr>
          <w:rFonts w:ascii="Arial" w:hAnsi="Arial" w:cs="Arial"/>
          <w:sz w:val="22"/>
          <w:szCs w:val="22"/>
          <w:lang w:val="en-US"/>
        </w:rPr>
        <w:tab/>
      </w:r>
      <w:bookmarkEnd w:id="6"/>
      <w:r w:rsidR="00BC4AE5" w:rsidRPr="00C2514D">
        <w:rPr>
          <w:rFonts w:ascii="Arial" w:hAnsi="Arial" w:cs="Arial"/>
          <w:sz w:val="22"/>
          <w:szCs w:val="22"/>
          <w:lang w:val="en-US"/>
        </w:rPr>
        <w:t>C</w:t>
      </w:r>
      <w:r w:rsidR="003E44DD" w:rsidRPr="00C2514D">
        <w:rPr>
          <w:rFonts w:ascii="Arial" w:hAnsi="Arial" w:cs="Arial"/>
          <w:sz w:val="22"/>
          <w:szCs w:val="22"/>
          <w:lang w:val="en-US"/>
        </w:rPr>
        <w:t>onceptual framework and theory of change</w:t>
      </w:r>
    </w:p>
    <w:p w:rsidR="003E44DD" w:rsidRPr="004904BD" w:rsidRDefault="00EF661C" w:rsidP="00507B7D">
      <w:pPr>
        <w:pStyle w:val="Paragraph"/>
        <w:tabs>
          <w:tab w:val="clear" w:pos="1296"/>
          <w:tab w:val="num" w:pos="720"/>
        </w:tabs>
        <w:ind w:left="720" w:hanging="720"/>
        <w:rPr>
          <w:rFonts w:ascii="Arial" w:hAnsi="Arial" w:cs="Arial"/>
          <w:noProof/>
          <w:spacing w:val="-2"/>
          <w:lang w:val="en-US"/>
        </w:rPr>
      </w:pPr>
      <w:r w:rsidRPr="00C2514D">
        <w:rPr>
          <w:rFonts w:ascii="Arial" w:hAnsi="Arial" w:cs="Arial"/>
          <w:sz w:val="22"/>
          <w:szCs w:val="22"/>
          <w:lang w:val="en-US"/>
        </w:rPr>
        <w:t>While the literature on impact evaluation of this type of programs is very thin, existing knowledge on the conceptual approach to quality and standards</w:t>
      </w:r>
      <w:r w:rsidR="003F56BA" w:rsidRPr="00C2514D">
        <w:rPr>
          <w:rFonts w:ascii="Arial" w:hAnsi="Arial" w:cs="Arial"/>
          <w:sz w:val="22"/>
          <w:szCs w:val="22"/>
          <w:lang w:val="en-US"/>
        </w:rPr>
        <w:t>,</w:t>
      </w:r>
      <w:r w:rsidRPr="00C2514D">
        <w:rPr>
          <w:rFonts w:ascii="Arial" w:hAnsi="Arial" w:cs="Arial"/>
          <w:sz w:val="22"/>
          <w:szCs w:val="22"/>
          <w:lang w:val="en-US"/>
        </w:rPr>
        <w:t xml:space="preserve"> as well as </w:t>
      </w:r>
      <w:r w:rsidR="009030FD" w:rsidRPr="00C2514D">
        <w:rPr>
          <w:rFonts w:ascii="Arial" w:hAnsi="Arial" w:cs="Arial"/>
          <w:sz w:val="22"/>
          <w:szCs w:val="22"/>
          <w:lang w:val="en-US"/>
        </w:rPr>
        <w:t xml:space="preserve">lessons and recommendations coming from </w:t>
      </w:r>
      <w:r w:rsidRPr="00C2514D">
        <w:rPr>
          <w:rFonts w:ascii="Arial" w:hAnsi="Arial" w:cs="Arial"/>
          <w:sz w:val="22"/>
          <w:szCs w:val="22"/>
          <w:lang w:val="en-US"/>
        </w:rPr>
        <w:t>documented case studies and policy-oriented manuscripts related to this topic</w:t>
      </w:r>
      <w:r w:rsidR="003F56BA" w:rsidRPr="00C2514D">
        <w:rPr>
          <w:rFonts w:ascii="Arial" w:hAnsi="Arial" w:cs="Arial"/>
          <w:sz w:val="22"/>
          <w:szCs w:val="22"/>
          <w:lang w:val="en-US"/>
        </w:rPr>
        <w:t>,</w:t>
      </w:r>
      <w:r w:rsidRPr="00C2514D">
        <w:rPr>
          <w:rFonts w:ascii="Arial" w:hAnsi="Arial" w:cs="Arial"/>
          <w:sz w:val="22"/>
          <w:szCs w:val="22"/>
          <w:lang w:val="en-US"/>
        </w:rPr>
        <w:t xml:space="preserve"> is not scarce. A comprehensive piece, well referred in the </w:t>
      </w:r>
      <w:r w:rsidR="003F56BA" w:rsidRPr="00C2514D">
        <w:rPr>
          <w:rFonts w:ascii="Arial" w:hAnsi="Arial" w:cs="Arial"/>
          <w:sz w:val="22"/>
          <w:szCs w:val="22"/>
          <w:lang w:val="en-US"/>
        </w:rPr>
        <w:t xml:space="preserve">recent </w:t>
      </w:r>
      <w:r w:rsidRPr="00C2514D">
        <w:rPr>
          <w:rFonts w:ascii="Arial" w:hAnsi="Arial" w:cs="Arial"/>
          <w:sz w:val="22"/>
          <w:szCs w:val="22"/>
          <w:lang w:val="en-US"/>
        </w:rPr>
        <w:t xml:space="preserve">policy making </w:t>
      </w:r>
      <w:r w:rsidR="003F56BA" w:rsidRPr="00C2514D">
        <w:rPr>
          <w:rFonts w:ascii="Arial" w:hAnsi="Arial" w:cs="Arial"/>
          <w:sz w:val="22"/>
          <w:szCs w:val="22"/>
          <w:lang w:val="en-US"/>
        </w:rPr>
        <w:t xml:space="preserve">literature </w:t>
      </w:r>
      <w:r w:rsidRPr="00C2514D">
        <w:rPr>
          <w:rFonts w:ascii="Arial" w:hAnsi="Arial" w:cs="Arial"/>
          <w:sz w:val="22"/>
          <w:szCs w:val="22"/>
          <w:lang w:val="en-US"/>
        </w:rPr>
        <w:t>about NQI is Guash et al (2007</w:t>
      </w:r>
      <w:r w:rsidRPr="00C2514D">
        <w:rPr>
          <w:rFonts w:ascii="Arial" w:hAnsi="Arial" w:cs="Arial"/>
          <w:noProof/>
          <w:spacing w:val="-2"/>
          <w:sz w:val="22"/>
          <w:szCs w:val="22"/>
          <w:lang w:val="en-US" w:eastAsia="x-none"/>
        </w:rPr>
        <w:t>)</w:t>
      </w:r>
      <w:r w:rsidR="003F56BA" w:rsidRPr="00C2514D">
        <w:rPr>
          <w:rFonts w:ascii="Arial" w:hAnsi="Arial" w:cs="Arial"/>
          <w:noProof/>
          <w:spacing w:val="-2"/>
          <w:sz w:val="22"/>
          <w:szCs w:val="22"/>
          <w:lang w:val="en-US" w:eastAsia="x-none"/>
        </w:rPr>
        <w:t xml:space="preserve">. </w:t>
      </w:r>
      <w:r w:rsidR="003F56BA" w:rsidRPr="00C2514D">
        <w:rPr>
          <w:rFonts w:ascii="Arial" w:hAnsi="Arial" w:cs="Arial"/>
          <w:sz w:val="22"/>
          <w:szCs w:val="22"/>
          <w:lang w:val="en-US"/>
        </w:rPr>
        <w:t>Th</w:t>
      </w:r>
      <w:r w:rsidR="003E44DD" w:rsidRPr="00C2514D">
        <w:rPr>
          <w:rFonts w:ascii="Arial" w:hAnsi="Arial" w:cs="Arial"/>
          <w:sz w:val="22"/>
          <w:szCs w:val="22"/>
          <w:lang w:val="en-US"/>
        </w:rPr>
        <w:t>eir</w:t>
      </w:r>
      <w:r w:rsidR="003F56BA" w:rsidRPr="00C2514D">
        <w:rPr>
          <w:rFonts w:ascii="Arial" w:hAnsi="Arial" w:cs="Arial"/>
          <w:sz w:val="22"/>
          <w:szCs w:val="22"/>
          <w:lang w:val="en-US"/>
        </w:rPr>
        <w:t xml:space="preserve"> </w:t>
      </w:r>
      <w:r w:rsidR="003E44DD" w:rsidRPr="00C2514D">
        <w:rPr>
          <w:rFonts w:ascii="Arial" w:hAnsi="Arial" w:cs="Arial"/>
          <w:sz w:val="22"/>
          <w:szCs w:val="22"/>
          <w:lang w:val="en-US"/>
        </w:rPr>
        <w:t xml:space="preserve">contribution </w:t>
      </w:r>
      <w:r w:rsidR="003F56BA" w:rsidRPr="00C2514D">
        <w:rPr>
          <w:rFonts w:ascii="Arial" w:hAnsi="Arial" w:cs="Arial"/>
          <w:noProof/>
          <w:spacing w:val="-2"/>
          <w:sz w:val="22"/>
          <w:szCs w:val="22"/>
          <w:lang w:val="en-US" w:eastAsia="x-none"/>
        </w:rPr>
        <w:t xml:space="preserve">steramlines the concepts, the </w:t>
      </w:r>
      <w:r w:rsidR="003F56BA" w:rsidRPr="004904BD">
        <w:rPr>
          <w:rFonts w:ascii="Arial" w:hAnsi="Arial" w:cs="Arial"/>
          <w:noProof/>
          <w:spacing w:val="-2"/>
          <w:sz w:val="22"/>
          <w:szCs w:val="22"/>
          <w:lang w:val="en-US" w:eastAsia="x-none"/>
        </w:rPr>
        <w:t>rationale behind the elements of the NQI</w:t>
      </w:r>
      <w:r w:rsidR="001F184A" w:rsidRPr="004904BD">
        <w:rPr>
          <w:rFonts w:ascii="Arial" w:hAnsi="Arial" w:cs="Arial"/>
          <w:noProof/>
          <w:spacing w:val="-2"/>
          <w:sz w:val="22"/>
          <w:szCs w:val="22"/>
          <w:lang w:val="en-US" w:eastAsia="x-none"/>
        </w:rPr>
        <w:t xml:space="preserve">, </w:t>
      </w:r>
      <w:r w:rsidR="003F56BA" w:rsidRPr="004904BD">
        <w:rPr>
          <w:rFonts w:ascii="Arial" w:hAnsi="Arial" w:cs="Arial"/>
          <w:noProof/>
          <w:spacing w:val="-2"/>
          <w:sz w:val="22"/>
          <w:szCs w:val="22"/>
          <w:lang w:val="en-US" w:eastAsia="x-none"/>
        </w:rPr>
        <w:t>the connection between its actors</w:t>
      </w:r>
      <w:r w:rsidR="00546CB8" w:rsidRPr="004904BD">
        <w:rPr>
          <w:rFonts w:ascii="Arial" w:hAnsi="Arial" w:cs="Arial"/>
          <w:noProof/>
          <w:spacing w:val="-2"/>
          <w:sz w:val="22"/>
          <w:szCs w:val="22"/>
          <w:lang w:val="en-US" w:eastAsia="x-none"/>
        </w:rPr>
        <w:t xml:space="preserve"> (see Figure 1)</w:t>
      </w:r>
      <w:r w:rsidR="001F184A" w:rsidRPr="004904BD">
        <w:rPr>
          <w:rFonts w:ascii="Arial" w:hAnsi="Arial" w:cs="Arial"/>
          <w:noProof/>
          <w:spacing w:val="-2"/>
          <w:sz w:val="22"/>
          <w:szCs w:val="22"/>
          <w:lang w:val="en-US" w:eastAsia="x-none"/>
        </w:rPr>
        <w:t xml:space="preserve"> and it documents the economic effects of the adoption of standards (see Table </w:t>
      </w:r>
      <w:r w:rsidR="001E2A63" w:rsidRPr="004904BD">
        <w:rPr>
          <w:rFonts w:ascii="Arial" w:hAnsi="Arial" w:cs="Arial"/>
          <w:noProof/>
          <w:spacing w:val="-2"/>
          <w:sz w:val="22"/>
          <w:szCs w:val="22"/>
          <w:lang w:val="en-US" w:eastAsia="x-none"/>
        </w:rPr>
        <w:t>2</w:t>
      </w:r>
      <w:r w:rsidR="001F184A" w:rsidRPr="004904BD">
        <w:rPr>
          <w:rFonts w:ascii="Arial" w:hAnsi="Arial" w:cs="Arial"/>
          <w:noProof/>
          <w:spacing w:val="-2"/>
          <w:sz w:val="22"/>
          <w:szCs w:val="22"/>
          <w:lang w:val="en-US" w:eastAsia="x-none"/>
        </w:rPr>
        <w:t>)</w:t>
      </w:r>
      <w:r w:rsidR="00D90589" w:rsidRPr="004904BD">
        <w:rPr>
          <w:rFonts w:ascii="Arial" w:hAnsi="Arial" w:cs="Arial"/>
          <w:noProof/>
          <w:spacing w:val="-2"/>
          <w:sz w:val="22"/>
          <w:szCs w:val="22"/>
          <w:lang w:val="en-US" w:eastAsia="x-none"/>
        </w:rPr>
        <w:t>.</w:t>
      </w:r>
    </w:p>
    <w:p w:rsidR="00D90589" w:rsidRPr="00C2514D" w:rsidRDefault="00546CB8" w:rsidP="003E44DD">
      <w:pPr>
        <w:pStyle w:val="Paragraph"/>
        <w:numPr>
          <w:ilvl w:val="0"/>
          <w:numId w:val="0"/>
        </w:numPr>
        <w:jc w:val="center"/>
        <w:rPr>
          <w:rFonts w:ascii="Arial" w:hAnsi="Arial" w:cs="Arial"/>
          <w:noProof/>
          <w:spacing w:val="-2"/>
          <w:lang w:val="en-US"/>
        </w:rPr>
      </w:pPr>
      <w:r w:rsidRPr="004904BD">
        <w:rPr>
          <w:rFonts w:ascii="Arial" w:hAnsi="Arial" w:cs="Arial"/>
          <w:b/>
          <w:noProof/>
          <w:spacing w:val="-2"/>
          <w:sz w:val="22"/>
          <w:szCs w:val="22"/>
          <w:lang w:val="en-US" w:eastAsia="x-none"/>
        </w:rPr>
        <w:t>Figure 1. Schematic Representation of a National Quality</w:t>
      </w:r>
      <w:r w:rsidRPr="00C2514D">
        <w:rPr>
          <w:rFonts w:ascii="Arial" w:hAnsi="Arial" w:cs="Arial"/>
          <w:b/>
          <w:noProof/>
          <w:spacing w:val="-2"/>
          <w:sz w:val="22"/>
          <w:szCs w:val="22"/>
          <w:lang w:val="en-US" w:eastAsia="x-none"/>
        </w:rPr>
        <w:t xml:space="preserve"> System</w:t>
      </w:r>
    </w:p>
    <w:p w:rsidR="0092261B" w:rsidRPr="00C2514D" w:rsidRDefault="00B84F81" w:rsidP="00AB5A70">
      <w:pPr>
        <w:pStyle w:val="ColorfulList-Accent11"/>
        <w:ind w:left="360"/>
        <w:jc w:val="center"/>
        <w:rPr>
          <w:lang w:val="en-US"/>
        </w:rPr>
      </w:pPr>
      <w:r w:rsidRPr="00C2514D">
        <w:rPr>
          <w:noProof/>
          <w:lang w:val="en-US" w:eastAsia="en-US"/>
        </w:rPr>
        <w:drawing>
          <wp:inline distT="0" distB="0" distL="0" distR="0" wp14:anchorId="319F3653" wp14:editId="43F3D8A2">
            <wp:extent cx="4092522" cy="4304581"/>
            <wp:effectExtent l="0" t="0" r="381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100440" cy="4312909"/>
                    </a:xfrm>
                    <a:prstGeom prst="rect">
                      <a:avLst/>
                    </a:prstGeom>
                  </pic:spPr>
                </pic:pic>
              </a:graphicData>
            </a:graphic>
          </wp:inline>
        </w:drawing>
      </w:r>
    </w:p>
    <w:p w:rsidR="00546CB8" w:rsidRPr="00C2514D" w:rsidRDefault="00546CB8" w:rsidP="003E44DD">
      <w:pPr>
        <w:pStyle w:val="ColorfulList-Accent11"/>
        <w:ind w:left="0"/>
        <w:jc w:val="both"/>
        <w:rPr>
          <w:rFonts w:ascii="Arial" w:hAnsi="Arial" w:cs="Arial"/>
          <w:sz w:val="18"/>
          <w:lang w:val="en-US"/>
        </w:rPr>
      </w:pPr>
      <w:r w:rsidRPr="00C2514D">
        <w:rPr>
          <w:rFonts w:ascii="Arial" w:hAnsi="Arial" w:cs="Arial"/>
          <w:sz w:val="18"/>
          <w:lang w:val="en-US"/>
        </w:rPr>
        <w:t xml:space="preserve">Notes: </w:t>
      </w:r>
      <w:r w:rsidR="00CA3D0D" w:rsidRPr="00C2514D">
        <w:rPr>
          <w:rFonts w:ascii="Arial" w:hAnsi="Arial" w:cs="Arial"/>
          <w:sz w:val="18"/>
          <w:lang w:val="en-US"/>
        </w:rPr>
        <w:t xml:space="preserve">National standards bodies are organizations that bring together public and private stakeholders to develop official national standards. National Metrology Institutes establish a country’s national measurement system and maintain, develop, and diffuse measurement standards for basic units. National accreditation bodies give formal recognition that an organization (certification body, inspection body, testing laboratory or calibration laboratory) </w:t>
      </w:r>
      <w:r w:rsidR="00967B96" w:rsidRPr="00C2514D">
        <w:rPr>
          <w:rFonts w:ascii="Arial" w:hAnsi="Arial" w:cs="Arial"/>
          <w:sz w:val="18"/>
          <w:lang w:val="en-US"/>
        </w:rPr>
        <w:t>is competent to carry out its tasks.</w:t>
      </w:r>
      <w:r w:rsidR="00CA3D0D" w:rsidRPr="00C2514D">
        <w:rPr>
          <w:rFonts w:ascii="Arial" w:hAnsi="Arial" w:cs="Arial"/>
          <w:sz w:val="18"/>
          <w:lang w:val="en-US"/>
        </w:rPr>
        <w:t xml:space="preserve"> Certification bodies provide independent </w:t>
      </w:r>
      <w:r w:rsidRPr="00C2514D">
        <w:rPr>
          <w:rFonts w:ascii="Arial" w:hAnsi="Arial" w:cs="Arial"/>
          <w:sz w:val="18"/>
          <w:lang w:val="en-US"/>
        </w:rPr>
        <w:t>assurance that a product, service, system,</w:t>
      </w:r>
      <w:r w:rsidR="00CA3D0D" w:rsidRPr="00C2514D">
        <w:rPr>
          <w:rFonts w:ascii="Arial" w:hAnsi="Arial" w:cs="Arial"/>
          <w:sz w:val="18"/>
          <w:lang w:val="en-US"/>
        </w:rPr>
        <w:t xml:space="preserve"> </w:t>
      </w:r>
      <w:r w:rsidRPr="00C2514D">
        <w:rPr>
          <w:rFonts w:ascii="Arial" w:hAnsi="Arial" w:cs="Arial"/>
          <w:sz w:val="18"/>
          <w:lang w:val="en-US"/>
        </w:rPr>
        <w:t>process, or material conforms to one or more standards or specifications.</w:t>
      </w:r>
      <w:r w:rsidR="00CA3D0D" w:rsidRPr="00C2514D">
        <w:rPr>
          <w:rFonts w:ascii="Arial" w:hAnsi="Arial" w:cs="Arial"/>
          <w:sz w:val="18"/>
          <w:lang w:val="en-US"/>
        </w:rPr>
        <w:t xml:space="preserve"> Inspection bodies conduct visual supervision or revision to determine whether a product or process meets certain requirements. Testing laboratories determine the characteristics or performance of a product or process according to a specified procedure. Calibration laboratories determine the relationship between an instrument’s input and the magnitude or response of its output.</w:t>
      </w:r>
    </w:p>
    <w:p w:rsidR="00B84F81" w:rsidRPr="00C2514D" w:rsidRDefault="00CA3D0D" w:rsidP="003E44DD">
      <w:pPr>
        <w:pStyle w:val="ColorfulList-Accent11"/>
        <w:ind w:left="0"/>
        <w:jc w:val="both"/>
        <w:rPr>
          <w:rFonts w:ascii="Arial" w:hAnsi="Arial" w:cs="Arial"/>
          <w:lang w:val="en-US"/>
        </w:rPr>
      </w:pPr>
      <w:r w:rsidRPr="00C2514D">
        <w:rPr>
          <w:rFonts w:ascii="Arial" w:hAnsi="Arial" w:cs="Arial"/>
          <w:sz w:val="18"/>
          <w:lang w:val="en-US"/>
        </w:rPr>
        <w:t>Source: Guash et al (2007)</w:t>
      </w:r>
      <w:r w:rsidR="006A42FE">
        <w:rPr>
          <w:rFonts w:ascii="Arial" w:hAnsi="Arial" w:cs="Arial"/>
          <w:sz w:val="18"/>
          <w:lang w:val="en-US"/>
        </w:rPr>
        <w:t>.</w:t>
      </w:r>
      <w:r w:rsidRPr="00C2514D">
        <w:rPr>
          <w:rFonts w:ascii="Arial" w:hAnsi="Arial" w:cs="Arial"/>
          <w:sz w:val="18"/>
          <w:lang w:val="en-US"/>
        </w:rPr>
        <w:t xml:space="preserve"> </w:t>
      </w:r>
      <w:r w:rsidR="00B84F81" w:rsidRPr="00C2514D">
        <w:rPr>
          <w:rFonts w:ascii="Arial" w:hAnsi="Arial" w:cs="Arial"/>
          <w:lang w:val="en-US"/>
        </w:rPr>
        <w:br w:type="page"/>
      </w:r>
    </w:p>
    <w:p w:rsidR="003E44DD" w:rsidRPr="00C2514D" w:rsidRDefault="003E44DD" w:rsidP="003E44DD">
      <w:pPr>
        <w:pStyle w:val="Paragraph"/>
        <w:numPr>
          <w:ilvl w:val="0"/>
          <w:numId w:val="0"/>
        </w:numPr>
        <w:jc w:val="center"/>
        <w:rPr>
          <w:rFonts w:ascii="Arial" w:hAnsi="Arial" w:cs="Arial"/>
          <w:b/>
          <w:noProof/>
          <w:spacing w:val="-2"/>
          <w:sz w:val="22"/>
          <w:szCs w:val="22"/>
          <w:lang w:val="en-US" w:eastAsia="x-none"/>
        </w:rPr>
      </w:pPr>
      <w:r w:rsidRPr="004904BD">
        <w:rPr>
          <w:rFonts w:ascii="Arial" w:hAnsi="Arial" w:cs="Arial"/>
          <w:b/>
          <w:noProof/>
          <w:spacing w:val="-2"/>
          <w:sz w:val="22"/>
          <w:szCs w:val="22"/>
          <w:lang w:val="en-US" w:eastAsia="x-none"/>
        </w:rPr>
        <w:lastRenderedPageBreak/>
        <w:t xml:space="preserve">Table </w:t>
      </w:r>
      <w:r w:rsidR="001E2A63" w:rsidRPr="004904BD">
        <w:rPr>
          <w:rFonts w:ascii="Arial" w:hAnsi="Arial" w:cs="Arial"/>
          <w:b/>
          <w:noProof/>
          <w:spacing w:val="-2"/>
          <w:sz w:val="22"/>
          <w:szCs w:val="22"/>
          <w:lang w:val="en-US" w:eastAsia="x-none"/>
        </w:rPr>
        <w:t>2</w:t>
      </w:r>
      <w:r w:rsidRPr="004904BD">
        <w:rPr>
          <w:rFonts w:ascii="Arial" w:hAnsi="Arial" w:cs="Arial"/>
          <w:b/>
          <w:noProof/>
          <w:spacing w:val="-2"/>
          <w:sz w:val="22"/>
          <w:szCs w:val="22"/>
          <w:lang w:val="en-US" w:eastAsia="x-none"/>
        </w:rPr>
        <w:t>. The Economic</w:t>
      </w:r>
      <w:r w:rsidRPr="00C2514D">
        <w:rPr>
          <w:rFonts w:ascii="Arial" w:hAnsi="Arial" w:cs="Arial"/>
          <w:b/>
          <w:noProof/>
          <w:spacing w:val="-2"/>
          <w:sz w:val="22"/>
          <w:szCs w:val="22"/>
          <w:lang w:val="en-US" w:eastAsia="x-none"/>
        </w:rPr>
        <w:t xml:space="preserve"> Effects of Standards According to Their Function</w:t>
      </w:r>
    </w:p>
    <w:tbl>
      <w:tblPr>
        <w:tblStyle w:val="TableGrid"/>
        <w:tblW w:w="0" w:type="auto"/>
        <w:tblLook w:val="04A0" w:firstRow="1" w:lastRow="0" w:firstColumn="1" w:lastColumn="0" w:noHBand="0" w:noVBand="1"/>
      </w:tblPr>
      <w:tblGrid>
        <w:gridCol w:w="1565"/>
        <w:gridCol w:w="1215"/>
        <w:gridCol w:w="1215"/>
        <w:gridCol w:w="1215"/>
        <w:gridCol w:w="1215"/>
        <w:gridCol w:w="1215"/>
        <w:gridCol w:w="1216"/>
      </w:tblGrid>
      <w:tr w:rsidR="003E44DD" w:rsidRPr="00C2514D" w:rsidTr="00C04142">
        <w:trPr>
          <w:trHeight w:hRule="exact" w:val="346"/>
        </w:trPr>
        <w:tc>
          <w:tcPr>
            <w:tcW w:w="1565" w:type="dxa"/>
            <w:vAlign w:val="center"/>
          </w:tcPr>
          <w:p w:rsidR="003E44DD" w:rsidRPr="00C2514D" w:rsidRDefault="003E44DD" w:rsidP="00C04142">
            <w:pPr>
              <w:pStyle w:val="Paragraph"/>
              <w:numPr>
                <w:ilvl w:val="0"/>
                <w:numId w:val="0"/>
              </w:numPr>
              <w:jc w:val="center"/>
              <w:rPr>
                <w:rFonts w:ascii="Arial" w:hAnsi="Arial" w:cs="Arial"/>
                <w:noProof/>
                <w:spacing w:val="-2"/>
                <w:sz w:val="18"/>
                <w:szCs w:val="18"/>
                <w:lang w:val="en-US"/>
              </w:rPr>
            </w:pPr>
          </w:p>
        </w:tc>
        <w:tc>
          <w:tcPr>
            <w:tcW w:w="4860" w:type="dxa"/>
            <w:gridSpan w:val="4"/>
            <w:vAlign w:val="center"/>
          </w:tcPr>
          <w:p w:rsidR="003E44DD" w:rsidRPr="00C2514D" w:rsidRDefault="003E44DD" w:rsidP="00C04142">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Positive Effects</w:t>
            </w:r>
          </w:p>
        </w:tc>
        <w:tc>
          <w:tcPr>
            <w:tcW w:w="2431" w:type="dxa"/>
            <w:gridSpan w:val="2"/>
            <w:vAlign w:val="center"/>
          </w:tcPr>
          <w:p w:rsidR="003E44DD" w:rsidRPr="00C2514D" w:rsidRDefault="003E44DD" w:rsidP="00C04142">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Negative Effects</w:t>
            </w:r>
          </w:p>
        </w:tc>
      </w:tr>
      <w:tr w:rsidR="003E44DD" w:rsidRPr="00C2514D" w:rsidTr="00932E80">
        <w:tc>
          <w:tcPr>
            <w:tcW w:w="1565" w:type="dxa"/>
          </w:tcPr>
          <w:p w:rsidR="003E44DD" w:rsidRPr="00C2514D" w:rsidRDefault="003E44DD" w:rsidP="00932E80">
            <w:pPr>
              <w:pStyle w:val="Paragraph"/>
              <w:numPr>
                <w:ilvl w:val="0"/>
                <w:numId w:val="0"/>
              </w:numPr>
              <w:rPr>
                <w:rFonts w:ascii="Arial" w:hAnsi="Arial" w:cs="Arial"/>
                <w:noProof/>
                <w:spacing w:val="-2"/>
                <w:sz w:val="18"/>
                <w:szCs w:val="18"/>
                <w:lang w:val="en-US"/>
              </w:rPr>
            </w:pPr>
            <w:r w:rsidRPr="00C2514D">
              <w:rPr>
                <w:rFonts w:ascii="Arial" w:hAnsi="Arial" w:cs="Arial"/>
                <w:noProof/>
                <w:spacing w:val="-2"/>
                <w:sz w:val="18"/>
                <w:szCs w:val="18"/>
                <w:lang w:val="en-US"/>
              </w:rPr>
              <w:t>Function</w:t>
            </w:r>
          </w:p>
        </w:tc>
        <w:tc>
          <w:tcPr>
            <w:tcW w:w="1215" w:type="dxa"/>
          </w:tcPr>
          <w:p w:rsidR="003E44DD" w:rsidRPr="00C2514D" w:rsidRDefault="003E44DD" w:rsidP="00932E80">
            <w:pPr>
              <w:autoSpaceDE w:val="0"/>
              <w:autoSpaceDN w:val="0"/>
              <w:adjustRightInd w:val="0"/>
              <w:jc w:val="center"/>
              <w:rPr>
                <w:rFonts w:ascii="Arial" w:eastAsiaTheme="minorHAnsi" w:hAnsi="Arial" w:cs="Arial"/>
                <w:iCs/>
                <w:color w:val="231F20"/>
                <w:spacing w:val="0"/>
                <w:sz w:val="18"/>
                <w:szCs w:val="18"/>
                <w:lang w:val="en-US"/>
              </w:rPr>
            </w:pPr>
            <w:r w:rsidRPr="00C2514D">
              <w:rPr>
                <w:rFonts w:ascii="Arial" w:eastAsiaTheme="minorHAnsi" w:hAnsi="Arial" w:cs="Arial"/>
                <w:iCs/>
                <w:color w:val="231F20"/>
                <w:spacing w:val="0"/>
                <w:sz w:val="18"/>
                <w:szCs w:val="18"/>
                <w:lang w:val="en-US"/>
              </w:rPr>
              <w:t>Exploitation</w:t>
            </w:r>
          </w:p>
          <w:p w:rsidR="003E44DD" w:rsidRPr="00C2514D" w:rsidRDefault="003E44DD" w:rsidP="00932E80">
            <w:pPr>
              <w:autoSpaceDE w:val="0"/>
              <w:autoSpaceDN w:val="0"/>
              <w:adjustRightInd w:val="0"/>
              <w:jc w:val="center"/>
              <w:rPr>
                <w:rFonts w:ascii="Arial" w:eastAsiaTheme="minorHAnsi" w:hAnsi="Arial" w:cs="Arial"/>
                <w:iCs/>
                <w:color w:val="231F20"/>
                <w:spacing w:val="0"/>
                <w:sz w:val="18"/>
                <w:szCs w:val="18"/>
                <w:lang w:val="en-US"/>
              </w:rPr>
            </w:pPr>
            <w:r w:rsidRPr="00C2514D">
              <w:rPr>
                <w:rFonts w:ascii="Arial" w:eastAsiaTheme="minorHAnsi" w:hAnsi="Arial" w:cs="Arial"/>
                <w:iCs/>
                <w:color w:val="231F20"/>
                <w:spacing w:val="0"/>
                <w:sz w:val="18"/>
                <w:szCs w:val="18"/>
                <w:lang w:val="en-US"/>
              </w:rPr>
              <w:t>of network effects</w:t>
            </w:r>
          </w:p>
        </w:tc>
        <w:tc>
          <w:tcPr>
            <w:tcW w:w="1215" w:type="dxa"/>
          </w:tcPr>
          <w:p w:rsidR="003E44DD" w:rsidRPr="00C2514D" w:rsidRDefault="003E44DD" w:rsidP="00932E80">
            <w:pPr>
              <w:autoSpaceDE w:val="0"/>
              <w:autoSpaceDN w:val="0"/>
              <w:adjustRightInd w:val="0"/>
              <w:jc w:val="center"/>
              <w:rPr>
                <w:rFonts w:ascii="Arial" w:eastAsiaTheme="minorHAnsi" w:hAnsi="Arial" w:cs="Arial"/>
                <w:iCs/>
                <w:color w:val="231F20"/>
                <w:spacing w:val="0"/>
                <w:sz w:val="18"/>
                <w:szCs w:val="18"/>
                <w:lang w:val="en-US"/>
              </w:rPr>
            </w:pPr>
            <w:r w:rsidRPr="00C2514D">
              <w:rPr>
                <w:rFonts w:ascii="Arial" w:eastAsiaTheme="minorHAnsi" w:hAnsi="Arial" w:cs="Arial"/>
                <w:iCs/>
                <w:color w:val="231F20"/>
                <w:spacing w:val="0"/>
                <w:sz w:val="18"/>
                <w:szCs w:val="18"/>
                <w:lang w:val="en-US"/>
              </w:rPr>
              <w:t>Innovative</w:t>
            </w:r>
          </w:p>
          <w:p w:rsidR="003E44DD" w:rsidRPr="00C2514D" w:rsidRDefault="003E44DD" w:rsidP="00932E80">
            <w:pPr>
              <w:autoSpaceDE w:val="0"/>
              <w:autoSpaceDN w:val="0"/>
              <w:adjustRightInd w:val="0"/>
              <w:jc w:val="center"/>
              <w:rPr>
                <w:rFonts w:ascii="Arial" w:eastAsiaTheme="minorHAnsi" w:hAnsi="Arial" w:cs="Arial"/>
                <w:iCs/>
                <w:color w:val="231F20"/>
                <w:spacing w:val="0"/>
                <w:sz w:val="18"/>
                <w:szCs w:val="18"/>
                <w:lang w:val="en-US"/>
              </w:rPr>
            </w:pPr>
            <w:r w:rsidRPr="00C2514D">
              <w:rPr>
                <w:rFonts w:ascii="Arial" w:eastAsiaTheme="minorHAnsi" w:hAnsi="Arial" w:cs="Arial"/>
                <w:iCs/>
                <w:color w:val="231F20"/>
                <w:spacing w:val="0"/>
                <w:sz w:val="18"/>
                <w:szCs w:val="18"/>
                <w:lang w:val="en-US"/>
              </w:rPr>
              <w:t>and</w:t>
            </w:r>
          </w:p>
          <w:p w:rsidR="003E44DD" w:rsidRPr="00C2514D" w:rsidRDefault="003E44DD" w:rsidP="00932E80">
            <w:pPr>
              <w:autoSpaceDE w:val="0"/>
              <w:autoSpaceDN w:val="0"/>
              <w:adjustRightInd w:val="0"/>
              <w:jc w:val="center"/>
              <w:rPr>
                <w:rFonts w:ascii="Arial" w:eastAsiaTheme="minorHAnsi" w:hAnsi="Arial" w:cs="Arial"/>
                <w:iCs/>
                <w:color w:val="231F20"/>
                <w:spacing w:val="0"/>
                <w:sz w:val="18"/>
                <w:szCs w:val="18"/>
                <w:lang w:val="en-US"/>
              </w:rPr>
            </w:pPr>
            <w:r w:rsidRPr="00C2514D">
              <w:rPr>
                <w:rFonts w:ascii="Arial" w:eastAsiaTheme="minorHAnsi" w:hAnsi="Arial" w:cs="Arial"/>
                <w:iCs/>
                <w:color w:val="231F20"/>
                <w:spacing w:val="0"/>
                <w:sz w:val="18"/>
                <w:szCs w:val="18"/>
                <w:lang w:val="en-US"/>
              </w:rPr>
              <w:t>productive efficiency</w:t>
            </w:r>
          </w:p>
        </w:tc>
        <w:tc>
          <w:tcPr>
            <w:tcW w:w="1215" w:type="dxa"/>
          </w:tcPr>
          <w:p w:rsidR="003E44DD" w:rsidRPr="00C2514D" w:rsidRDefault="003E44DD" w:rsidP="00932E80">
            <w:pPr>
              <w:autoSpaceDE w:val="0"/>
              <w:autoSpaceDN w:val="0"/>
              <w:adjustRightInd w:val="0"/>
              <w:jc w:val="center"/>
              <w:rPr>
                <w:rFonts w:ascii="Arial" w:eastAsiaTheme="minorHAnsi" w:hAnsi="Arial" w:cs="Arial"/>
                <w:iCs/>
                <w:color w:val="231F20"/>
                <w:spacing w:val="0"/>
                <w:sz w:val="18"/>
                <w:szCs w:val="18"/>
                <w:lang w:val="en-US"/>
              </w:rPr>
            </w:pPr>
            <w:r w:rsidRPr="00C2514D">
              <w:rPr>
                <w:rFonts w:ascii="Arial" w:eastAsiaTheme="minorHAnsi" w:hAnsi="Arial" w:cs="Arial"/>
                <w:iCs/>
                <w:color w:val="231F20"/>
                <w:spacing w:val="0"/>
                <w:sz w:val="18"/>
                <w:szCs w:val="18"/>
                <w:lang w:val="en-US"/>
              </w:rPr>
              <w:t>Reduction</w:t>
            </w:r>
          </w:p>
          <w:p w:rsidR="003E44DD" w:rsidRPr="00C2514D" w:rsidRDefault="003E44DD" w:rsidP="00932E80">
            <w:pPr>
              <w:autoSpaceDE w:val="0"/>
              <w:autoSpaceDN w:val="0"/>
              <w:adjustRightInd w:val="0"/>
              <w:jc w:val="center"/>
              <w:rPr>
                <w:rFonts w:ascii="Arial" w:eastAsiaTheme="minorHAnsi" w:hAnsi="Arial" w:cs="Arial"/>
                <w:iCs/>
                <w:color w:val="231F20"/>
                <w:spacing w:val="0"/>
                <w:sz w:val="18"/>
                <w:szCs w:val="18"/>
                <w:lang w:val="en-US"/>
              </w:rPr>
            </w:pPr>
            <w:r w:rsidRPr="00C2514D">
              <w:rPr>
                <w:rFonts w:ascii="Arial" w:eastAsiaTheme="minorHAnsi" w:hAnsi="Arial" w:cs="Arial"/>
                <w:iCs/>
                <w:color w:val="231F20"/>
                <w:spacing w:val="0"/>
                <w:sz w:val="18"/>
                <w:szCs w:val="18"/>
                <w:lang w:val="en-US"/>
              </w:rPr>
              <w:t>of imperfect information</w:t>
            </w:r>
          </w:p>
          <w:p w:rsidR="003E44DD" w:rsidRPr="00C2514D" w:rsidRDefault="003E44DD" w:rsidP="00932E80">
            <w:pPr>
              <w:tabs>
                <w:tab w:val="left" w:pos="815"/>
              </w:tabs>
              <w:jc w:val="center"/>
              <w:rPr>
                <w:rFonts w:ascii="Arial" w:hAnsi="Arial" w:cs="Arial"/>
                <w:sz w:val="18"/>
                <w:szCs w:val="18"/>
                <w:lang w:val="en-US"/>
              </w:rPr>
            </w:pPr>
          </w:p>
        </w:tc>
        <w:tc>
          <w:tcPr>
            <w:tcW w:w="1215" w:type="dxa"/>
          </w:tcPr>
          <w:p w:rsidR="003E44DD" w:rsidRPr="00C2514D" w:rsidRDefault="003E44DD" w:rsidP="00932E80">
            <w:pPr>
              <w:autoSpaceDE w:val="0"/>
              <w:autoSpaceDN w:val="0"/>
              <w:adjustRightInd w:val="0"/>
              <w:jc w:val="center"/>
              <w:rPr>
                <w:rFonts w:ascii="Arial" w:eastAsiaTheme="minorHAnsi" w:hAnsi="Arial" w:cs="Arial"/>
                <w:iCs/>
                <w:color w:val="231F20"/>
                <w:spacing w:val="0"/>
                <w:sz w:val="18"/>
                <w:szCs w:val="18"/>
                <w:lang w:val="en-US"/>
              </w:rPr>
            </w:pPr>
            <w:r w:rsidRPr="00C2514D">
              <w:rPr>
                <w:rFonts w:ascii="Arial" w:eastAsiaTheme="minorHAnsi" w:hAnsi="Arial" w:cs="Arial"/>
                <w:iCs/>
                <w:color w:val="231F20"/>
                <w:spacing w:val="0"/>
                <w:sz w:val="18"/>
                <w:szCs w:val="18"/>
                <w:lang w:val="en-US"/>
              </w:rPr>
              <w:t>Innovation diffusion</w:t>
            </w:r>
          </w:p>
        </w:tc>
        <w:tc>
          <w:tcPr>
            <w:tcW w:w="1215" w:type="dxa"/>
          </w:tcPr>
          <w:p w:rsidR="003E44DD" w:rsidRPr="00C2514D" w:rsidRDefault="003E44DD" w:rsidP="00932E80">
            <w:pPr>
              <w:autoSpaceDE w:val="0"/>
              <w:autoSpaceDN w:val="0"/>
              <w:adjustRightInd w:val="0"/>
              <w:jc w:val="center"/>
              <w:rPr>
                <w:rFonts w:ascii="Arial" w:eastAsiaTheme="minorHAnsi" w:hAnsi="Arial" w:cs="Arial"/>
                <w:iCs/>
                <w:color w:val="231F20"/>
                <w:spacing w:val="0"/>
                <w:sz w:val="18"/>
                <w:szCs w:val="18"/>
                <w:lang w:val="en-US"/>
              </w:rPr>
            </w:pPr>
            <w:r w:rsidRPr="00C2514D">
              <w:rPr>
                <w:rFonts w:ascii="Arial" w:eastAsiaTheme="minorHAnsi" w:hAnsi="Arial" w:cs="Arial"/>
                <w:iCs/>
                <w:color w:val="231F20"/>
                <w:spacing w:val="0"/>
                <w:sz w:val="18"/>
                <w:szCs w:val="18"/>
                <w:lang w:val="en-US"/>
              </w:rPr>
              <w:t>Constraints on innovation</w:t>
            </w:r>
          </w:p>
        </w:tc>
        <w:tc>
          <w:tcPr>
            <w:tcW w:w="1216" w:type="dxa"/>
          </w:tcPr>
          <w:p w:rsidR="003E44DD" w:rsidRPr="00C2514D" w:rsidRDefault="003E44DD" w:rsidP="00932E80">
            <w:pPr>
              <w:autoSpaceDE w:val="0"/>
              <w:autoSpaceDN w:val="0"/>
              <w:adjustRightInd w:val="0"/>
              <w:jc w:val="center"/>
              <w:rPr>
                <w:rFonts w:ascii="Arial" w:eastAsiaTheme="minorHAnsi" w:hAnsi="Arial" w:cs="Arial"/>
                <w:iCs/>
                <w:color w:val="231F20"/>
                <w:spacing w:val="0"/>
                <w:sz w:val="18"/>
                <w:szCs w:val="18"/>
                <w:lang w:val="en-US"/>
              </w:rPr>
            </w:pPr>
            <w:r w:rsidRPr="00C2514D">
              <w:rPr>
                <w:rFonts w:ascii="Arial" w:eastAsiaTheme="minorHAnsi" w:hAnsi="Arial" w:cs="Arial"/>
                <w:iCs/>
                <w:color w:val="231F20"/>
                <w:spacing w:val="0"/>
                <w:sz w:val="18"/>
                <w:szCs w:val="18"/>
                <w:lang w:val="en-US"/>
              </w:rPr>
              <w:t>Constraints on competition</w:t>
            </w:r>
          </w:p>
        </w:tc>
      </w:tr>
      <w:tr w:rsidR="003E44DD" w:rsidRPr="00C2514D" w:rsidTr="00C04142">
        <w:trPr>
          <w:trHeight w:hRule="exact" w:val="496"/>
        </w:trPr>
        <w:tc>
          <w:tcPr>
            <w:tcW w:w="1565" w:type="dxa"/>
          </w:tcPr>
          <w:p w:rsidR="003E44DD" w:rsidRPr="00C2514D" w:rsidRDefault="003E44DD" w:rsidP="00932E80">
            <w:pPr>
              <w:pStyle w:val="Paragraph"/>
              <w:numPr>
                <w:ilvl w:val="0"/>
                <w:numId w:val="0"/>
              </w:numPr>
              <w:rPr>
                <w:rFonts w:ascii="Arial" w:hAnsi="Arial" w:cs="Arial"/>
                <w:noProof/>
                <w:spacing w:val="-2"/>
                <w:sz w:val="18"/>
                <w:szCs w:val="18"/>
                <w:lang w:val="en-US"/>
              </w:rPr>
            </w:pPr>
            <w:r w:rsidRPr="00C2514D">
              <w:rPr>
                <w:rFonts w:ascii="Arial" w:hAnsi="Arial" w:cs="Arial"/>
                <w:noProof/>
                <w:spacing w:val="-2"/>
                <w:sz w:val="18"/>
                <w:szCs w:val="18"/>
                <w:lang w:val="en-US"/>
              </w:rPr>
              <w:t>Compatibility and interface</w:t>
            </w: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c>
          <w:tcPr>
            <w:tcW w:w="1216"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r>
      <w:tr w:rsidR="003E44DD" w:rsidRPr="00C2514D" w:rsidTr="00C04142">
        <w:trPr>
          <w:trHeight w:hRule="exact" w:val="532"/>
        </w:trPr>
        <w:tc>
          <w:tcPr>
            <w:tcW w:w="1565" w:type="dxa"/>
          </w:tcPr>
          <w:p w:rsidR="003E44DD" w:rsidRPr="00C2514D" w:rsidRDefault="003E44DD" w:rsidP="00932E80">
            <w:pPr>
              <w:pStyle w:val="Paragraph"/>
              <w:numPr>
                <w:ilvl w:val="0"/>
                <w:numId w:val="0"/>
              </w:numPr>
              <w:rPr>
                <w:rFonts w:ascii="Arial" w:hAnsi="Arial" w:cs="Arial"/>
                <w:noProof/>
                <w:spacing w:val="-2"/>
                <w:sz w:val="18"/>
                <w:szCs w:val="18"/>
                <w:lang w:val="en-US"/>
              </w:rPr>
            </w:pPr>
            <w:r w:rsidRPr="00C2514D">
              <w:rPr>
                <w:rFonts w:ascii="Arial" w:hAnsi="Arial" w:cs="Arial"/>
                <w:noProof/>
                <w:spacing w:val="-2"/>
                <w:sz w:val="18"/>
                <w:szCs w:val="18"/>
                <w:lang w:val="en-US"/>
              </w:rPr>
              <w:t>Minimum quality and safety</w:t>
            </w: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c>
          <w:tcPr>
            <w:tcW w:w="1216"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r>
      <w:tr w:rsidR="003E44DD" w:rsidRPr="00C2514D" w:rsidTr="00C04142">
        <w:trPr>
          <w:trHeight w:hRule="exact" w:val="361"/>
        </w:trPr>
        <w:tc>
          <w:tcPr>
            <w:tcW w:w="1565" w:type="dxa"/>
          </w:tcPr>
          <w:p w:rsidR="003E44DD" w:rsidRPr="00C2514D" w:rsidRDefault="003E44DD" w:rsidP="00932E80">
            <w:pPr>
              <w:pStyle w:val="Paragraph"/>
              <w:numPr>
                <w:ilvl w:val="0"/>
                <w:numId w:val="0"/>
              </w:numPr>
              <w:rPr>
                <w:rFonts w:ascii="Arial" w:hAnsi="Arial" w:cs="Arial"/>
                <w:noProof/>
                <w:spacing w:val="-2"/>
                <w:sz w:val="18"/>
                <w:szCs w:val="18"/>
                <w:lang w:val="en-US"/>
              </w:rPr>
            </w:pPr>
            <w:r w:rsidRPr="00C2514D">
              <w:rPr>
                <w:rFonts w:ascii="Arial" w:hAnsi="Arial" w:cs="Arial"/>
                <w:noProof/>
                <w:spacing w:val="-2"/>
                <w:sz w:val="18"/>
                <w:szCs w:val="18"/>
                <w:lang w:val="en-US"/>
              </w:rPr>
              <w:t>Variety reduction</w:t>
            </w: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c>
          <w:tcPr>
            <w:tcW w:w="1216"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r>
      <w:tr w:rsidR="003E44DD" w:rsidRPr="00C2514D" w:rsidTr="00C04142">
        <w:trPr>
          <w:trHeight w:hRule="exact" w:val="532"/>
        </w:trPr>
        <w:tc>
          <w:tcPr>
            <w:tcW w:w="1565" w:type="dxa"/>
          </w:tcPr>
          <w:p w:rsidR="003E44DD" w:rsidRPr="00C2514D" w:rsidRDefault="003E44DD" w:rsidP="00932E80">
            <w:pPr>
              <w:pStyle w:val="Paragraph"/>
              <w:numPr>
                <w:ilvl w:val="0"/>
                <w:numId w:val="0"/>
              </w:numPr>
              <w:rPr>
                <w:rFonts w:ascii="Arial" w:hAnsi="Arial" w:cs="Arial"/>
                <w:noProof/>
                <w:spacing w:val="-2"/>
                <w:sz w:val="18"/>
                <w:szCs w:val="18"/>
                <w:lang w:val="en-US"/>
              </w:rPr>
            </w:pPr>
            <w:r w:rsidRPr="00C2514D">
              <w:rPr>
                <w:rFonts w:ascii="Arial" w:hAnsi="Arial" w:cs="Arial"/>
                <w:noProof/>
                <w:spacing w:val="-2"/>
                <w:sz w:val="18"/>
                <w:szCs w:val="18"/>
                <w:lang w:val="en-US"/>
              </w:rPr>
              <w:t>Information and reference</w:t>
            </w: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c>
          <w:tcPr>
            <w:tcW w:w="1215"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c>
          <w:tcPr>
            <w:tcW w:w="1216" w:type="dxa"/>
          </w:tcPr>
          <w:p w:rsidR="003E44DD" w:rsidRPr="00C2514D" w:rsidRDefault="003E44DD" w:rsidP="00932E80">
            <w:pPr>
              <w:pStyle w:val="Paragraph"/>
              <w:numPr>
                <w:ilvl w:val="0"/>
                <w:numId w:val="0"/>
              </w:numPr>
              <w:jc w:val="center"/>
              <w:rPr>
                <w:rFonts w:ascii="Arial" w:hAnsi="Arial" w:cs="Arial"/>
                <w:noProof/>
                <w:spacing w:val="-2"/>
                <w:sz w:val="18"/>
                <w:szCs w:val="18"/>
                <w:lang w:val="en-US"/>
              </w:rPr>
            </w:pPr>
            <w:r w:rsidRPr="00C2514D">
              <w:rPr>
                <w:rFonts w:ascii="Arial" w:hAnsi="Arial" w:cs="Arial"/>
                <w:noProof/>
                <w:spacing w:val="-2"/>
                <w:sz w:val="18"/>
                <w:szCs w:val="18"/>
                <w:lang w:val="en-US"/>
              </w:rPr>
              <w:t>X</w:t>
            </w:r>
          </w:p>
        </w:tc>
      </w:tr>
    </w:tbl>
    <w:p w:rsidR="003E44DD" w:rsidRPr="00C2514D" w:rsidRDefault="003E44DD" w:rsidP="003E44DD">
      <w:pPr>
        <w:pStyle w:val="Paragraph"/>
        <w:numPr>
          <w:ilvl w:val="0"/>
          <w:numId w:val="0"/>
        </w:numPr>
        <w:ind w:left="720"/>
        <w:rPr>
          <w:rFonts w:ascii="Arial" w:hAnsi="Arial" w:cs="Arial"/>
          <w:noProof/>
          <w:spacing w:val="-2"/>
          <w:sz w:val="18"/>
          <w:lang w:val="en-US"/>
        </w:rPr>
      </w:pPr>
      <w:r w:rsidRPr="00C2514D">
        <w:rPr>
          <w:rFonts w:ascii="Arial" w:hAnsi="Arial" w:cs="Arial"/>
          <w:sz w:val="18"/>
          <w:lang w:val="en-US"/>
        </w:rPr>
        <w:t xml:space="preserve">Source: Guash et al (2007) </w:t>
      </w:r>
    </w:p>
    <w:p w:rsidR="00D8483D" w:rsidRPr="00C2514D" w:rsidRDefault="00C10645" w:rsidP="00507B7D">
      <w:pPr>
        <w:pStyle w:val="Paragraph"/>
        <w:tabs>
          <w:tab w:val="clear" w:pos="1296"/>
          <w:tab w:val="num" w:pos="720"/>
        </w:tabs>
        <w:ind w:left="720" w:hanging="720"/>
        <w:rPr>
          <w:rFonts w:ascii="Arial" w:hAnsi="Arial" w:cs="Arial"/>
          <w:noProof/>
          <w:spacing w:val="-2"/>
          <w:lang w:val="en-US"/>
        </w:rPr>
      </w:pPr>
      <w:r w:rsidRPr="00C2514D">
        <w:rPr>
          <w:rFonts w:ascii="Arial" w:hAnsi="Arial" w:cs="Arial"/>
          <w:noProof/>
          <w:spacing w:val="-2"/>
          <w:sz w:val="22"/>
          <w:szCs w:val="22"/>
          <w:lang w:val="en-US" w:eastAsia="x-none"/>
        </w:rPr>
        <w:t xml:space="preserve">Chapter 2 of </w:t>
      </w:r>
      <w:r w:rsidR="00DC2139" w:rsidRPr="00C2514D">
        <w:rPr>
          <w:rFonts w:ascii="Arial" w:hAnsi="Arial" w:cs="Arial"/>
          <w:noProof/>
          <w:spacing w:val="-2"/>
          <w:sz w:val="22"/>
          <w:szCs w:val="22"/>
          <w:lang w:val="en-US" w:eastAsia="x-none"/>
        </w:rPr>
        <w:t>Guash et al (2007)</w:t>
      </w:r>
      <w:r w:rsidR="00686C58" w:rsidRPr="00C2514D">
        <w:rPr>
          <w:rFonts w:ascii="Arial" w:hAnsi="Arial" w:cs="Arial"/>
          <w:noProof/>
          <w:spacing w:val="-2"/>
          <w:sz w:val="22"/>
          <w:szCs w:val="22"/>
          <w:lang w:val="en-US" w:eastAsia="x-none"/>
        </w:rPr>
        <w:t>,</w:t>
      </w:r>
      <w:r w:rsidRPr="00C2514D">
        <w:rPr>
          <w:rFonts w:ascii="Arial" w:hAnsi="Arial" w:cs="Arial"/>
          <w:noProof/>
          <w:spacing w:val="-2"/>
          <w:sz w:val="22"/>
          <w:szCs w:val="22"/>
          <w:lang w:val="en-US" w:eastAsia="x-none"/>
        </w:rPr>
        <w:t xml:space="preserve"> “Economic Impact and Effect of Quality and Standards”</w:t>
      </w:r>
      <w:r w:rsidR="00686C58" w:rsidRPr="00C2514D">
        <w:rPr>
          <w:rFonts w:ascii="Arial" w:hAnsi="Arial" w:cs="Arial"/>
          <w:noProof/>
          <w:spacing w:val="-2"/>
          <w:sz w:val="22"/>
          <w:szCs w:val="22"/>
          <w:lang w:val="en-US" w:eastAsia="x-none"/>
        </w:rPr>
        <w:t>,</w:t>
      </w:r>
      <w:r w:rsidR="009B4DA4" w:rsidRPr="00C2514D">
        <w:rPr>
          <w:rFonts w:ascii="Arial" w:hAnsi="Arial" w:cs="Arial"/>
          <w:noProof/>
          <w:spacing w:val="-2"/>
          <w:sz w:val="22"/>
          <w:szCs w:val="22"/>
          <w:lang w:val="en-US" w:eastAsia="x-none"/>
        </w:rPr>
        <w:t xml:space="preserve"> offers a comprehensive review of the literature on this matter. </w:t>
      </w:r>
      <w:r w:rsidR="006975A0" w:rsidRPr="00C2514D">
        <w:rPr>
          <w:rFonts w:ascii="Arial" w:hAnsi="Arial" w:cs="Arial"/>
          <w:noProof/>
          <w:spacing w:val="-2"/>
          <w:sz w:val="22"/>
          <w:szCs w:val="22"/>
          <w:lang w:val="en-US" w:eastAsia="x-none"/>
        </w:rPr>
        <w:t xml:space="preserve">Following </w:t>
      </w:r>
      <w:r w:rsidR="009B4DA4" w:rsidRPr="00C2514D">
        <w:rPr>
          <w:rFonts w:ascii="Arial" w:hAnsi="Arial" w:cs="Arial"/>
          <w:noProof/>
          <w:spacing w:val="-2"/>
          <w:sz w:val="22"/>
          <w:szCs w:val="22"/>
          <w:lang w:val="en-US" w:eastAsia="x-none"/>
        </w:rPr>
        <w:t xml:space="preserve">DTI 2005, Swann 2000 and </w:t>
      </w:r>
      <w:r w:rsidR="006975A0" w:rsidRPr="00C2514D">
        <w:rPr>
          <w:rFonts w:ascii="Arial" w:hAnsi="Arial" w:cs="Arial"/>
          <w:noProof/>
          <w:spacing w:val="-2"/>
          <w:sz w:val="22"/>
          <w:szCs w:val="22"/>
          <w:lang w:val="en-US" w:eastAsia="x-none"/>
        </w:rPr>
        <w:t xml:space="preserve">Blind 2004 </w:t>
      </w:r>
      <w:r w:rsidR="009B4DA4" w:rsidRPr="00C2514D">
        <w:rPr>
          <w:rFonts w:ascii="Arial" w:hAnsi="Arial" w:cs="Arial"/>
          <w:noProof/>
          <w:spacing w:val="-2"/>
          <w:sz w:val="22"/>
          <w:szCs w:val="22"/>
          <w:lang w:val="en-US" w:eastAsia="x-none"/>
        </w:rPr>
        <w:t>the authors distinguish four basic functions</w:t>
      </w:r>
      <w:r w:rsidR="002C2B41" w:rsidRPr="00C2514D">
        <w:rPr>
          <w:rFonts w:ascii="Arial" w:hAnsi="Arial" w:cs="Arial"/>
          <w:noProof/>
          <w:spacing w:val="-2"/>
          <w:sz w:val="22"/>
          <w:szCs w:val="22"/>
          <w:lang w:val="en-US" w:eastAsia="x-none"/>
        </w:rPr>
        <w:t xml:space="preserve"> of standards adoption</w:t>
      </w:r>
      <w:r w:rsidR="009B4DA4" w:rsidRPr="00C2514D">
        <w:rPr>
          <w:rFonts w:ascii="Arial" w:hAnsi="Arial" w:cs="Arial"/>
          <w:noProof/>
          <w:spacing w:val="-2"/>
          <w:sz w:val="22"/>
          <w:szCs w:val="22"/>
          <w:lang w:val="en-US" w:eastAsia="x-none"/>
        </w:rPr>
        <w:t xml:space="preserve">: Information and reference (measurement);  variety reduction of a product across entities (interchangeability); </w:t>
      </w:r>
      <w:r w:rsidR="009D3516" w:rsidRPr="00C2514D">
        <w:rPr>
          <w:rFonts w:ascii="Arial" w:hAnsi="Arial" w:cs="Arial"/>
          <w:noProof/>
          <w:spacing w:val="-2"/>
          <w:sz w:val="22"/>
          <w:szCs w:val="22"/>
          <w:lang w:val="en-US" w:eastAsia="x-none"/>
        </w:rPr>
        <w:t>compatibility and interface (for example energy infraestruc</w:t>
      </w:r>
      <w:r w:rsidR="00D8483D" w:rsidRPr="00C2514D">
        <w:rPr>
          <w:rFonts w:ascii="Arial" w:hAnsi="Arial" w:cs="Arial"/>
          <w:noProof/>
          <w:spacing w:val="-2"/>
          <w:sz w:val="22"/>
          <w:szCs w:val="22"/>
          <w:lang w:val="en-US" w:eastAsia="x-none"/>
        </w:rPr>
        <w:t>tu</w:t>
      </w:r>
      <w:r w:rsidR="009D3516" w:rsidRPr="00C2514D">
        <w:rPr>
          <w:rFonts w:ascii="Arial" w:hAnsi="Arial" w:cs="Arial"/>
          <w:noProof/>
          <w:spacing w:val="-2"/>
          <w:sz w:val="22"/>
          <w:szCs w:val="22"/>
          <w:lang w:val="en-US" w:eastAsia="x-none"/>
        </w:rPr>
        <w:t>re standards</w:t>
      </w:r>
      <w:r w:rsidR="00D8483D" w:rsidRPr="00C2514D">
        <w:rPr>
          <w:rFonts w:ascii="Arial" w:hAnsi="Arial" w:cs="Arial"/>
          <w:noProof/>
          <w:spacing w:val="-2"/>
          <w:sz w:val="22"/>
          <w:szCs w:val="22"/>
          <w:lang w:val="en-US" w:eastAsia="x-none"/>
        </w:rPr>
        <w:t xml:space="preserve"> like universal outlets that prevent the need of adaptors)</w:t>
      </w:r>
      <w:r w:rsidR="009D3516" w:rsidRPr="00C2514D">
        <w:rPr>
          <w:rFonts w:ascii="Arial" w:hAnsi="Arial" w:cs="Arial"/>
          <w:noProof/>
          <w:spacing w:val="-2"/>
          <w:sz w:val="22"/>
          <w:szCs w:val="22"/>
          <w:lang w:val="en-US" w:eastAsia="x-none"/>
        </w:rPr>
        <w:t xml:space="preserve"> ; and minimum quality and safety</w:t>
      </w:r>
      <w:r w:rsidR="00D8483D" w:rsidRPr="00C2514D">
        <w:rPr>
          <w:rFonts w:ascii="Arial" w:hAnsi="Arial" w:cs="Arial"/>
          <w:noProof/>
          <w:spacing w:val="-2"/>
          <w:sz w:val="22"/>
          <w:szCs w:val="22"/>
          <w:lang w:val="en-US" w:eastAsia="x-none"/>
        </w:rPr>
        <w:t xml:space="preserve"> (for example in the production of foods, </w:t>
      </w:r>
      <w:r w:rsidR="00686C58" w:rsidRPr="00C2514D">
        <w:rPr>
          <w:rFonts w:ascii="Arial" w:hAnsi="Arial" w:cs="Arial"/>
          <w:noProof/>
          <w:spacing w:val="-2"/>
          <w:sz w:val="22"/>
          <w:szCs w:val="22"/>
          <w:lang w:val="en-US" w:eastAsia="x-none"/>
        </w:rPr>
        <w:t xml:space="preserve">as is the case in this operation, but also in </w:t>
      </w:r>
      <w:r w:rsidR="00D8483D" w:rsidRPr="00C2514D">
        <w:rPr>
          <w:rFonts w:ascii="Arial" w:hAnsi="Arial" w:cs="Arial"/>
          <w:noProof/>
          <w:spacing w:val="-2"/>
          <w:sz w:val="22"/>
          <w:szCs w:val="22"/>
          <w:lang w:val="en-US" w:eastAsia="x-none"/>
        </w:rPr>
        <w:t>drugs, toys, electric appliances)</w:t>
      </w:r>
      <w:r w:rsidR="00686C58" w:rsidRPr="00C2514D">
        <w:rPr>
          <w:rFonts w:ascii="Arial" w:hAnsi="Arial" w:cs="Arial"/>
          <w:noProof/>
          <w:spacing w:val="-2"/>
          <w:sz w:val="22"/>
          <w:szCs w:val="22"/>
          <w:lang w:val="en-US" w:eastAsia="x-none"/>
        </w:rPr>
        <w:t>.</w:t>
      </w:r>
    </w:p>
    <w:p w:rsidR="009B4DA4" w:rsidRPr="00C2514D" w:rsidRDefault="00D8483D" w:rsidP="00507B7D">
      <w:pPr>
        <w:pStyle w:val="Paragraph"/>
        <w:tabs>
          <w:tab w:val="clear" w:pos="1296"/>
          <w:tab w:val="num" w:pos="720"/>
        </w:tabs>
        <w:ind w:left="720" w:hanging="720"/>
        <w:rPr>
          <w:rFonts w:ascii="Arial" w:hAnsi="Arial" w:cs="Arial"/>
          <w:noProof/>
          <w:spacing w:val="-2"/>
          <w:sz w:val="22"/>
          <w:szCs w:val="22"/>
          <w:lang w:val="en-US" w:eastAsia="x-none"/>
        </w:rPr>
      </w:pPr>
      <w:r w:rsidRPr="00C2514D">
        <w:rPr>
          <w:rFonts w:ascii="Arial" w:hAnsi="Arial" w:cs="Arial"/>
          <w:noProof/>
          <w:spacing w:val="-2"/>
          <w:sz w:val="22"/>
          <w:szCs w:val="22"/>
          <w:lang w:val="en-US" w:eastAsia="x-none"/>
        </w:rPr>
        <w:t xml:space="preserve">NQI can generate positive effects on these functions. For instance, </w:t>
      </w:r>
      <w:r w:rsidR="00686C58" w:rsidRPr="00C2514D">
        <w:rPr>
          <w:rFonts w:ascii="Arial" w:hAnsi="Arial" w:cs="Arial"/>
          <w:noProof/>
          <w:spacing w:val="-2"/>
          <w:sz w:val="22"/>
          <w:szCs w:val="22"/>
          <w:lang w:val="en-US" w:eastAsia="x-none"/>
        </w:rPr>
        <w:t>Variety-reducing standards lead to economies of scale and economies of learning. They allow suppliers to achieve lower per-unit costs by producing large homogeneous batches. In addition, producers gain skills and experience by focusing on fewer product variations and can increase their effi ciency through economies of learning. Standards also play a particularly useful role in disseminating knowledge in industries where products and processes supplied by various providers must interact with one another. They ensure that information on innovations in one part of the sector will be diffused to other parts of the sector.</w:t>
      </w:r>
      <w:r w:rsidR="00735BBE" w:rsidRPr="00C2514D">
        <w:rPr>
          <w:rFonts w:ascii="Arial" w:hAnsi="Arial" w:cs="Arial"/>
          <w:noProof/>
          <w:spacing w:val="-2"/>
          <w:sz w:val="22"/>
          <w:szCs w:val="22"/>
          <w:lang w:val="en-US" w:eastAsia="x-none"/>
        </w:rPr>
        <w:t xml:space="preserve"> Standards can also reduce the transaction and search costs that are caused by imperfect information. This is another role of minimum safety standards, but it can also be accomplished by quality standards and product description standards</w:t>
      </w:r>
      <w:r w:rsidR="00F462B0" w:rsidRPr="00C2514D">
        <w:rPr>
          <w:rFonts w:ascii="Arial" w:hAnsi="Arial" w:cs="Arial"/>
          <w:noProof/>
          <w:spacing w:val="-2"/>
          <w:sz w:val="22"/>
          <w:szCs w:val="22"/>
          <w:lang w:val="en-US" w:eastAsia="x-none"/>
        </w:rPr>
        <w:t>. In addition, by codifying market preferences and technical information and establishing interchangeability, standards promote competition. (Guasch et al 2007</w:t>
      </w:r>
      <w:r w:rsidR="00885576" w:rsidRPr="00C2514D">
        <w:rPr>
          <w:rFonts w:ascii="Arial" w:hAnsi="Arial" w:cs="Arial"/>
          <w:noProof/>
          <w:spacing w:val="-2"/>
          <w:sz w:val="22"/>
          <w:szCs w:val="22"/>
          <w:lang w:val="en-US" w:eastAsia="x-none"/>
        </w:rPr>
        <w:t>, Robertson and Swanepoel 2015</w:t>
      </w:r>
      <w:r w:rsidR="00F462B0" w:rsidRPr="00C2514D">
        <w:rPr>
          <w:rFonts w:ascii="Arial" w:hAnsi="Arial" w:cs="Arial"/>
          <w:noProof/>
          <w:spacing w:val="-2"/>
          <w:sz w:val="22"/>
          <w:szCs w:val="22"/>
          <w:lang w:val="en-US" w:eastAsia="x-none"/>
        </w:rPr>
        <w:t>)</w:t>
      </w:r>
      <w:r w:rsidR="00735BBE" w:rsidRPr="00C2514D">
        <w:rPr>
          <w:rFonts w:ascii="Arial" w:hAnsi="Arial" w:cs="Arial"/>
          <w:noProof/>
          <w:spacing w:val="-2"/>
          <w:sz w:val="22"/>
          <w:szCs w:val="22"/>
          <w:lang w:val="en-US" w:eastAsia="x-none"/>
        </w:rPr>
        <w:t>.</w:t>
      </w:r>
    </w:p>
    <w:p w:rsidR="00F462B0" w:rsidRPr="00C2514D" w:rsidRDefault="002C2B41" w:rsidP="00507B7D">
      <w:pPr>
        <w:pStyle w:val="Paragraph"/>
        <w:tabs>
          <w:tab w:val="clear" w:pos="1296"/>
          <w:tab w:val="num" w:pos="720"/>
        </w:tabs>
        <w:ind w:left="720" w:hanging="720"/>
        <w:rPr>
          <w:rFonts w:ascii="Arial" w:hAnsi="Arial" w:cs="Arial"/>
          <w:noProof/>
          <w:spacing w:val="-2"/>
          <w:sz w:val="22"/>
          <w:szCs w:val="22"/>
          <w:lang w:val="en-US" w:eastAsia="x-none"/>
        </w:rPr>
      </w:pPr>
      <w:r w:rsidRPr="00C2514D">
        <w:rPr>
          <w:rFonts w:ascii="Arial" w:hAnsi="Arial" w:cs="Arial"/>
          <w:noProof/>
          <w:spacing w:val="-2"/>
          <w:sz w:val="22"/>
          <w:szCs w:val="22"/>
          <w:lang w:val="en-US" w:eastAsia="x-none"/>
        </w:rPr>
        <w:t xml:space="preserve">But adoption of standards could also </w:t>
      </w:r>
      <w:r w:rsidR="00F71404" w:rsidRPr="00C2514D">
        <w:rPr>
          <w:rFonts w:ascii="Arial" w:hAnsi="Arial" w:cs="Arial"/>
          <w:noProof/>
          <w:spacing w:val="-2"/>
          <w:sz w:val="22"/>
          <w:szCs w:val="22"/>
          <w:lang w:val="en-US" w:eastAsia="x-none"/>
        </w:rPr>
        <w:t>be</w:t>
      </w:r>
      <w:r w:rsidRPr="00C2514D">
        <w:rPr>
          <w:rFonts w:ascii="Arial" w:hAnsi="Arial" w:cs="Arial"/>
          <w:noProof/>
          <w:spacing w:val="-2"/>
          <w:sz w:val="22"/>
          <w:szCs w:val="22"/>
          <w:lang w:val="en-US" w:eastAsia="x-none"/>
        </w:rPr>
        <w:t xml:space="preserve"> counterv</w:t>
      </w:r>
      <w:r w:rsidR="00F71404" w:rsidRPr="00C2514D">
        <w:rPr>
          <w:rFonts w:ascii="Arial" w:hAnsi="Arial" w:cs="Arial"/>
          <w:noProof/>
          <w:spacing w:val="-2"/>
          <w:sz w:val="22"/>
          <w:szCs w:val="22"/>
          <w:lang w:val="en-US" w:eastAsia="x-none"/>
        </w:rPr>
        <w:t>a</w:t>
      </w:r>
      <w:r w:rsidRPr="00C2514D">
        <w:rPr>
          <w:rFonts w:ascii="Arial" w:hAnsi="Arial" w:cs="Arial"/>
          <w:noProof/>
          <w:spacing w:val="-2"/>
          <w:sz w:val="22"/>
          <w:szCs w:val="22"/>
          <w:lang w:val="en-US" w:eastAsia="x-none"/>
        </w:rPr>
        <w:t xml:space="preserve">iling in some cases. </w:t>
      </w:r>
      <w:r w:rsidR="00F462B0" w:rsidRPr="00C2514D">
        <w:rPr>
          <w:rFonts w:ascii="Arial" w:hAnsi="Arial" w:cs="Arial"/>
          <w:noProof/>
          <w:spacing w:val="-2"/>
          <w:sz w:val="22"/>
          <w:szCs w:val="22"/>
          <w:lang w:val="en-US" w:eastAsia="x-none"/>
        </w:rPr>
        <w:t>Obsolete, inappropriate standards may hamper technical change by</w:t>
      </w:r>
      <w:r w:rsidRPr="00C2514D">
        <w:rPr>
          <w:rFonts w:ascii="Arial" w:hAnsi="Arial" w:cs="Arial"/>
          <w:noProof/>
          <w:spacing w:val="-2"/>
          <w:sz w:val="22"/>
          <w:szCs w:val="22"/>
          <w:lang w:val="en-US" w:eastAsia="x-none"/>
        </w:rPr>
        <w:t xml:space="preserve"> </w:t>
      </w:r>
      <w:r w:rsidR="00F462B0" w:rsidRPr="00C2514D">
        <w:rPr>
          <w:rFonts w:ascii="Arial" w:hAnsi="Arial" w:cs="Arial"/>
          <w:noProof/>
          <w:spacing w:val="-2"/>
          <w:sz w:val="22"/>
          <w:szCs w:val="22"/>
          <w:lang w:val="en-US" w:eastAsia="x-none"/>
        </w:rPr>
        <w:t>preventing the adoption of superior technology through the lock-in effect.</w:t>
      </w:r>
      <w:r w:rsidR="00F71404" w:rsidRPr="00C2514D">
        <w:rPr>
          <w:rFonts w:ascii="Arial" w:hAnsi="Arial" w:cs="Arial"/>
          <w:noProof/>
          <w:spacing w:val="-2"/>
          <w:sz w:val="22"/>
          <w:szCs w:val="22"/>
          <w:lang w:val="en-US" w:eastAsia="x-none"/>
        </w:rPr>
        <w:t xml:space="preserve"> </w:t>
      </w:r>
      <w:r w:rsidR="00F462B0" w:rsidRPr="00C2514D">
        <w:rPr>
          <w:rFonts w:ascii="Arial" w:hAnsi="Arial" w:cs="Arial"/>
          <w:noProof/>
          <w:spacing w:val="-2"/>
          <w:sz w:val="22"/>
          <w:szCs w:val="22"/>
          <w:lang w:val="en-US" w:eastAsia="x-none"/>
        </w:rPr>
        <w:t>Standards can</w:t>
      </w:r>
      <w:r w:rsidR="00F71404" w:rsidRPr="00C2514D">
        <w:rPr>
          <w:rFonts w:ascii="Arial" w:hAnsi="Arial" w:cs="Arial"/>
          <w:noProof/>
          <w:spacing w:val="-2"/>
          <w:sz w:val="22"/>
          <w:szCs w:val="22"/>
          <w:lang w:val="en-US" w:eastAsia="x-none"/>
        </w:rPr>
        <w:t xml:space="preserve"> also</w:t>
      </w:r>
      <w:r w:rsidR="00F462B0" w:rsidRPr="00C2514D">
        <w:rPr>
          <w:rFonts w:ascii="Arial" w:hAnsi="Arial" w:cs="Arial"/>
          <w:noProof/>
          <w:spacing w:val="-2"/>
          <w:sz w:val="22"/>
          <w:szCs w:val="22"/>
          <w:lang w:val="en-US" w:eastAsia="x-none"/>
        </w:rPr>
        <w:t xml:space="preserve"> have anticompetitive effects if only one or a few companies</w:t>
      </w:r>
      <w:r w:rsidRPr="00C2514D">
        <w:rPr>
          <w:rFonts w:ascii="Arial" w:hAnsi="Arial" w:cs="Arial"/>
          <w:noProof/>
          <w:spacing w:val="-2"/>
          <w:sz w:val="22"/>
          <w:szCs w:val="22"/>
          <w:lang w:val="en-US" w:eastAsia="x-none"/>
        </w:rPr>
        <w:t xml:space="preserve"> </w:t>
      </w:r>
      <w:r w:rsidR="00F462B0" w:rsidRPr="00C2514D">
        <w:rPr>
          <w:rFonts w:ascii="Arial" w:hAnsi="Arial" w:cs="Arial"/>
          <w:noProof/>
          <w:spacing w:val="-2"/>
          <w:sz w:val="22"/>
          <w:szCs w:val="22"/>
          <w:lang w:val="en-US" w:eastAsia="x-none"/>
        </w:rPr>
        <w:t>are able to internalize their benefits or control their content. In this</w:t>
      </w:r>
      <w:r w:rsidRPr="00C2514D">
        <w:rPr>
          <w:rFonts w:ascii="Arial" w:hAnsi="Arial" w:cs="Arial"/>
          <w:noProof/>
          <w:spacing w:val="-2"/>
          <w:sz w:val="22"/>
          <w:szCs w:val="22"/>
          <w:lang w:val="en-US" w:eastAsia="x-none"/>
        </w:rPr>
        <w:t xml:space="preserve"> </w:t>
      </w:r>
      <w:r w:rsidR="00F462B0" w:rsidRPr="00C2514D">
        <w:rPr>
          <w:rFonts w:ascii="Arial" w:hAnsi="Arial" w:cs="Arial"/>
          <w:noProof/>
          <w:spacing w:val="-2"/>
          <w:sz w:val="22"/>
          <w:szCs w:val="22"/>
          <w:lang w:val="en-US" w:eastAsia="x-none"/>
        </w:rPr>
        <w:t>case, standards can be used as strategic instruments to expand market</w:t>
      </w:r>
      <w:r w:rsidRPr="00C2514D">
        <w:rPr>
          <w:rFonts w:ascii="Arial" w:hAnsi="Arial" w:cs="Arial"/>
          <w:noProof/>
          <w:spacing w:val="-2"/>
          <w:sz w:val="22"/>
          <w:szCs w:val="22"/>
          <w:lang w:val="en-US" w:eastAsia="x-none"/>
        </w:rPr>
        <w:t xml:space="preserve"> </w:t>
      </w:r>
      <w:r w:rsidR="00F462B0" w:rsidRPr="00C2514D">
        <w:rPr>
          <w:rFonts w:ascii="Arial" w:hAnsi="Arial" w:cs="Arial"/>
          <w:noProof/>
          <w:spacing w:val="-2"/>
          <w:sz w:val="22"/>
          <w:szCs w:val="22"/>
          <w:lang w:val="en-US" w:eastAsia="x-none"/>
        </w:rPr>
        <w:t>power.</w:t>
      </w:r>
      <w:r w:rsidR="00F71404" w:rsidRPr="00C2514D">
        <w:rPr>
          <w:rFonts w:ascii="Arial" w:hAnsi="Arial" w:cs="Arial"/>
          <w:noProof/>
          <w:spacing w:val="-2"/>
          <w:sz w:val="22"/>
          <w:szCs w:val="22"/>
          <w:lang w:val="en-US" w:eastAsia="x-none"/>
        </w:rPr>
        <w:t xml:space="preserve"> Yet, these offsetting effects are unlikely at the stage of inception in more </w:t>
      </w:r>
      <w:r w:rsidR="00743DAB" w:rsidRPr="00C2514D">
        <w:rPr>
          <w:rFonts w:ascii="Arial" w:hAnsi="Arial" w:cs="Arial"/>
          <w:noProof/>
          <w:spacing w:val="-2"/>
          <w:sz w:val="22"/>
          <w:szCs w:val="22"/>
          <w:lang w:val="en-US" w:eastAsia="x-none"/>
        </w:rPr>
        <w:t>controlled environments (economies with participants of lower scale and activity)</w:t>
      </w:r>
      <w:r w:rsidR="00F71404" w:rsidRPr="00C2514D">
        <w:rPr>
          <w:rFonts w:ascii="Arial" w:hAnsi="Arial" w:cs="Arial"/>
          <w:noProof/>
          <w:spacing w:val="-2"/>
          <w:sz w:val="22"/>
          <w:szCs w:val="22"/>
          <w:lang w:val="en-US" w:eastAsia="x-none"/>
        </w:rPr>
        <w:t xml:space="preserve"> and therefore sh</w:t>
      </w:r>
      <w:r w:rsidR="00743DAB" w:rsidRPr="00C2514D">
        <w:rPr>
          <w:rFonts w:ascii="Arial" w:hAnsi="Arial" w:cs="Arial"/>
          <w:noProof/>
          <w:spacing w:val="-2"/>
          <w:sz w:val="22"/>
          <w:szCs w:val="22"/>
          <w:lang w:val="en-US" w:eastAsia="x-none"/>
        </w:rPr>
        <w:t>o</w:t>
      </w:r>
      <w:r w:rsidR="00F71404" w:rsidRPr="00C2514D">
        <w:rPr>
          <w:rFonts w:ascii="Arial" w:hAnsi="Arial" w:cs="Arial"/>
          <w:noProof/>
          <w:spacing w:val="-2"/>
          <w:sz w:val="22"/>
          <w:szCs w:val="22"/>
          <w:lang w:val="en-US" w:eastAsia="x-none"/>
        </w:rPr>
        <w:t>uld not present a major consideration for our purposes.</w:t>
      </w:r>
    </w:p>
    <w:p w:rsidR="00743DAB" w:rsidRPr="004904BD" w:rsidRDefault="00FB6ADF" w:rsidP="00507B7D">
      <w:pPr>
        <w:pStyle w:val="Paragraph"/>
        <w:tabs>
          <w:tab w:val="clear" w:pos="1296"/>
          <w:tab w:val="num" w:pos="720"/>
        </w:tabs>
        <w:ind w:left="720" w:hanging="720"/>
        <w:rPr>
          <w:rFonts w:ascii="Arial" w:hAnsi="Arial" w:cs="Arial"/>
          <w:noProof/>
          <w:spacing w:val="-2"/>
          <w:sz w:val="22"/>
          <w:szCs w:val="22"/>
          <w:lang w:val="en-US" w:eastAsia="x-none"/>
        </w:rPr>
      </w:pPr>
      <w:r w:rsidRPr="00C2514D">
        <w:rPr>
          <w:rFonts w:ascii="Arial" w:hAnsi="Arial" w:cs="Arial"/>
          <w:noProof/>
          <w:spacing w:val="-2"/>
          <w:sz w:val="22"/>
          <w:szCs w:val="22"/>
          <w:lang w:val="en-US" w:eastAsia="x-none"/>
        </w:rPr>
        <w:lastRenderedPageBreak/>
        <w:t xml:space="preserve">With this framework in mind, the theory of change and the vertical logic of the operation turns more tractable. </w:t>
      </w:r>
      <w:r w:rsidR="00A57F7A" w:rsidRPr="00C2514D">
        <w:rPr>
          <w:rFonts w:ascii="Arial" w:hAnsi="Arial" w:cs="Arial"/>
          <w:noProof/>
          <w:spacing w:val="-2"/>
          <w:sz w:val="22"/>
          <w:szCs w:val="22"/>
          <w:lang w:val="en-US" w:eastAsia="x-none"/>
        </w:rPr>
        <w:t xml:space="preserve">As a reference, </w:t>
      </w:r>
      <w:r w:rsidRPr="004904BD">
        <w:rPr>
          <w:rFonts w:ascii="Arial" w:hAnsi="Arial" w:cs="Arial"/>
          <w:noProof/>
          <w:spacing w:val="-2"/>
          <w:sz w:val="22"/>
          <w:szCs w:val="22"/>
          <w:lang w:val="en-US" w:eastAsia="x-none"/>
        </w:rPr>
        <w:t>Figure 2 shows the vertical logic of the Canadian office of Measurement Science and Standards</w:t>
      </w:r>
      <w:r w:rsidR="00A57F7A" w:rsidRPr="004904BD">
        <w:rPr>
          <w:rFonts w:ascii="Arial" w:hAnsi="Arial" w:cs="Arial"/>
          <w:noProof/>
          <w:spacing w:val="-2"/>
          <w:sz w:val="22"/>
          <w:szCs w:val="22"/>
          <w:lang w:val="en-US" w:eastAsia="x-none"/>
        </w:rPr>
        <w:t xml:space="preserve"> or MSS (NRC 2015). The results chain of GY-L1059 closely resembles this model. Figure 2 schematizes how activities and outputs (very similar to those listed in the POA and PEP of this project) are delivered and transformed into immediate, intermediate and ultimate outcomes. There are two reasons to report the logic model of another NQI. First, to document </w:t>
      </w:r>
      <w:r w:rsidR="002F2590" w:rsidRPr="004904BD">
        <w:rPr>
          <w:rFonts w:ascii="Arial" w:hAnsi="Arial" w:cs="Arial"/>
          <w:noProof/>
          <w:spacing w:val="-2"/>
          <w:sz w:val="22"/>
          <w:szCs w:val="22"/>
          <w:lang w:val="en-US" w:eastAsia="x-none"/>
        </w:rPr>
        <w:t>compelling</w:t>
      </w:r>
      <w:r w:rsidR="006D23E8" w:rsidRPr="004904BD">
        <w:rPr>
          <w:rFonts w:ascii="Arial" w:hAnsi="Arial" w:cs="Arial"/>
          <w:noProof/>
          <w:spacing w:val="-2"/>
          <w:sz w:val="22"/>
          <w:szCs w:val="22"/>
          <w:lang w:val="en-US" w:eastAsia="x-none"/>
        </w:rPr>
        <w:t xml:space="preserve"> evidence that endorse the internal validity of the design of NQIs. Second to point out that even in a more developed context, evaluations of NQIs are limited to cualitative approaches</w:t>
      </w:r>
      <w:r w:rsidR="002F2590" w:rsidRPr="004904BD">
        <w:rPr>
          <w:rFonts w:ascii="Arial" w:hAnsi="Arial" w:cs="Arial"/>
          <w:noProof/>
          <w:spacing w:val="-2"/>
          <w:sz w:val="22"/>
          <w:szCs w:val="22"/>
          <w:lang w:val="en-US" w:eastAsia="x-none"/>
        </w:rPr>
        <w:t xml:space="preserve"> (see NRC 2015 for an evaluation of the Canadian MSS system)</w:t>
      </w:r>
      <w:r w:rsidR="006D23E8" w:rsidRPr="004904BD">
        <w:rPr>
          <w:rFonts w:ascii="Arial" w:hAnsi="Arial" w:cs="Arial"/>
          <w:noProof/>
          <w:spacing w:val="-2"/>
          <w:sz w:val="22"/>
          <w:szCs w:val="22"/>
          <w:lang w:val="en-US" w:eastAsia="x-none"/>
        </w:rPr>
        <w:t>. The field of impact evaluation on this topic is virtually uncharted</w:t>
      </w:r>
      <w:r w:rsidR="002F2590" w:rsidRPr="004904BD">
        <w:rPr>
          <w:rFonts w:ascii="Arial" w:hAnsi="Arial" w:cs="Arial"/>
          <w:noProof/>
          <w:spacing w:val="-2"/>
          <w:sz w:val="22"/>
          <w:szCs w:val="22"/>
          <w:lang w:val="en-US" w:eastAsia="x-none"/>
        </w:rPr>
        <w:t xml:space="preserve"> (further discussion follows in Section C)</w:t>
      </w:r>
      <w:r w:rsidR="006D23E8" w:rsidRPr="004904BD">
        <w:rPr>
          <w:rFonts w:ascii="Arial" w:hAnsi="Arial" w:cs="Arial"/>
          <w:noProof/>
          <w:spacing w:val="-2"/>
          <w:sz w:val="22"/>
          <w:szCs w:val="22"/>
          <w:lang w:val="en-US" w:eastAsia="x-none"/>
        </w:rPr>
        <w:t>.</w:t>
      </w:r>
    </w:p>
    <w:p w:rsidR="00743DAB" w:rsidRPr="00C2514D" w:rsidRDefault="00A57F7A" w:rsidP="00A57F7A">
      <w:pPr>
        <w:pStyle w:val="Paragraph"/>
        <w:numPr>
          <w:ilvl w:val="0"/>
          <w:numId w:val="0"/>
        </w:numPr>
        <w:jc w:val="center"/>
        <w:rPr>
          <w:rFonts w:ascii="Arial" w:hAnsi="Arial" w:cs="Arial"/>
          <w:b/>
          <w:noProof/>
          <w:spacing w:val="-2"/>
          <w:sz w:val="22"/>
          <w:lang w:val="en-US"/>
        </w:rPr>
      </w:pPr>
      <w:r w:rsidRPr="004904BD">
        <w:rPr>
          <w:rFonts w:ascii="Arial" w:hAnsi="Arial" w:cs="Arial"/>
          <w:b/>
          <w:noProof/>
          <w:spacing w:val="-2"/>
          <w:sz w:val="22"/>
          <w:lang w:val="en-US"/>
        </w:rPr>
        <w:t>Figure 2. MSS Logic Model</w:t>
      </w:r>
    </w:p>
    <w:p w:rsidR="00B84F81" w:rsidRPr="00C2514D" w:rsidRDefault="00B84F81" w:rsidP="00A57F7A">
      <w:pPr>
        <w:pStyle w:val="ColorfulList-Accent11"/>
        <w:ind w:left="-360"/>
        <w:jc w:val="both"/>
        <w:rPr>
          <w:lang w:val="en-US"/>
        </w:rPr>
      </w:pPr>
      <w:r w:rsidRPr="00C2514D">
        <w:rPr>
          <w:noProof/>
          <w:lang w:val="en-US" w:eastAsia="en-US"/>
        </w:rPr>
        <w:drawing>
          <wp:inline distT="0" distB="0" distL="0" distR="0" wp14:anchorId="7CCA8774" wp14:editId="00BB6DB9">
            <wp:extent cx="6119518" cy="4520241"/>
            <wp:effectExtent l="0" t="0" r="0" b="0"/>
            <wp:docPr id="2" name="Picture 2" descr="MSS Logic Model. Long description foll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SS Logic Model. Long description follow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31439" cy="4529047"/>
                    </a:xfrm>
                    <a:prstGeom prst="rect">
                      <a:avLst/>
                    </a:prstGeom>
                    <a:noFill/>
                    <a:ln>
                      <a:noFill/>
                    </a:ln>
                  </pic:spPr>
                </pic:pic>
              </a:graphicData>
            </a:graphic>
          </wp:inline>
        </w:drawing>
      </w:r>
    </w:p>
    <w:p w:rsidR="00994EA9" w:rsidRPr="00C2514D" w:rsidRDefault="00994EA9" w:rsidP="00A77DC6">
      <w:pPr>
        <w:pStyle w:val="ColorfulList-Accent11"/>
        <w:ind w:left="360"/>
        <w:jc w:val="both"/>
        <w:rPr>
          <w:lang w:val="en-US"/>
        </w:rPr>
      </w:pPr>
    </w:p>
    <w:p w:rsidR="00994EA9" w:rsidRPr="00C2514D" w:rsidRDefault="00A57F7A" w:rsidP="00A77DC6">
      <w:pPr>
        <w:pStyle w:val="ColorfulList-Accent11"/>
        <w:ind w:left="360"/>
        <w:jc w:val="both"/>
        <w:rPr>
          <w:sz w:val="18"/>
          <w:lang w:val="en-US"/>
        </w:rPr>
      </w:pPr>
      <w:r w:rsidRPr="00C2514D">
        <w:rPr>
          <w:sz w:val="18"/>
          <w:lang w:val="en-US"/>
        </w:rPr>
        <w:t>Source : NRC (2015)</w:t>
      </w:r>
    </w:p>
    <w:p w:rsidR="00B84F81" w:rsidRPr="00C2514D" w:rsidRDefault="00B84F81" w:rsidP="00A77DC6">
      <w:pPr>
        <w:pStyle w:val="ColorfulList-Accent11"/>
        <w:ind w:left="360"/>
        <w:jc w:val="both"/>
        <w:rPr>
          <w:rFonts w:ascii="Arial" w:hAnsi="Arial" w:cs="Arial"/>
          <w:lang w:val="en-US"/>
        </w:rPr>
      </w:pPr>
    </w:p>
    <w:p w:rsidR="003E44DD" w:rsidRPr="00C2514D" w:rsidRDefault="003E44DD" w:rsidP="003E44DD">
      <w:pPr>
        <w:pStyle w:val="FirstHeading"/>
        <w:ind w:left="720"/>
        <w:rPr>
          <w:rFonts w:ascii="Arial" w:hAnsi="Arial" w:cs="Arial"/>
          <w:sz w:val="22"/>
          <w:szCs w:val="22"/>
          <w:lang w:val="en-US"/>
        </w:rPr>
      </w:pPr>
      <w:r w:rsidRPr="00C2514D">
        <w:rPr>
          <w:rFonts w:ascii="Arial" w:hAnsi="Arial" w:cs="Arial"/>
          <w:sz w:val="22"/>
          <w:szCs w:val="22"/>
          <w:lang w:val="en-US"/>
        </w:rPr>
        <w:fldChar w:fldCharType="begin"/>
      </w:r>
      <w:r w:rsidRPr="00C2514D">
        <w:rPr>
          <w:rFonts w:ascii="Arial" w:hAnsi="Arial" w:cs="Arial"/>
          <w:sz w:val="22"/>
          <w:szCs w:val="22"/>
          <w:lang w:val="en-US"/>
        </w:rPr>
        <w:instrText xml:space="preserve"> SEQ "</w:instrText>
      </w:r>
      <w:r w:rsidRPr="00C2514D">
        <w:rPr>
          <w:rFonts w:ascii="Arial" w:hAnsi="Arial" w:cs="Arial"/>
          <w:sz w:val="22"/>
          <w:szCs w:val="22"/>
          <w:lang w:val="en-US"/>
        </w:rPr>
        <w:fldChar w:fldCharType="begin"/>
      </w:r>
      <w:r w:rsidRPr="00C2514D">
        <w:rPr>
          <w:rFonts w:ascii="Arial" w:hAnsi="Arial" w:cs="Arial"/>
          <w:sz w:val="22"/>
          <w:szCs w:val="22"/>
          <w:lang w:val="en-US"/>
        </w:rPr>
        <w:instrText xml:space="preserve"> SECTION  \* MERGEFORMAT </w:instrText>
      </w:r>
      <w:r w:rsidRPr="00C2514D">
        <w:rPr>
          <w:rFonts w:ascii="Arial" w:hAnsi="Arial" w:cs="Arial"/>
          <w:sz w:val="22"/>
          <w:szCs w:val="22"/>
          <w:lang w:val="en-US"/>
        </w:rPr>
        <w:fldChar w:fldCharType="separate"/>
      </w:r>
      <w:r w:rsidRPr="00C2514D">
        <w:rPr>
          <w:rFonts w:ascii="Arial" w:hAnsi="Arial" w:cs="Arial"/>
          <w:sz w:val="22"/>
          <w:szCs w:val="22"/>
          <w:lang w:val="en-US"/>
        </w:rPr>
        <w:instrText>4</w:instrText>
      </w:r>
      <w:r w:rsidRPr="00C2514D">
        <w:rPr>
          <w:rFonts w:ascii="Arial" w:hAnsi="Arial" w:cs="Arial"/>
          <w:sz w:val="22"/>
          <w:szCs w:val="22"/>
          <w:lang w:val="en-US"/>
        </w:rPr>
        <w:fldChar w:fldCharType="end"/>
      </w:r>
      <w:r w:rsidRPr="00C2514D">
        <w:rPr>
          <w:rFonts w:ascii="Arial" w:hAnsi="Arial" w:cs="Arial"/>
          <w:sz w:val="22"/>
          <w:szCs w:val="22"/>
          <w:lang w:val="en-US"/>
        </w:rPr>
        <w:instrText xml:space="preserve">#"\* ALPHABETIC \* MERGEFORMAT </w:instrText>
      </w:r>
      <w:r w:rsidRPr="00C2514D">
        <w:rPr>
          <w:rFonts w:ascii="Arial" w:hAnsi="Arial" w:cs="Arial"/>
          <w:sz w:val="22"/>
          <w:szCs w:val="22"/>
          <w:lang w:val="en-US"/>
        </w:rPr>
        <w:fldChar w:fldCharType="separate"/>
      </w:r>
      <w:r w:rsidRPr="00C2514D">
        <w:rPr>
          <w:rFonts w:ascii="Arial" w:hAnsi="Arial" w:cs="Arial"/>
          <w:noProof/>
          <w:sz w:val="22"/>
          <w:szCs w:val="22"/>
          <w:lang w:val="en-US"/>
        </w:rPr>
        <w:t>B</w:t>
      </w:r>
      <w:r w:rsidRPr="00C2514D">
        <w:rPr>
          <w:rFonts w:ascii="Arial" w:hAnsi="Arial" w:cs="Arial"/>
          <w:sz w:val="22"/>
          <w:szCs w:val="22"/>
          <w:lang w:val="en-US"/>
        </w:rPr>
        <w:fldChar w:fldCharType="end"/>
      </w:r>
      <w:r w:rsidRPr="00C2514D">
        <w:rPr>
          <w:rFonts w:ascii="Arial" w:hAnsi="Arial" w:cs="Arial"/>
          <w:sz w:val="22"/>
          <w:szCs w:val="22"/>
          <w:lang w:val="en-US"/>
        </w:rPr>
        <w:t>.</w:t>
      </w:r>
      <w:r w:rsidRPr="00C2514D">
        <w:rPr>
          <w:rFonts w:ascii="Arial" w:hAnsi="Arial" w:cs="Arial"/>
          <w:sz w:val="22"/>
          <w:szCs w:val="22"/>
          <w:lang w:val="en-US"/>
        </w:rPr>
        <w:tab/>
      </w:r>
      <w:r w:rsidR="009F4050" w:rsidRPr="00C2514D">
        <w:rPr>
          <w:rFonts w:ascii="Arial" w:hAnsi="Arial" w:cs="Arial"/>
          <w:noProof/>
          <w:sz w:val="22"/>
          <w:szCs w:val="22"/>
          <w:lang w:val="en-US"/>
        </w:rPr>
        <w:t xml:space="preserve">Existing knowledge </w:t>
      </w:r>
    </w:p>
    <w:p w:rsidR="009615EC" w:rsidRPr="00C2514D" w:rsidRDefault="008222FD"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Evidence on the effects of adoption of</w:t>
      </w:r>
      <w:r w:rsidR="009615EC" w:rsidRPr="00C2514D">
        <w:rPr>
          <w:rFonts w:ascii="Arial" w:hAnsi="Arial" w:cs="Arial"/>
          <w:sz w:val="22"/>
          <w:szCs w:val="22"/>
          <w:lang w:val="en-US"/>
        </w:rPr>
        <w:t xml:space="preserve"> standards is very scarce for developing countries. For developed ones, a number of studies quantify the economic impact of adoption of standards using different techniques such as economic modelling, </w:t>
      </w:r>
      <w:r w:rsidR="009615EC" w:rsidRPr="00C2514D">
        <w:rPr>
          <w:rFonts w:ascii="Arial" w:hAnsi="Arial" w:cs="Arial"/>
          <w:sz w:val="22"/>
          <w:szCs w:val="22"/>
          <w:lang w:val="en-US"/>
        </w:rPr>
        <w:lastRenderedPageBreak/>
        <w:t>case studies, cost-benefit analysis and interviews. There is no empirical evidence based on impact evaluations besides some</w:t>
      </w:r>
      <w:r w:rsidR="000B07D0" w:rsidRPr="00C2514D">
        <w:rPr>
          <w:rFonts w:ascii="Arial" w:hAnsi="Arial" w:cs="Arial"/>
          <w:sz w:val="22"/>
          <w:szCs w:val="22"/>
          <w:lang w:val="en-US"/>
        </w:rPr>
        <w:t xml:space="preserve"> limited </w:t>
      </w:r>
      <w:r w:rsidR="009615EC" w:rsidRPr="00C2514D">
        <w:rPr>
          <w:rFonts w:ascii="Arial" w:hAnsi="Arial" w:cs="Arial"/>
          <w:sz w:val="22"/>
          <w:szCs w:val="22"/>
          <w:lang w:val="en-US"/>
        </w:rPr>
        <w:t>attempts conducted by UNIDO</w:t>
      </w:r>
      <w:r w:rsidR="000B07D0" w:rsidRPr="00C2514D">
        <w:rPr>
          <w:rFonts w:ascii="Arial" w:hAnsi="Arial" w:cs="Arial"/>
          <w:sz w:val="22"/>
          <w:szCs w:val="22"/>
          <w:lang w:val="en-US"/>
        </w:rPr>
        <w:t xml:space="preserve"> (UNIDO 2010a and 2010b) in developing economies.</w:t>
      </w:r>
    </w:p>
    <w:p w:rsidR="003E44DD" w:rsidRPr="004904BD" w:rsidRDefault="000B07D0" w:rsidP="00507B7D">
      <w:pPr>
        <w:pStyle w:val="Paragraph"/>
        <w:tabs>
          <w:tab w:val="clear" w:pos="1296"/>
          <w:tab w:val="num" w:pos="720"/>
        </w:tabs>
        <w:ind w:left="720" w:hanging="720"/>
        <w:rPr>
          <w:lang w:val="en-US"/>
        </w:rPr>
      </w:pPr>
      <w:r w:rsidRPr="00C2514D">
        <w:rPr>
          <w:rFonts w:ascii="Arial" w:hAnsi="Arial" w:cs="Arial"/>
          <w:sz w:val="22"/>
          <w:lang w:val="en-US"/>
        </w:rPr>
        <w:t xml:space="preserve">With respect </w:t>
      </w:r>
      <w:r w:rsidR="00FD76E8" w:rsidRPr="00C2514D">
        <w:rPr>
          <w:rFonts w:ascii="Arial" w:hAnsi="Arial" w:cs="Arial"/>
          <w:sz w:val="22"/>
          <w:lang w:val="en-US"/>
        </w:rPr>
        <w:t xml:space="preserve">to </w:t>
      </w:r>
      <w:r w:rsidRPr="00C2514D">
        <w:rPr>
          <w:rFonts w:ascii="Arial" w:hAnsi="Arial" w:cs="Arial"/>
          <w:sz w:val="22"/>
          <w:lang w:val="en-US"/>
        </w:rPr>
        <w:t>the first group (non</w:t>
      </w:r>
      <w:r w:rsidR="00C97A74" w:rsidRPr="00C2514D">
        <w:rPr>
          <w:rFonts w:ascii="Arial" w:hAnsi="Arial" w:cs="Arial"/>
          <w:sz w:val="22"/>
          <w:lang w:val="en-US"/>
        </w:rPr>
        <w:t>-</w:t>
      </w:r>
      <w:r w:rsidRPr="00C2514D">
        <w:rPr>
          <w:rFonts w:ascii="Arial" w:hAnsi="Arial" w:cs="Arial"/>
          <w:sz w:val="22"/>
          <w:lang w:val="en-US"/>
        </w:rPr>
        <w:t xml:space="preserve">causal analysis), </w:t>
      </w:r>
      <w:r w:rsidRPr="004904BD">
        <w:rPr>
          <w:rFonts w:ascii="Arial" w:hAnsi="Arial" w:cs="Arial"/>
          <w:sz w:val="22"/>
          <w:lang w:val="en-US"/>
        </w:rPr>
        <w:t xml:space="preserve">Table </w:t>
      </w:r>
      <w:r w:rsidR="001E2A63" w:rsidRPr="004904BD">
        <w:rPr>
          <w:rFonts w:ascii="Arial" w:hAnsi="Arial" w:cs="Arial"/>
          <w:sz w:val="22"/>
          <w:lang w:val="en-US"/>
        </w:rPr>
        <w:t>3</w:t>
      </w:r>
      <w:r w:rsidRPr="004904BD">
        <w:rPr>
          <w:rFonts w:ascii="Arial" w:hAnsi="Arial" w:cs="Arial"/>
          <w:sz w:val="22"/>
          <w:lang w:val="en-US"/>
        </w:rPr>
        <w:t>, extracted from Robertson and Swanepoel (2015)</w:t>
      </w:r>
      <w:r w:rsidR="00FD76E8" w:rsidRPr="004904BD">
        <w:rPr>
          <w:rFonts w:ascii="Arial" w:hAnsi="Arial" w:cs="Arial"/>
          <w:sz w:val="22"/>
          <w:lang w:val="en-US"/>
        </w:rPr>
        <w:t>,</w:t>
      </w:r>
      <w:r w:rsidRPr="004904BD">
        <w:rPr>
          <w:rFonts w:ascii="Arial" w:hAnsi="Arial" w:cs="Arial"/>
          <w:sz w:val="22"/>
          <w:lang w:val="en-US"/>
        </w:rPr>
        <w:t xml:space="preserve"> summarizes </w:t>
      </w:r>
      <w:r w:rsidR="00400D7C" w:rsidRPr="004904BD">
        <w:rPr>
          <w:rFonts w:ascii="Arial" w:hAnsi="Arial" w:cs="Arial"/>
          <w:sz w:val="22"/>
          <w:lang w:val="en-US"/>
        </w:rPr>
        <w:t>recent</w:t>
      </w:r>
      <w:r w:rsidRPr="004904BD">
        <w:rPr>
          <w:rFonts w:ascii="Arial" w:hAnsi="Arial" w:cs="Arial"/>
          <w:sz w:val="22"/>
          <w:lang w:val="en-US"/>
        </w:rPr>
        <w:t xml:space="preserve"> </w:t>
      </w:r>
      <w:r w:rsidR="00FD76E8" w:rsidRPr="004904BD">
        <w:rPr>
          <w:rFonts w:ascii="Arial" w:hAnsi="Arial" w:cs="Arial"/>
          <w:sz w:val="22"/>
          <w:lang w:val="en-US"/>
        </w:rPr>
        <w:t>estimation</w:t>
      </w:r>
      <w:r w:rsidR="00400D7C" w:rsidRPr="004904BD">
        <w:rPr>
          <w:rFonts w:ascii="Arial" w:hAnsi="Arial" w:cs="Arial"/>
          <w:sz w:val="22"/>
          <w:lang w:val="en-US"/>
        </w:rPr>
        <w:t>s</w:t>
      </w:r>
      <w:r w:rsidR="00FD76E8" w:rsidRPr="004904BD">
        <w:rPr>
          <w:rFonts w:ascii="Arial" w:hAnsi="Arial" w:cs="Arial"/>
          <w:sz w:val="22"/>
          <w:lang w:val="en-US"/>
        </w:rPr>
        <w:t xml:space="preserve"> of </w:t>
      </w:r>
      <w:r w:rsidRPr="004904BD">
        <w:rPr>
          <w:rFonts w:ascii="Arial" w:hAnsi="Arial" w:cs="Arial"/>
          <w:sz w:val="22"/>
          <w:lang w:val="en-US"/>
        </w:rPr>
        <w:t>impacts of standards adoption for several develop</w:t>
      </w:r>
      <w:r w:rsidR="00FD76E8" w:rsidRPr="004904BD">
        <w:rPr>
          <w:rFonts w:ascii="Arial" w:hAnsi="Arial" w:cs="Arial"/>
          <w:sz w:val="22"/>
          <w:lang w:val="en-US"/>
        </w:rPr>
        <w:t>ed economies. Besides the size of the impacts, that are not</w:t>
      </w:r>
      <w:r w:rsidR="00132B6C">
        <w:rPr>
          <w:rFonts w:ascii="Arial" w:hAnsi="Arial" w:cs="Arial"/>
          <w:sz w:val="22"/>
          <w:lang w:val="en-US"/>
        </w:rPr>
        <w:t xml:space="preserve"> directly</w:t>
      </w:r>
      <w:r w:rsidR="00FD76E8" w:rsidRPr="004904BD">
        <w:rPr>
          <w:rFonts w:ascii="Arial" w:hAnsi="Arial" w:cs="Arial"/>
          <w:sz w:val="22"/>
          <w:lang w:val="en-US"/>
        </w:rPr>
        <w:t xml:space="preserve"> translatable to our case, it is interesting to emphasize </w:t>
      </w:r>
      <w:r w:rsidR="00C97A74" w:rsidRPr="004904BD">
        <w:rPr>
          <w:rFonts w:ascii="Arial" w:hAnsi="Arial" w:cs="Arial"/>
          <w:sz w:val="22"/>
          <w:lang w:val="en-US"/>
        </w:rPr>
        <w:t xml:space="preserve">two aspects: first, that there is strong empirical evidence for developed economies that lends validity </w:t>
      </w:r>
      <w:r w:rsidR="00400D7C" w:rsidRPr="004904BD">
        <w:rPr>
          <w:rFonts w:ascii="Arial" w:hAnsi="Arial" w:cs="Arial"/>
          <w:sz w:val="22"/>
          <w:lang w:val="en-US"/>
        </w:rPr>
        <w:t>to</w:t>
      </w:r>
      <w:r w:rsidR="00C97A74" w:rsidRPr="004904BD">
        <w:rPr>
          <w:rFonts w:ascii="Arial" w:hAnsi="Arial" w:cs="Arial"/>
          <w:sz w:val="22"/>
          <w:lang w:val="en-US"/>
        </w:rPr>
        <w:t xml:space="preserve"> the logic of the proposed intervention as implementation or strengthening of NQI systems are related to growth of production, productivity and exports; and second, </w:t>
      </w:r>
      <w:r w:rsidR="00FD76E8" w:rsidRPr="004904BD">
        <w:rPr>
          <w:rFonts w:ascii="Arial" w:hAnsi="Arial" w:cs="Arial"/>
          <w:sz w:val="22"/>
          <w:lang w:val="en-US"/>
        </w:rPr>
        <w:t xml:space="preserve">that </w:t>
      </w:r>
      <w:r w:rsidR="00C97A74" w:rsidRPr="004904BD">
        <w:rPr>
          <w:rFonts w:ascii="Arial" w:hAnsi="Arial" w:cs="Arial"/>
          <w:sz w:val="22"/>
          <w:lang w:val="en-US"/>
        </w:rPr>
        <w:t xml:space="preserve">precisely these </w:t>
      </w:r>
      <w:r w:rsidR="00FD76E8" w:rsidRPr="004904BD">
        <w:rPr>
          <w:rFonts w:ascii="Arial" w:hAnsi="Arial" w:cs="Arial"/>
          <w:sz w:val="22"/>
          <w:lang w:val="en-US"/>
        </w:rPr>
        <w:t>outcomes</w:t>
      </w:r>
      <w:r w:rsidR="00400D7C" w:rsidRPr="004904BD">
        <w:rPr>
          <w:rFonts w:ascii="Arial" w:hAnsi="Arial" w:cs="Arial"/>
          <w:sz w:val="22"/>
          <w:lang w:val="en-US"/>
        </w:rPr>
        <w:t>,</w:t>
      </w:r>
      <w:r w:rsidR="00FD76E8" w:rsidRPr="004904BD">
        <w:rPr>
          <w:rFonts w:ascii="Arial" w:hAnsi="Arial" w:cs="Arial"/>
          <w:sz w:val="22"/>
          <w:lang w:val="en-US"/>
        </w:rPr>
        <w:t xml:space="preserve"> used to measure the impact of adoption on the economy</w:t>
      </w:r>
      <w:r w:rsidR="00400D7C" w:rsidRPr="004904BD">
        <w:rPr>
          <w:rFonts w:ascii="Arial" w:hAnsi="Arial" w:cs="Arial"/>
          <w:sz w:val="22"/>
          <w:lang w:val="en-US"/>
        </w:rPr>
        <w:t>,</w:t>
      </w:r>
      <w:r w:rsidR="00FD76E8" w:rsidRPr="004904BD">
        <w:rPr>
          <w:rFonts w:ascii="Arial" w:hAnsi="Arial" w:cs="Arial"/>
          <w:sz w:val="22"/>
          <w:lang w:val="en-US"/>
        </w:rPr>
        <w:t xml:space="preserve"> are aligned to the expected impacts of this project:  </w:t>
      </w:r>
      <w:r w:rsidR="005A0682" w:rsidRPr="004904BD">
        <w:rPr>
          <w:rFonts w:ascii="Arial" w:hAnsi="Arial" w:cs="Arial"/>
          <w:sz w:val="22"/>
          <w:lang w:val="en-US"/>
        </w:rPr>
        <w:t>increase productivity, exports and in general economic growth.</w:t>
      </w:r>
    </w:p>
    <w:p w:rsidR="0006432D" w:rsidRPr="00C2514D" w:rsidRDefault="0006432D" w:rsidP="0006432D">
      <w:pPr>
        <w:pStyle w:val="Paragraph"/>
        <w:numPr>
          <w:ilvl w:val="0"/>
          <w:numId w:val="0"/>
        </w:numPr>
        <w:jc w:val="center"/>
        <w:rPr>
          <w:b/>
          <w:sz w:val="32"/>
          <w:lang w:val="en-US"/>
        </w:rPr>
      </w:pPr>
      <w:r w:rsidRPr="004904BD">
        <w:rPr>
          <w:rFonts w:ascii="Arial" w:eastAsiaTheme="minorHAnsi" w:hAnsi="Arial" w:cs="Arial"/>
          <w:b/>
          <w:color w:val="000000"/>
          <w:spacing w:val="0"/>
          <w:sz w:val="22"/>
          <w:szCs w:val="18"/>
          <w:lang w:val="en-US"/>
        </w:rPr>
        <w:t xml:space="preserve">Table </w:t>
      </w:r>
      <w:r w:rsidR="001E2A63" w:rsidRPr="004904BD">
        <w:rPr>
          <w:rFonts w:ascii="Arial" w:eastAsiaTheme="minorHAnsi" w:hAnsi="Arial" w:cs="Arial"/>
          <w:b/>
          <w:color w:val="000000"/>
          <w:spacing w:val="0"/>
          <w:sz w:val="22"/>
          <w:szCs w:val="18"/>
          <w:lang w:val="en-US"/>
        </w:rPr>
        <w:t>3</w:t>
      </w:r>
      <w:r w:rsidRPr="004904BD">
        <w:rPr>
          <w:rFonts w:ascii="Arial" w:eastAsiaTheme="minorHAnsi" w:hAnsi="Arial" w:cs="Arial"/>
          <w:b/>
          <w:color w:val="000000"/>
          <w:spacing w:val="0"/>
          <w:sz w:val="22"/>
          <w:szCs w:val="18"/>
          <w:lang w:val="en-US"/>
        </w:rPr>
        <w:t>. International studies that quantifies the economic</w:t>
      </w:r>
      <w:r w:rsidRPr="00C2514D">
        <w:rPr>
          <w:rFonts w:ascii="Arial" w:eastAsiaTheme="minorHAnsi" w:hAnsi="Arial" w:cs="Arial"/>
          <w:b/>
          <w:color w:val="000000"/>
          <w:spacing w:val="0"/>
          <w:sz w:val="22"/>
          <w:szCs w:val="18"/>
          <w:lang w:val="en-US"/>
        </w:rPr>
        <w:t xml:space="preserve"> impact of </w:t>
      </w:r>
      <w:r w:rsidR="00932E80" w:rsidRPr="00C2514D">
        <w:rPr>
          <w:rFonts w:ascii="Arial" w:eastAsiaTheme="minorHAnsi" w:hAnsi="Arial" w:cs="Arial"/>
          <w:b/>
          <w:color w:val="000000"/>
          <w:spacing w:val="0"/>
          <w:sz w:val="22"/>
          <w:szCs w:val="18"/>
          <w:lang w:val="en-US"/>
        </w:rPr>
        <w:t>standards adoption</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080"/>
        <w:gridCol w:w="1620"/>
        <w:gridCol w:w="4320"/>
      </w:tblGrid>
      <w:tr w:rsidR="00885576" w:rsidRPr="00C2514D" w:rsidTr="0081255C">
        <w:trPr>
          <w:trHeight w:val="252"/>
        </w:trPr>
        <w:tc>
          <w:tcPr>
            <w:tcW w:w="1728" w:type="dxa"/>
          </w:tcPr>
          <w:p w:rsidR="00885576" w:rsidRPr="00C2514D" w:rsidRDefault="00885576" w:rsidP="0081255C">
            <w:pPr>
              <w:autoSpaceDE w:val="0"/>
              <w:autoSpaceDN w:val="0"/>
              <w:adjustRightInd w:val="0"/>
              <w:jc w:val="center"/>
              <w:rPr>
                <w:rFonts w:ascii="Arial" w:eastAsiaTheme="minorHAnsi" w:hAnsi="Arial" w:cs="Arial"/>
                <w:color w:val="000000"/>
                <w:spacing w:val="0"/>
                <w:sz w:val="18"/>
                <w:lang w:val="en-US"/>
              </w:rPr>
            </w:pPr>
            <w:r w:rsidRPr="00C2514D">
              <w:rPr>
                <w:rFonts w:ascii="Arial" w:eastAsiaTheme="minorHAnsi" w:hAnsi="Arial" w:cs="Arial"/>
                <w:iCs/>
                <w:color w:val="000000"/>
                <w:spacing w:val="0"/>
                <w:sz w:val="18"/>
                <w:lang w:val="en-US"/>
              </w:rPr>
              <w:t>Publication</w:t>
            </w:r>
          </w:p>
        </w:tc>
        <w:tc>
          <w:tcPr>
            <w:tcW w:w="1080" w:type="dxa"/>
          </w:tcPr>
          <w:p w:rsidR="00885576" w:rsidRPr="00C2514D" w:rsidRDefault="00885576" w:rsidP="0081255C">
            <w:pPr>
              <w:autoSpaceDE w:val="0"/>
              <w:autoSpaceDN w:val="0"/>
              <w:adjustRightInd w:val="0"/>
              <w:jc w:val="center"/>
              <w:rPr>
                <w:rFonts w:ascii="Arial" w:eastAsiaTheme="minorHAnsi" w:hAnsi="Arial" w:cs="Arial"/>
                <w:color w:val="000000"/>
                <w:spacing w:val="0"/>
                <w:sz w:val="18"/>
                <w:lang w:val="en-US"/>
              </w:rPr>
            </w:pPr>
            <w:r w:rsidRPr="00C2514D">
              <w:rPr>
                <w:rFonts w:ascii="Arial" w:eastAsiaTheme="minorHAnsi" w:hAnsi="Arial" w:cs="Arial"/>
                <w:iCs/>
                <w:color w:val="000000"/>
                <w:spacing w:val="0"/>
                <w:sz w:val="18"/>
                <w:lang w:val="en-US"/>
              </w:rPr>
              <w:t>Country / Region focus</w:t>
            </w:r>
          </w:p>
        </w:tc>
        <w:tc>
          <w:tcPr>
            <w:tcW w:w="1620" w:type="dxa"/>
          </w:tcPr>
          <w:p w:rsidR="00885576" w:rsidRPr="00C2514D" w:rsidRDefault="00885576" w:rsidP="0081255C">
            <w:pPr>
              <w:autoSpaceDE w:val="0"/>
              <w:autoSpaceDN w:val="0"/>
              <w:adjustRightInd w:val="0"/>
              <w:jc w:val="center"/>
              <w:rPr>
                <w:rFonts w:ascii="Arial" w:eastAsiaTheme="minorHAnsi" w:hAnsi="Arial" w:cs="Arial"/>
                <w:color w:val="000000"/>
                <w:spacing w:val="0"/>
                <w:sz w:val="18"/>
                <w:lang w:val="en-US"/>
              </w:rPr>
            </w:pPr>
            <w:r w:rsidRPr="00C2514D">
              <w:rPr>
                <w:rFonts w:ascii="Arial" w:eastAsiaTheme="minorHAnsi" w:hAnsi="Arial" w:cs="Arial"/>
                <w:iCs/>
                <w:color w:val="000000"/>
                <w:spacing w:val="0"/>
                <w:sz w:val="18"/>
                <w:lang w:val="en-US"/>
              </w:rPr>
              <w:t>Methodology</w:t>
            </w:r>
          </w:p>
        </w:tc>
        <w:tc>
          <w:tcPr>
            <w:tcW w:w="4320" w:type="dxa"/>
          </w:tcPr>
          <w:p w:rsidR="00885576" w:rsidRPr="00C2514D" w:rsidRDefault="00885576" w:rsidP="0081255C">
            <w:pPr>
              <w:autoSpaceDE w:val="0"/>
              <w:autoSpaceDN w:val="0"/>
              <w:adjustRightInd w:val="0"/>
              <w:jc w:val="center"/>
              <w:rPr>
                <w:rFonts w:ascii="Arial" w:eastAsiaTheme="minorHAnsi" w:hAnsi="Arial" w:cs="Arial"/>
                <w:color w:val="000000"/>
                <w:spacing w:val="0"/>
                <w:sz w:val="18"/>
                <w:lang w:val="en-US"/>
              </w:rPr>
            </w:pPr>
            <w:r w:rsidRPr="00C2514D">
              <w:rPr>
                <w:rFonts w:ascii="Arial" w:eastAsiaTheme="minorHAnsi" w:hAnsi="Arial" w:cs="Arial"/>
                <w:iCs/>
                <w:color w:val="000000"/>
                <w:spacing w:val="0"/>
                <w:sz w:val="18"/>
                <w:lang w:val="en-US"/>
              </w:rPr>
              <w:t>Quantification of impacts</w:t>
            </w:r>
          </w:p>
        </w:tc>
      </w:tr>
      <w:tr w:rsidR="00885576" w:rsidRPr="00CC7C33" w:rsidTr="0081255C">
        <w:trPr>
          <w:trHeight w:val="271"/>
        </w:trPr>
        <w:tc>
          <w:tcPr>
            <w:tcW w:w="1728"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CIE (2006) </w:t>
            </w:r>
          </w:p>
        </w:tc>
        <w:tc>
          <w:tcPr>
            <w:tcW w:w="1080"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Australia </w:t>
            </w:r>
          </w:p>
        </w:tc>
        <w:tc>
          <w:tcPr>
            <w:tcW w:w="1620"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Statistical approach and case studies </w:t>
            </w:r>
          </w:p>
        </w:tc>
        <w:tc>
          <w:tcPr>
            <w:tcW w:w="4320" w:type="dxa"/>
          </w:tcPr>
          <w:p w:rsidR="00885576" w:rsidRPr="00C2514D" w:rsidRDefault="00885576" w:rsidP="0081255C">
            <w:pPr>
              <w:autoSpaceDE w:val="0"/>
              <w:autoSpaceDN w:val="0"/>
              <w:adjustRightInd w:val="0"/>
              <w:jc w:val="both"/>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A 1 per cent increase in the stock of standards is associated with a 0.12 per cent to 0.17 per cent increase in economy-wide productivity. </w:t>
            </w:r>
          </w:p>
        </w:tc>
      </w:tr>
      <w:tr w:rsidR="00885576" w:rsidRPr="00CC7C33" w:rsidTr="0081255C">
        <w:trPr>
          <w:trHeight w:val="374"/>
        </w:trPr>
        <w:tc>
          <w:tcPr>
            <w:tcW w:w="1728"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Standards Australia (2013) </w:t>
            </w:r>
          </w:p>
        </w:tc>
        <w:tc>
          <w:tcPr>
            <w:tcW w:w="1080"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Australia </w:t>
            </w:r>
          </w:p>
        </w:tc>
        <w:tc>
          <w:tcPr>
            <w:tcW w:w="1620"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Economic modelling </w:t>
            </w:r>
          </w:p>
        </w:tc>
        <w:tc>
          <w:tcPr>
            <w:tcW w:w="4320" w:type="dxa"/>
          </w:tcPr>
          <w:p w:rsidR="00885576" w:rsidRPr="00C2514D" w:rsidRDefault="00885576" w:rsidP="0081255C">
            <w:pPr>
              <w:autoSpaceDE w:val="0"/>
              <w:autoSpaceDN w:val="0"/>
              <w:adjustRightInd w:val="0"/>
              <w:jc w:val="both"/>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A 1 per cent increase in the production of standards is associated with a 0.17 per cent increase in GDP, which translates to approximately $2.8 billion in 2009. </w:t>
            </w:r>
          </w:p>
        </w:tc>
      </w:tr>
      <w:tr w:rsidR="00885576" w:rsidRPr="00CC7C33" w:rsidTr="0081255C">
        <w:trPr>
          <w:trHeight w:val="789"/>
        </w:trPr>
        <w:tc>
          <w:tcPr>
            <w:tcW w:w="1728"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Haimowitz and Warren (2007) </w:t>
            </w:r>
          </w:p>
        </w:tc>
        <w:tc>
          <w:tcPr>
            <w:tcW w:w="1080"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Canada </w:t>
            </w:r>
          </w:p>
        </w:tc>
        <w:tc>
          <w:tcPr>
            <w:tcW w:w="1620"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Economic modelling and interviews </w:t>
            </w:r>
          </w:p>
        </w:tc>
        <w:tc>
          <w:tcPr>
            <w:tcW w:w="4320" w:type="dxa"/>
          </w:tcPr>
          <w:p w:rsidR="00885576" w:rsidRPr="00C2514D" w:rsidRDefault="00885576" w:rsidP="00584051">
            <w:pPr>
              <w:autoSpaceDE w:val="0"/>
              <w:autoSpaceDN w:val="0"/>
              <w:adjustRightInd w:val="0"/>
              <w:jc w:val="both"/>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A 10 per cent increase in the number of standards would lead to a 3.56 per cent increase in labor productivity. Over the period of 1981–2004, standardi</w:t>
            </w:r>
            <w:r w:rsidR="00584051" w:rsidRPr="00C2514D">
              <w:rPr>
                <w:rFonts w:ascii="Arial" w:eastAsiaTheme="minorHAnsi" w:hAnsi="Arial" w:cs="Arial"/>
                <w:color w:val="000000"/>
                <w:spacing w:val="0"/>
                <w:sz w:val="18"/>
                <w:lang w:val="en-US"/>
              </w:rPr>
              <w:t>z</w:t>
            </w:r>
            <w:r w:rsidRPr="00C2514D">
              <w:rPr>
                <w:rFonts w:ascii="Arial" w:eastAsiaTheme="minorHAnsi" w:hAnsi="Arial" w:cs="Arial"/>
                <w:color w:val="000000"/>
                <w:spacing w:val="0"/>
                <w:sz w:val="18"/>
                <w:lang w:val="en-US"/>
              </w:rPr>
              <w:t xml:space="preserve">ation accounted for 17 per </w:t>
            </w:r>
            <w:r w:rsidR="00584051" w:rsidRPr="00C2514D">
              <w:rPr>
                <w:rFonts w:ascii="Arial" w:eastAsiaTheme="minorHAnsi" w:hAnsi="Arial" w:cs="Arial"/>
                <w:color w:val="000000"/>
                <w:spacing w:val="0"/>
                <w:sz w:val="18"/>
                <w:lang w:val="en-US"/>
              </w:rPr>
              <w:t>cent of the growth rate in labo</w:t>
            </w:r>
            <w:r w:rsidRPr="00C2514D">
              <w:rPr>
                <w:rFonts w:ascii="Arial" w:eastAsiaTheme="minorHAnsi" w:hAnsi="Arial" w:cs="Arial"/>
                <w:color w:val="000000"/>
                <w:spacing w:val="0"/>
                <w:sz w:val="18"/>
                <w:lang w:val="en-US"/>
              </w:rPr>
              <w:t xml:space="preserve">r productivity, which translates into approximately 9 per cent of the growth rate in output (real GDP). In 2004, the level of economic output (real GDP) would be expected to be $62 billion lower if there had been no growth in standards over the 1981–2004 period. </w:t>
            </w:r>
          </w:p>
        </w:tc>
      </w:tr>
      <w:tr w:rsidR="00885576" w:rsidRPr="00CC7C33" w:rsidTr="0081255C">
        <w:trPr>
          <w:trHeight w:val="271"/>
        </w:trPr>
        <w:tc>
          <w:tcPr>
            <w:tcW w:w="1728"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Williams (2002) </w:t>
            </w:r>
          </w:p>
        </w:tc>
        <w:tc>
          <w:tcPr>
            <w:tcW w:w="1080"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EU </w:t>
            </w:r>
          </w:p>
        </w:tc>
        <w:tc>
          <w:tcPr>
            <w:tcW w:w="1620"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Econometric estimation, Cost-Benefit Analysis and Case Studies </w:t>
            </w:r>
          </w:p>
        </w:tc>
        <w:tc>
          <w:tcPr>
            <w:tcW w:w="4320" w:type="dxa"/>
          </w:tcPr>
          <w:p w:rsidR="00885576" w:rsidRPr="00C2514D" w:rsidRDefault="00885576" w:rsidP="0081255C">
            <w:pPr>
              <w:autoSpaceDE w:val="0"/>
              <w:autoSpaceDN w:val="0"/>
              <w:adjustRightInd w:val="0"/>
              <w:jc w:val="both"/>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Measurement produces returns equivalent to 2.7 per cent of GDP with a benefit-to-cost ratio of nearly 3:1. </w:t>
            </w:r>
          </w:p>
        </w:tc>
      </w:tr>
      <w:tr w:rsidR="00885576" w:rsidRPr="00CC7C33" w:rsidTr="0081255C">
        <w:trPr>
          <w:trHeight w:val="821"/>
        </w:trPr>
        <w:tc>
          <w:tcPr>
            <w:tcW w:w="1728"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Miotti (2009) </w:t>
            </w:r>
          </w:p>
        </w:tc>
        <w:tc>
          <w:tcPr>
            <w:tcW w:w="1080"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France </w:t>
            </w:r>
          </w:p>
        </w:tc>
        <w:tc>
          <w:tcPr>
            <w:tcW w:w="1620"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Economic modelling and interviews </w:t>
            </w:r>
          </w:p>
        </w:tc>
        <w:tc>
          <w:tcPr>
            <w:tcW w:w="4320" w:type="dxa"/>
          </w:tcPr>
          <w:p w:rsidR="00885576" w:rsidRPr="00C2514D" w:rsidRDefault="00885576" w:rsidP="00584051">
            <w:pPr>
              <w:autoSpaceDE w:val="0"/>
              <w:autoSpaceDN w:val="0"/>
              <w:adjustRightInd w:val="0"/>
              <w:jc w:val="both"/>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The elasticity coefficient of 0.12 indicates that a positive variation in the stock of standards of 1 per cent induces an increase of 0.12 per cent in the growth of TFP. The impact of standards for the period 1950–2007 on TFP (and consequently on the total growth of the French economy) is 0.81 per cent per year on average. Over 66 per cent of the companies interviewed stated that standardi</w:t>
            </w:r>
            <w:r w:rsidR="00584051" w:rsidRPr="00C2514D">
              <w:rPr>
                <w:rFonts w:ascii="Arial" w:eastAsiaTheme="minorHAnsi" w:hAnsi="Arial" w:cs="Arial"/>
                <w:color w:val="000000"/>
                <w:spacing w:val="0"/>
                <w:sz w:val="18"/>
                <w:lang w:val="en-US"/>
              </w:rPr>
              <w:t>z</w:t>
            </w:r>
            <w:r w:rsidRPr="00C2514D">
              <w:rPr>
                <w:rFonts w:ascii="Arial" w:eastAsiaTheme="minorHAnsi" w:hAnsi="Arial" w:cs="Arial"/>
                <w:color w:val="000000"/>
                <w:spacing w:val="0"/>
                <w:sz w:val="18"/>
                <w:lang w:val="en-US"/>
              </w:rPr>
              <w:t xml:space="preserve">ation contributes to the generation of profits. </w:t>
            </w:r>
          </w:p>
        </w:tc>
      </w:tr>
      <w:tr w:rsidR="00885576" w:rsidRPr="00CC7C33" w:rsidTr="0081255C">
        <w:trPr>
          <w:trHeight w:val="271"/>
        </w:trPr>
        <w:tc>
          <w:tcPr>
            <w:tcW w:w="1728"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Jungmittag et. al. (2011) </w:t>
            </w:r>
          </w:p>
        </w:tc>
        <w:tc>
          <w:tcPr>
            <w:tcW w:w="1080"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Germany </w:t>
            </w:r>
          </w:p>
        </w:tc>
        <w:tc>
          <w:tcPr>
            <w:tcW w:w="1620"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Econometric modelling </w:t>
            </w:r>
          </w:p>
        </w:tc>
        <w:tc>
          <w:tcPr>
            <w:tcW w:w="4320" w:type="dxa"/>
          </w:tcPr>
          <w:p w:rsidR="00885576" w:rsidRPr="00C2514D" w:rsidRDefault="00885576" w:rsidP="00584051">
            <w:pPr>
              <w:autoSpaceDE w:val="0"/>
              <w:autoSpaceDN w:val="0"/>
              <w:adjustRightInd w:val="0"/>
              <w:jc w:val="both"/>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The economic benefit of standardi</w:t>
            </w:r>
            <w:r w:rsidR="00584051" w:rsidRPr="00C2514D">
              <w:rPr>
                <w:rFonts w:ascii="Arial" w:eastAsiaTheme="minorHAnsi" w:hAnsi="Arial" w:cs="Arial"/>
                <w:color w:val="000000"/>
                <w:spacing w:val="0"/>
                <w:sz w:val="18"/>
                <w:lang w:val="en-US"/>
              </w:rPr>
              <w:t>z</w:t>
            </w:r>
            <w:r w:rsidRPr="00C2514D">
              <w:rPr>
                <w:rFonts w:ascii="Arial" w:eastAsiaTheme="minorHAnsi" w:hAnsi="Arial" w:cs="Arial"/>
                <w:color w:val="000000"/>
                <w:spacing w:val="0"/>
                <w:sz w:val="18"/>
                <w:lang w:val="en-US"/>
              </w:rPr>
              <w:t xml:space="preserve">ation is equivalent to 0.72 per cent of GDP per year. </w:t>
            </w:r>
          </w:p>
        </w:tc>
      </w:tr>
      <w:tr w:rsidR="00885576" w:rsidRPr="00CC7C33" w:rsidTr="0081255C">
        <w:trPr>
          <w:trHeight w:val="477"/>
        </w:trPr>
        <w:tc>
          <w:tcPr>
            <w:tcW w:w="1728"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Stokes et. al. (2011) </w:t>
            </w:r>
          </w:p>
        </w:tc>
        <w:tc>
          <w:tcPr>
            <w:tcW w:w="1080"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New Zealand </w:t>
            </w:r>
          </w:p>
        </w:tc>
        <w:tc>
          <w:tcPr>
            <w:tcW w:w="1620"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Econometric estimation (incl. CGE modelling) and case studies </w:t>
            </w:r>
          </w:p>
        </w:tc>
        <w:tc>
          <w:tcPr>
            <w:tcW w:w="4320" w:type="dxa"/>
          </w:tcPr>
          <w:p w:rsidR="00885576" w:rsidRPr="00C2514D" w:rsidRDefault="00885576" w:rsidP="0081255C">
            <w:pPr>
              <w:autoSpaceDE w:val="0"/>
              <w:autoSpaceDN w:val="0"/>
              <w:adjustRightInd w:val="0"/>
              <w:jc w:val="both"/>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A 1 per cent increase in the stock of standards leads to a 0.1 per cent increase in total factor productivity and a </w:t>
            </w:r>
            <w:r w:rsidR="00584051" w:rsidRPr="00C2514D">
              <w:rPr>
                <w:rFonts w:ascii="Arial" w:eastAsiaTheme="minorHAnsi" w:hAnsi="Arial" w:cs="Arial"/>
                <w:color w:val="000000"/>
                <w:spacing w:val="0"/>
                <w:sz w:val="18"/>
                <w:lang w:val="en-US"/>
              </w:rPr>
              <w:t>0.054 per cent increase in labo</w:t>
            </w:r>
            <w:r w:rsidRPr="00C2514D">
              <w:rPr>
                <w:rFonts w:ascii="Arial" w:eastAsiaTheme="minorHAnsi" w:hAnsi="Arial" w:cs="Arial"/>
                <w:color w:val="000000"/>
                <w:spacing w:val="0"/>
                <w:sz w:val="18"/>
                <w:lang w:val="en-US"/>
              </w:rPr>
              <w:t xml:space="preserve">r productivity. Thus, in turn, lead to a 0.3 to 1 per </w:t>
            </w:r>
            <w:r w:rsidRPr="00C2514D">
              <w:rPr>
                <w:rFonts w:ascii="Arial" w:eastAsiaTheme="minorHAnsi" w:hAnsi="Arial" w:cs="Arial"/>
                <w:color w:val="000000"/>
                <w:spacing w:val="0"/>
                <w:sz w:val="18"/>
                <w:lang w:val="en-US"/>
              </w:rPr>
              <w:lastRenderedPageBreak/>
              <w:t xml:space="preserve">cent addition to GDP over a 10-year period. </w:t>
            </w:r>
          </w:p>
        </w:tc>
      </w:tr>
      <w:tr w:rsidR="00885576" w:rsidRPr="00CC7C33" w:rsidTr="0081255C">
        <w:trPr>
          <w:trHeight w:val="170"/>
        </w:trPr>
        <w:tc>
          <w:tcPr>
            <w:tcW w:w="1728"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lastRenderedPageBreak/>
              <w:t xml:space="preserve">UK DTI (2005) </w:t>
            </w:r>
          </w:p>
        </w:tc>
        <w:tc>
          <w:tcPr>
            <w:tcW w:w="1080"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UK </w:t>
            </w:r>
          </w:p>
        </w:tc>
        <w:tc>
          <w:tcPr>
            <w:tcW w:w="1620" w:type="dxa"/>
          </w:tcPr>
          <w:p w:rsidR="00885576" w:rsidRPr="00C2514D" w:rsidRDefault="00885576"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Economic modelling </w:t>
            </w:r>
          </w:p>
        </w:tc>
        <w:tc>
          <w:tcPr>
            <w:tcW w:w="4320" w:type="dxa"/>
          </w:tcPr>
          <w:p w:rsidR="0006432D" w:rsidRPr="00C2514D" w:rsidRDefault="00885576" w:rsidP="0081255C">
            <w:pPr>
              <w:autoSpaceDE w:val="0"/>
              <w:autoSpaceDN w:val="0"/>
              <w:adjustRightInd w:val="0"/>
              <w:jc w:val="both"/>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 xml:space="preserve">The elasticity of labor productivity with respect to the number of standards </w:t>
            </w:r>
          </w:p>
          <w:p w:rsidR="0006432D" w:rsidRPr="00C2514D" w:rsidRDefault="0006432D" w:rsidP="0081255C">
            <w:pPr>
              <w:pStyle w:val="Default"/>
              <w:jc w:val="both"/>
              <w:rPr>
                <w:rFonts w:ascii="Arial" w:hAnsi="Arial" w:cs="Arial"/>
                <w:sz w:val="18"/>
                <w:szCs w:val="20"/>
              </w:rPr>
            </w:pPr>
            <w:r w:rsidRPr="00C2514D">
              <w:rPr>
                <w:rFonts w:ascii="Arial" w:hAnsi="Arial" w:cs="Arial"/>
                <w:sz w:val="18"/>
                <w:szCs w:val="20"/>
              </w:rPr>
              <w:t xml:space="preserve">of 0.05 suggests that a 1 per cent increase </w:t>
            </w:r>
          </w:p>
          <w:p w:rsidR="0006432D" w:rsidRPr="00C2514D" w:rsidRDefault="0006432D" w:rsidP="00584051">
            <w:pPr>
              <w:autoSpaceDE w:val="0"/>
              <w:autoSpaceDN w:val="0"/>
              <w:adjustRightInd w:val="0"/>
              <w:jc w:val="both"/>
              <w:rPr>
                <w:rFonts w:ascii="Arial" w:eastAsiaTheme="minorHAnsi" w:hAnsi="Arial" w:cs="Arial"/>
                <w:color w:val="000000"/>
                <w:spacing w:val="0"/>
                <w:sz w:val="18"/>
                <w:lang w:val="en-US"/>
              </w:rPr>
            </w:pPr>
            <w:r w:rsidRPr="00C2514D">
              <w:rPr>
                <w:rFonts w:ascii="Arial" w:hAnsi="Arial" w:cs="Arial"/>
                <w:sz w:val="18"/>
                <w:lang w:val="en-US"/>
              </w:rPr>
              <w:t xml:space="preserve">in the standards catalogue is associated with a 0.05 per cent increase in labor productivity. </w:t>
            </w:r>
          </w:p>
        </w:tc>
      </w:tr>
      <w:tr w:rsidR="0006432D" w:rsidRPr="00CC7C33" w:rsidTr="0081255C">
        <w:trPr>
          <w:trHeight w:val="170"/>
        </w:trPr>
        <w:tc>
          <w:tcPr>
            <w:tcW w:w="1728" w:type="dxa"/>
          </w:tcPr>
          <w:p w:rsidR="0006432D" w:rsidRPr="00C2514D" w:rsidRDefault="0006432D" w:rsidP="0006432D">
            <w:pPr>
              <w:pStyle w:val="Default"/>
              <w:rPr>
                <w:rFonts w:ascii="Arial" w:hAnsi="Arial" w:cs="Arial"/>
                <w:sz w:val="18"/>
                <w:szCs w:val="20"/>
              </w:rPr>
            </w:pPr>
            <w:r w:rsidRPr="00C2514D">
              <w:rPr>
                <w:rFonts w:ascii="Arial" w:hAnsi="Arial" w:cs="Arial"/>
                <w:sz w:val="18"/>
                <w:szCs w:val="20"/>
              </w:rPr>
              <w:t xml:space="preserve">National Measurement Office (2009) </w:t>
            </w:r>
          </w:p>
          <w:p w:rsidR="0006432D" w:rsidRPr="00C2514D" w:rsidRDefault="0006432D" w:rsidP="00885576">
            <w:pPr>
              <w:autoSpaceDE w:val="0"/>
              <w:autoSpaceDN w:val="0"/>
              <w:adjustRightInd w:val="0"/>
              <w:rPr>
                <w:rFonts w:ascii="Arial" w:eastAsiaTheme="minorHAnsi" w:hAnsi="Arial" w:cs="Arial"/>
                <w:color w:val="000000"/>
                <w:spacing w:val="0"/>
                <w:sz w:val="18"/>
                <w:lang w:val="en-US"/>
              </w:rPr>
            </w:pPr>
          </w:p>
        </w:tc>
        <w:tc>
          <w:tcPr>
            <w:tcW w:w="1080" w:type="dxa"/>
          </w:tcPr>
          <w:p w:rsidR="0006432D" w:rsidRPr="00C2514D" w:rsidRDefault="0006432D"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UK</w:t>
            </w:r>
          </w:p>
        </w:tc>
        <w:tc>
          <w:tcPr>
            <w:tcW w:w="1620" w:type="dxa"/>
          </w:tcPr>
          <w:p w:rsidR="0006432D" w:rsidRPr="00C2514D" w:rsidRDefault="0006432D" w:rsidP="0006432D">
            <w:pPr>
              <w:pStyle w:val="Default"/>
              <w:rPr>
                <w:rFonts w:ascii="Arial" w:hAnsi="Arial" w:cs="Arial"/>
                <w:sz w:val="18"/>
                <w:szCs w:val="20"/>
              </w:rPr>
            </w:pPr>
            <w:r w:rsidRPr="00C2514D">
              <w:rPr>
                <w:rFonts w:ascii="Arial" w:hAnsi="Arial" w:cs="Arial"/>
                <w:sz w:val="18"/>
                <w:szCs w:val="20"/>
              </w:rPr>
              <w:t xml:space="preserve">Economic modelling </w:t>
            </w:r>
          </w:p>
          <w:p w:rsidR="0006432D" w:rsidRPr="00C2514D" w:rsidRDefault="0006432D" w:rsidP="00885576">
            <w:pPr>
              <w:autoSpaceDE w:val="0"/>
              <w:autoSpaceDN w:val="0"/>
              <w:adjustRightInd w:val="0"/>
              <w:rPr>
                <w:rFonts w:ascii="Arial" w:eastAsiaTheme="minorHAnsi" w:hAnsi="Arial" w:cs="Arial"/>
                <w:color w:val="000000"/>
                <w:spacing w:val="0"/>
                <w:sz w:val="18"/>
                <w:lang w:val="en-US"/>
              </w:rPr>
            </w:pPr>
          </w:p>
        </w:tc>
        <w:tc>
          <w:tcPr>
            <w:tcW w:w="4320" w:type="dxa"/>
          </w:tcPr>
          <w:p w:rsidR="0006432D" w:rsidRPr="00C2514D" w:rsidRDefault="0006432D" w:rsidP="00584051">
            <w:pPr>
              <w:pStyle w:val="Default"/>
              <w:jc w:val="both"/>
              <w:rPr>
                <w:rFonts w:ascii="Arial" w:hAnsi="Arial" w:cs="Arial"/>
                <w:sz w:val="18"/>
                <w:szCs w:val="20"/>
              </w:rPr>
            </w:pPr>
            <w:r w:rsidRPr="00C2514D">
              <w:rPr>
                <w:rFonts w:ascii="Arial" w:hAnsi="Arial" w:cs="Arial"/>
                <w:sz w:val="18"/>
                <w:szCs w:val="20"/>
              </w:rPr>
              <w:t xml:space="preserve">Additional government investment of £6 million (an additional 10 per cent investment) in the National Measurement System would produce a return of £300 to £400 million for the UK economy. </w:t>
            </w:r>
          </w:p>
        </w:tc>
      </w:tr>
      <w:tr w:rsidR="0006432D" w:rsidRPr="00CC7C33" w:rsidTr="0081255C">
        <w:trPr>
          <w:trHeight w:val="170"/>
        </w:trPr>
        <w:tc>
          <w:tcPr>
            <w:tcW w:w="1728" w:type="dxa"/>
          </w:tcPr>
          <w:p w:rsidR="0006432D" w:rsidRPr="00C2514D" w:rsidRDefault="0006432D" w:rsidP="0006432D">
            <w:pPr>
              <w:pStyle w:val="Default"/>
              <w:rPr>
                <w:rFonts w:ascii="Arial" w:hAnsi="Arial" w:cs="Arial"/>
                <w:sz w:val="18"/>
                <w:szCs w:val="20"/>
              </w:rPr>
            </w:pPr>
            <w:r w:rsidRPr="00C2514D">
              <w:rPr>
                <w:rFonts w:ascii="Arial" w:hAnsi="Arial" w:cs="Arial"/>
                <w:sz w:val="18"/>
                <w:szCs w:val="20"/>
              </w:rPr>
              <w:t xml:space="preserve">Centre for Economics and Business Research (2015) </w:t>
            </w:r>
          </w:p>
          <w:p w:rsidR="0006432D" w:rsidRPr="00C2514D" w:rsidRDefault="0006432D" w:rsidP="0006432D">
            <w:pPr>
              <w:pStyle w:val="Default"/>
              <w:rPr>
                <w:rFonts w:ascii="Arial" w:hAnsi="Arial" w:cs="Arial"/>
                <w:sz w:val="18"/>
                <w:szCs w:val="20"/>
              </w:rPr>
            </w:pPr>
          </w:p>
        </w:tc>
        <w:tc>
          <w:tcPr>
            <w:tcW w:w="1080" w:type="dxa"/>
          </w:tcPr>
          <w:p w:rsidR="0006432D" w:rsidRPr="00C2514D" w:rsidRDefault="0006432D"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UK</w:t>
            </w:r>
          </w:p>
        </w:tc>
        <w:tc>
          <w:tcPr>
            <w:tcW w:w="1620" w:type="dxa"/>
          </w:tcPr>
          <w:p w:rsidR="0006432D" w:rsidRPr="00C2514D" w:rsidRDefault="0006432D" w:rsidP="0006432D">
            <w:pPr>
              <w:pStyle w:val="Default"/>
              <w:rPr>
                <w:rFonts w:ascii="Arial" w:hAnsi="Arial" w:cs="Arial"/>
                <w:sz w:val="18"/>
                <w:szCs w:val="20"/>
              </w:rPr>
            </w:pPr>
            <w:r w:rsidRPr="00C2514D">
              <w:rPr>
                <w:rFonts w:ascii="Arial" w:hAnsi="Arial" w:cs="Arial"/>
                <w:sz w:val="18"/>
                <w:szCs w:val="20"/>
              </w:rPr>
              <w:t xml:space="preserve">Econometric analysis, surveys, interviews and case studies. </w:t>
            </w:r>
          </w:p>
          <w:p w:rsidR="0006432D" w:rsidRPr="00C2514D" w:rsidRDefault="0006432D" w:rsidP="0006432D">
            <w:pPr>
              <w:pStyle w:val="Default"/>
              <w:rPr>
                <w:rFonts w:ascii="Arial" w:hAnsi="Arial" w:cs="Arial"/>
                <w:sz w:val="18"/>
                <w:szCs w:val="20"/>
              </w:rPr>
            </w:pPr>
          </w:p>
        </w:tc>
        <w:tc>
          <w:tcPr>
            <w:tcW w:w="4320" w:type="dxa"/>
          </w:tcPr>
          <w:p w:rsidR="0006432D" w:rsidRPr="00C2514D" w:rsidRDefault="0006432D" w:rsidP="00584051">
            <w:pPr>
              <w:pStyle w:val="Default"/>
              <w:jc w:val="both"/>
              <w:rPr>
                <w:rFonts w:ascii="Arial" w:hAnsi="Arial" w:cs="Arial"/>
                <w:sz w:val="18"/>
                <w:szCs w:val="20"/>
              </w:rPr>
            </w:pPr>
            <w:r w:rsidRPr="00C2514D">
              <w:rPr>
                <w:rFonts w:ascii="Arial" w:hAnsi="Arial" w:cs="Arial"/>
                <w:sz w:val="18"/>
                <w:szCs w:val="20"/>
              </w:rPr>
              <w:t xml:space="preserve">Standards contribute towards 28.4 per cent of annual GDP </w:t>
            </w:r>
            <w:r w:rsidR="00584051" w:rsidRPr="00C2514D">
              <w:rPr>
                <w:rFonts w:ascii="Arial" w:hAnsi="Arial" w:cs="Arial"/>
                <w:sz w:val="18"/>
                <w:szCs w:val="20"/>
              </w:rPr>
              <w:t>growth and 37.4% of annual labo</w:t>
            </w:r>
            <w:r w:rsidRPr="00C2514D">
              <w:rPr>
                <w:rFonts w:ascii="Arial" w:hAnsi="Arial" w:cs="Arial"/>
                <w:sz w:val="18"/>
                <w:szCs w:val="20"/>
              </w:rPr>
              <w:t>r productivity growth. It support on average 3.2 per cent of additional exports per year. Companies that use standards are twice as likely to export relative to the average firm of the same size in the whole economy. The most productive sectors are the most intensive users of standards. Standards are shown to be a catalyst for innovation. At the sectoral level, impacts on annual turnover ranged from 1.7 per cent to 5.3 per cent. Survey results reflect that the majority of respondents stated that standards enhance the quality of products, optimi</w:t>
            </w:r>
            <w:r w:rsidR="0081255C" w:rsidRPr="00C2514D">
              <w:rPr>
                <w:rFonts w:ascii="Arial" w:hAnsi="Arial" w:cs="Arial"/>
                <w:sz w:val="18"/>
                <w:szCs w:val="20"/>
              </w:rPr>
              <w:t>z</w:t>
            </w:r>
            <w:r w:rsidRPr="00C2514D">
              <w:rPr>
                <w:rFonts w:ascii="Arial" w:hAnsi="Arial" w:cs="Arial"/>
                <w:sz w:val="18"/>
                <w:szCs w:val="20"/>
              </w:rPr>
              <w:t>ed their compliance with regulation, enhanced their reputation, allow them greater control of environmental problems and made technical information more accessible. Around half of companies surveyed report</w:t>
            </w:r>
            <w:r w:rsidR="00584051" w:rsidRPr="00C2514D">
              <w:rPr>
                <w:rFonts w:ascii="Arial" w:hAnsi="Arial" w:cs="Arial"/>
                <w:sz w:val="18"/>
                <w:szCs w:val="20"/>
              </w:rPr>
              <w:t>ed a net benefit from standards.</w:t>
            </w:r>
          </w:p>
        </w:tc>
      </w:tr>
      <w:tr w:rsidR="0006432D" w:rsidRPr="00CC7C33" w:rsidTr="0081255C">
        <w:trPr>
          <w:trHeight w:val="170"/>
        </w:trPr>
        <w:tc>
          <w:tcPr>
            <w:tcW w:w="1728" w:type="dxa"/>
          </w:tcPr>
          <w:p w:rsidR="0006432D" w:rsidRPr="00C2514D" w:rsidRDefault="0006432D" w:rsidP="0006432D">
            <w:pPr>
              <w:pStyle w:val="Default"/>
              <w:rPr>
                <w:rFonts w:ascii="Arial" w:hAnsi="Arial" w:cs="Arial"/>
                <w:sz w:val="18"/>
                <w:szCs w:val="20"/>
              </w:rPr>
            </w:pPr>
            <w:r w:rsidRPr="00C2514D">
              <w:rPr>
                <w:rFonts w:ascii="Arial" w:hAnsi="Arial" w:cs="Arial"/>
                <w:sz w:val="18"/>
                <w:szCs w:val="20"/>
              </w:rPr>
              <w:t xml:space="preserve">US NSIT (2000–2011) </w:t>
            </w:r>
          </w:p>
          <w:p w:rsidR="0006432D" w:rsidRPr="00C2514D" w:rsidRDefault="0006432D" w:rsidP="0006432D">
            <w:pPr>
              <w:pStyle w:val="Default"/>
              <w:rPr>
                <w:rFonts w:ascii="Arial" w:hAnsi="Arial" w:cs="Arial"/>
                <w:sz w:val="18"/>
                <w:szCs w:val="20"/>
              </w:rPr>
            </w:pPr>
          </w:p>
        </w:tc>
        <w:tc>
          <w:tcPr>
            <w:tcW w:w="1080" w:type="dxa"/>
          </w:tcPr>
          <w:p w:rsidR="0006432D" w:rsidRPr="00C2514D" w:rsidRDefault="0006432D" w:rsidP="00885576">
            <w:pPr>
              <w:autoSpaceDE w:val="0"/>
              <w:autoSpaceDN w:val="0"/>
              <w:adjustRightInd w:val="0"/>
              <w:rPr>
                <w:rFonts w:ascii="Arial" w:eastAsiaTheme="minorHAnsi" w:hAnsi="Arial" w:cs="Arial"/>
                <w:color w:val="000000"/>
                <w:spacing w:val="0"/>
                <w:sz w:val="18"/>
                <w:lang w:val="en-US"/>
              </w:rPr>
            </w:pPr>
            <w:r w:rsidRPr="00C2514D">
              <w:rPr>
                <w:rFonts w:ascii="Arial" w:eastAsiaTheme="minorHAnsi" w:hAnsi="Arial" w:cs="Arial"/>
                <w:color w:val="000000"/>
                <w:spacing w:val="0"/>
                <w:sz w:val="18"/>
                <w:lang w:val="en-US"/>
              </w:rPr>
              <w:t>US</w:t>
            </w:r>
          </w:p>
        </w:tc>
        <w:tc>
          <w:tcPr>
            <w:tcW w:w="1620" w:type="dxa"/>
          </w:tcPr>
          <w:p w:rsidR="0006432D" w:rsidRPr="00C2514D" w:rsidRDefault="0006432D" w:rsidP="0006432D">
            <w:pPr>
              <w:pStyle w:val="Default"/>
              <w:rPr>
                <w:rFonts w:ascii="Arial" w:hAnsi="Arial" w:cs="Arial"/>
                <w:sz w:val="18"/>
                <w:szCs w:val="20"/>
              </w:rPr>
            </w:pPr>
            <w:r w:rsidRPr="00C2514D">
              <w:rPr>
                <w:rFonts w:ascii="Arial" w:hAnsi="Arial" w:cs="Arial"/>
                <w:sz w:val="18"/>
                <w:szCs w:val="20"/>
              </w:rPr>
              <w:t xml:space="preserve">Laboratory economic impact studies based on benefit-cost analysis. </w:t>
            </w:r>
          </w:p>
          <w:p w:rsidR="0006432D" w:rsidRPr="00C2514D" w:rsidRDefault="0006432D" w:rsidP="0006432D">
            <w:pPr>
              <w:pStyle w:val="Default"/>
              <w:rPr>
                <w:rFonts w:ascii="Arial" w:hAnsi="Arial" w:cs="Arial"/>
                <w:sz w:val="18"/>
                <w:szCs w:val="20"/>
              </w:rPr>
            </w:pPr>
          </w:p>
        </w:tc>
        <w:tc>
          <w:tcPr>
            <w:tcW w:w="4320" w:type="dxa"/>
          </w:tcPr>
          <w:p w:rsidR="0006432D" w:rsidRPr="00C2514D" w:rsidRDefault="0006432D" w:rsidP="0081255C">
            <w:pPr>
              <w:pStyle w:val="Default"/>
              <w:jc w:val="both"/>
              <w:rPr>
                <w:rFonts w:ascii="Arial" w:hAnsi="Arial" w:cs="Arial"/>
                <w:sz w:val="18"/>
                <w:szCs w:val="20"/>
              </w:rPr>
            </w:pPr>
            <w:r w:rsidRPr="00C2514D">
              <w:rPr>
                <w:rFonts w:ascii="Arial" w:hAnsi="Arial" w:cs="Arial"/>
                <w:sz w:val="18"/>
                <w:szCs w:val="20"/>
              </w:rPr>
              <w:t>Over the 11-year period, 2000–2011, 16 economic impact studies (covering a wide range of technologies and industries) reflect an average benefit-cost ratio of 47:1. Others measures include the social (internal) rate of return, the social (implied) rate of</w:t>
            </w:r>
            <w:r w:rsidR="0081255C" w:rsidRPr="00C2514D">
              <w:rPr>
                <w:rFonts w:ascii="Arial" w:hAnsi="Arial" w:cs="Arial"/>
                <w:sz w:val="18"/>
                <w:szCs w:val="20"/>
              </w:rPr>
              <w:t xml:space="preserve"> return and net present values.</w:t>
            </w:r>
          </w:p>
        </w:tc>
      </w:tr>
    </w:tbl>
    <w:p w:rsidR="003E44DD" w:rsidRPr="00C2514D" w:rsidRDefault="00772A50" w:rsidP="003E44DD">
      <w:pPr>
        <w:pStyle w:val="AutoNumpara"/>
        <w:numPr>
          <w:ilvl w:val="0"/>
          <w:numId w:val="0"/>
        </w:numPr>
        <w:tabs>
          <w:tab w:val="num" w:pos="720"/>
        </w:tabs>
        <w:spacing w:before="0" w:after="0"/>
        <w:rPr>
          <w:rFonts w:ascii="Arial" w:hAnsi="Arial" w:cs="Arial"/>
          <w:sz w:val="18"/>
          <w:szCs w:val="22"/>
          <w:lang w:val="en-US"/>
        </w:rPr>
      </w:pPr>
      <w:r w:rsidRPr="00C2514D">
        <w:rPr>
          <w:rFonts w:ascii="Arial" w:hAnsi="Arial" w:cs="Arial"/>
          <w:sz w:val="18"/>
          <w:szCs w:val="22"/>
          <w:lang w:val="en-US"/>
        </w:rPr>
        <w:t>Source: Robertson and Swanepoel (2015)</w:t>
      </w:r>
    </w:p>
    <w:p w:rsidR="005A61CA" w:rsidRPr="00C2514D" w:rsidRDefault="005A61CA" w:rsidP="003E44DD">
      <w:pPr>
        <w:pStyle w:val="AutoNumpara"/>
        <w:numPr>
          <w:ilvl w:val="0"/>
          <w:numId w:val="0"/>
        </w:numPr>
        <w:tabs>
          <w:tab w:val="num" w:pos="720"/>
        </w:tabs>
        <w:spacing w:before="0" w:after="0"/>
        <w:rPr>
          <w:rFonts w:ascii="Arial" w:hAnsi="Arial" w:cs="Arial"/>
          <w:sz w:val="18"/>
          <w:szCs w:val="22"/>
          <w:lang w:val="en-US"/>
        </w:rPr>
      </w:pPr>
    </w:p>
    <w:p w:rsidR="00C8393B" w:rsidRPr="00C2514D" w:rsidRDefault="00C8393B" w:rsidP="00507B7D">
      <w:pPr>
        <w:pStyle w:val="Paragraph"/>
        <w:tabs>
          <w:tab w:val="clear" w:pos="1296"/>
          <w:tab w:val="num" w:pos="720"/>
        </w:tabs>
        <w:ind w:left="720" w:hanging="720"/>
        <w:rPr>
          <w:rFonts w:ascii="Arial" w:hAnsi="Arial" w:cs="Arial"/>
          <w:sz w:val="22"/>
          <w:lang w:val="en-US"/>
        </w:rPr>
      </w:pPr>
      <w:r w:rsidRPr="00C2514D">
        <w:rPr>
          <w:rFonts w:ascii="Arial" w:hAnsi="Arial" w:cs="Arial"/>
          <w:sz w:val="22"/>
          <w:lang w:val="en-US"/>
        </w:rPr>
        <w:t>Another recent study applying similar approaches (modelling, impact based on cost benefit analysis, etc.) for the region is CEPAL (2014). T</w:t>
      </w:r>
      <w:r w:rsidR="0086675E" w:rsidRPr="00C2514D">
        <w:rPr>
          <w:rFonts w:ascii="Arial" w:hAnsi="Arial" w:cs="Arial"/>
          <w:sz w:val="22"/>
          <w:lang w:val="en-US"/>
        </w:rPr>
        <w:t>he book offers case</w:t>
      </w:r>
      <w:r w:rsidRPr="00C2514D">
        <w:rPr>
          <w:rFonts w:ascii="Arial" w:hAnsi="Arial" w:cs="Arial"/>
          <w:sz w:val="22"/>
          <w:lang w:val="en-US"/>
        </w:rPr>
        <w:t xml:space="preserve"> studies for Argentina (economic impact of the use of scales at docks and industrial plants</w:t>
      </w:r>
      <w:r w:rsidR="00DD5455" w:rsidRPr="00C2514D">
        <w:rPr>
          <w:rFonts w:ascii="Arial" w:hAnsi="Arial" w:cs="Arial"/>
          <w:sz w:val="22"/>
          <w:lang w:val="en-US"/>
        </w:rPr>
        <w:t>; economic impact of inspection of fuel pumps</w:t>
      </w:r>
      <w:r w:rsidRPr="00C2514D">
        <w:rPr>
          <w:rFonts w:ascii="Arial" w:hAnsi="Arial" w:cs="Arial"/>
          <w:sz w:val="22"/>
          <w:lang w:val="en-US"/>
        </w:rPr>
        <w:t xml:space="preserve">), </w:t>
      </w:r>
      <w:r w:rsidR="00DD5455" w:rsidRPr="00C2514D">
        <w:rPr>
          <w:rFonts w:ascii="Arial" w:hAnsi="Arial" w:cs="Arial"/>
          <w:sz w:val="22"/>
          <w:lang w:val="en-US"/>
        </w:rPr>
        <w:t xml:space="preserve">Panama (economic impact of electric energy metrology), Brazil (economic impacts of certification of reference material for ethanol in water), Peru (contribution of the accreditation of hydro biological export products), Uruguay (impact of the NQI in the milk chain; impact of NQI to the viticulture sector). Most of these studies conduct basic before and after comparisons on outcomes such as non-conformity rates, number of export destinations, volume and value of exports, productivity, etc. </w:t>
      </w:r>
    </w:p>
    <w:p w:rsidR="00400D7C" w:rsidRPr="00C2514D" w:rsidRDefault="00400D7C" w:rsidP="00507B7D">
      <w:pPr>
        <w:pStyle w:val="Paragraph"/>
        <w:tabs>
          <w:tab w:val="clear" w:pos="1296"/>
          <w:tab w:val="num" w:pos="720"/>
        </w:tabs>
        <w:ind w:left="720" w:hanging="720"/>
        <w:rPr>
          <w:lang w:val="en-US"/>
        </w:rPr>
      </w:pPr>
      <w:r w:rsidRPr="00C2514D">
        <w:rPr>
          <w:rFonts w:ascii="Arial" w:hAnsi="Arial" w:cs="Arial"/>
          <w:sz w:val="22"/>
          <w:lang w:val="en-US"/>
        </w:rPr>
        <w:t>With respect to the second group, the impact evaluations attempted by UNIDOs studies were limited by several factors ranging from difficulties to build co</w:t>
      </w:r>
      <w:r w:rsidR="00D839E8" w:rsidRPr="00C2514D">
        <w:rPr>
          <w:rFonts w:ascii="Arial" w:hAnsi="Arial" w:cs="Arial"/>
          <w:sz w:val="22"/>
          <w:lang w:val="en-US"/>
        </w:rPr>
        <w:t xml:space="preserve">ntrol groups to high reserves on the side of surveyed firms to disclose data on exports. While there is no statistical ground to support conclusive inference from these studies, the conceptual backbone to explain the vertical logic, the qualitative evidence collected </w:t>
      </w:r>
      <w:r w:rsidR="00166678" w:rsidRPr="00C2514D">
        <w:rPr>
          <w:rFonts w:ascii="Arial" w:hAnsi="Arial" w:cs="Arial"/>
          <w:sz w:val="22"/>
          <w:lang w:val="en-US"/>
        </w:rPr>
        <w:t xml:space="preserve">by the studies </w:t>
      </w:r>
      <w:r w:rsidR="00D839E8" w:rsidRPr="00C2514D">
        <w:rPr>
          <w:rFonts w:ascii="Arial" w:hAnsi="Arial" w:cs="Arial"/>
          <w:sz w:val="22"/>
          <w:lang w:val="en-US"/>
        </w:rPr>
        <w:t xml:space="preserve">and </w:t>
      </w:r>
      <w:r w:rsidR="00166678" w:rsidRPr="00C2514D">
        <w:rPr>
          <w:rFonts w:ascii="Arial" w:hAnsi="Arial" w:cs="Arial"/>
          <w:sz w:val="22"/>
          <w:lang w:val="en-US"/>
        </w:rPr>
        <w:t>the</w:t>
      </w:r>
      <w:r w:rsidR="00D839E8" w:rsidRPr="00C2514D">
        <w:rPr>
          <w:rFonts w:ascii="Arial" w:hAnsi="Arial" w:cs="Arial"/>
          <w:sz w:val="22"/>
          <w:lang w:val="en-US"/>
        </w:rPr>
        <w:t xml:space="preserve"> recommendations for policymakers</w:t>
      </w:r>
      <w:r w:rsidR="00166678" w:rsidRPr="00C2514D">
        <w:rPr>
          <w:rFonts w:ascii="Arial" w:hAnsi="Arial" w:cs="Arial"/>
          <w:sz w:val="22"/>
          <w:lang w:val="en-US"/>
        </w:rPr>
        <w:t xml:space="preserve"> interested into</w:t>
      </w:r>
      <w:r w:rsidR="00D839E8" w:rsidRPr="00C2514D">
        <w:rPr>
          <w:rFonts w:ascii="Arial" w:hAnsi="Arial" w:cs="Arial"/>
          <w:sz w:val="22"/>
          <w:lang w:val="en-US"/>
        </w:rPr>
        <w:t xml:space="preserve"> building this sort of capacities are of value for this project. In this sense, </w:t>
      </w:r>
      <w:r w:rsidR="00166678" w:rsidRPr="00C2514D">
        <w:rPr>
          <w:rFonts w:ascii="Arial" w:hAnsi="Arial" w:cs="Arial"/>
          <w:sz w:val="22"/>
          <w:lang w:val="en-US"/>
        </w:rPr>
        <w:t>governance</w:t>
      </w:r>
      <w:r w:rsidR="00355F1A" w:rsidRPr="00C2514D">
        <w:rPr>
          <w:rFonts w:ascii="Arial" w:hAnsi="Arial" w:cs="Arial"/>
          <w:sz w:val="22"/>
          <w:lang w:val="en-US"/>
        </w:rPr>
        <w:t xml:space="preserve"> of NQI and SMTQ projects</w:t>
      </w:r>
      <w:r w:rsidR="00166678" w:rsidRPr="00C2514D">
        <w:rPr>
          <w:rFonts w:ascii="Arial" w:hAnsi="Arial" w:cs="Arial"/>
          <w:sz w:val="22"/>
          <w:lang w:val="en-US"/>
        </w:rPr>
        <w:t xml:space="preserve">, private sector involvement, regional </w:t>
      </w:r>
      <w:r w:rsidR="00166678" w:rsidRPr="00C2514D">
        <w:rPr>
          <w:rFonts w:ascii="Arial" w:hAnsi="Arial" w:cs="Arial"/>
          <w:sz w:val="22"/>
          <w:lang w:val="en-US"/>
        </w:rPr>
        <w:lastRenderedPageBreak/>
        <w:t xml:space="preserve">cooperation of different NQIs, self-sustainability of the </w:t>
      </w:r>
      <w:r w:rsidR="000336E8" w:rsidRPr="00C2514D">
        <w:rPr>
          <w:rFonts w:ascii="Arial" w:hAnsi="Arial" w:cs="Arial"/>
          <w:sz w:val="22"/>
          <w:lang w:val="en-US"/>
        </w:rPr>
        <w:t xml:space="preserve">NQI </w:t>
      </w:r>
      <w:r w:rsidR="00166678" w:rsidRPr="00C2514D">
        <w:rPr>
          <w:rFonts w:ascii="Arial" w:hAnsi="Arial" w:cs="Arial"/>
          <w:sz w:val="22"/>
          <w:lang w:val="en-US"/>
        </w:rPr>
        <w:t>are topics with lessons worth to observe from UNIDO’s experience.</w:t>
      </w:r>
    </w:p>
    <w:p w:rsidR="00BC4AE5" w:rsidRPr="00C2514D" w:rsidRDefault="000336E8"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For instance, not to underestimate the necessity of NQI, UNIDO (2010a) claims that “a</w:t>
      </w:r>
      <w:r w:rsidR="00355F1A" w:rsidRPr="00C2514D">
        <w:rPr>
          <w:rFonts w:ascii="Arial" w:hAnsi="Arial" w:cs="Arial"/>
          <w:sz w:val="22"/>
          <w:szCs w:val="22"/>
          <w:lang w:val="en-US"/>
        </w:rPr>
        <w:t xml:space="preserve">n important issue when defining the ideal make-up of a national quality system is whether having quality infrastructure promotes the emergence of export sectors or whether quality infrastructure should respond to needs as and when they emerge. There would be little point in developing a comprehensive and </w:t>
      </w:r>
      <w:r w:rsidRPr="00C2514D">
        <w:rPr>
          <w:rFonts w:ascii="Arial" w:hAnsi="Arial" w:cs="Arial"/>
          <w:sz w:val="22"/>
          <w:szCs w:val="22"/>
          <w:lang w:val="en-US"/>
        </w:rPr>
        <w:t>e</w:t>
      </w:r>
      <w:r w:rsidR="00355F1A" w:rsidRPr="00C2514D">
        <w:rPr>
          <w:rFonts w:ascii="Arial" w:hAnsi="Arial" w:cs="Arial"/>
          <w:sz w:val="22"/>
          <w:szCs w:val="22"/>
          <w:lang w:val="en-US"/>
        </w:rPr>
        <w:t>xpensive national quality system for sectors of industry that either do not yet exist or are never likely to emerge. However, there is an element of chicken and egg argument in this discussion, because there is anecdotal evidence that not having certain infrastructure constrains investment just as existence of quality infrastructure is likely to encourage investment.</w:t>
      </w:r>
      <w:r w:rsidRPr="00C2514D">
        <w:rPr>
          <w:rFonts w:ascii="Arial" w:hAnsi="Arial" w:cs="Arial"/>
          <w:sz w:val="22"/>
          <w:szCs w:val="22"/>
          <w:lang w:val="en-US"/>
        </w:rPr>
        <w:t xml:space="preserve">” At the same time, and not to overestimate the capacities of NQI, UNIDO (2010a) also </w:t>
      </w:r>
      <w:r w:rsidR="00556C1D" w:rsidRPr="00C2514D">
        <w:rPr>
          <w:rFonts w:ascii="Arial" w:hAnsi="Arial" w:cs="Arial"/>
          <w:sz w:val="22"/>
          <w:szCs w:val="22"/>
          <w:lang w:val="en-US"/>
        </w:rPr>
        <w:t xml:space="preserve">argues </w:t>
      </w:r>
      <w:r w:rsidRPr="00C2514D">
        <w:rPr>
          <w:rFonts w:ascii="Arial" w:hAnsi="Arial" w:cs="Arial"/>
          <w:sz w:val="22"/>
          <w:szCs w:val="22"/>
          <w:lang w:val="en-US"/>
        </w:rPr>
        <w:t>that “</w:t>
      </w:r>
      <w:r w:rsidR="00556C1D" w:rsidRPr="00C2514D">
        <w:rPr>
          <w:rFonts w:ascii="Arial" w:hAnsi="Arial" w:cs="Arial"/>
          <w:sz w:val="22"/>
          <w:szCs w:val="22"/>
          <w:lang w:val="en-US"/>
        </w:rPr>
        <w:t>t</w:t>
      </w:r>
      <w:r w:rsidRPr="00C2514D">
        <w:rPr>
          <w:rFonts w:ascii="Arial" w:hAnsi="Arial" w:cs="Arial"/>
          <w:sz w:val="22"/>
          <w:szCs w:val="22"/>
          <w:lang w:val="en-US"/>
        </w:rPr>
        <w:t>here is emerging evidence that development objectives laid down in most project documents (facilitating trade, market access) would require a more comprehensive approach going beyond the traditional aspects of SMTQ. Some of the evaluations revealed an explicit need for support in issues related to marketing (packaging, advertising, market research and market information). Enterprises need comprehensive assistance in all areas relevant to international competitiveness. Integrating such supplementary services to enterprises into projects worked significantly better than delivering them through other projects, which often lead to coordination problems</w:t>
      </w:r>
      <w:r w:rsidR="00556C1D" w:rsidRPr="00C2514D">
        <w:rPr>
          <w:rFonts w:ascii="Arial" w:hAnsi="Arial" w:cs="Arial"/>
          <w:sz w:val="22"/>
          <w:szCs w:val="22"/>
          <w:lang w:val="en-US"/>
        </w:rPr>
        <w:t>.</w:t>
      </w:r>
      <w:r w:rsidRPr="00C2514D">
        <w:rPr>
          <w:rFonts w:ascii="Arial" w:hAnsi="Arial" w:cs="Arial"/>
          <w:sz w:val="22"/>
          <w:szCs w:val="22"/>
          <w:lang w:val="en-US"/>
        </w:rPr>
        <w:t xml:space="preserve">” </w:t>
      </w:r>
      <w:r w:rsidR="00556C1D" w:rsidRPr="00C2514D">
        <w:rPr>
          <w:rFonts w:ascii="Arial" w:hAnsi="Arial" w:cs="Arial"/>
          <w:sz w:val="22"/>
          <w:szCs w:val="22"/>
          <w:lang w:val="en-US"/>
        </w:rPr>
        <w:t>These are important considerations that subject to tight budgetary considerations the project is mindful about.</w:t>
      </w:r>
    </w:p>
    <w:p w:rsidR="00BC4AE5" w:rsidRPr="00C2514D" w:rsidRDefault="00BC4AE5" w:rsidP="00BC4AE5">
      <w:pPr>
        <w:pStyle w:val="FirstHeading"/>
        <w:ind w:left="720"/>
        <w:rPr>
          <w:rFonts w:ascii="Arial" w:hAnsi="Arial" w:cs="Arial"/>
          <w:noProof/>
          <w:sz w:val="22"/>
          <w:szCs w:val="22"/>
          <w:lang w:val="en-US"/>
        </w:rPr>
      </w:pPr>
      <w:r w:rsidRPr="00C2514D">
        <w:rPr>
          <w:rFonts w:ascii="Arial" w:hAnsi="Arial" w:cs="Arial"/>
          <w:noProof/>
          <w:sz w:val="22"/>
          <w:szCs w:val="22"/>
          <w:lang w:val="en-US"/>
        </w:rPr>
        <w:fldChar w:fldCharType="begin"/>
      </w:r>
      <w:r w:rsidRPr="00C2514D">
        <w:rPr>
          <w:rFonts w:ascii="Arial" w:hAnsi="Arial" w:cs="Arial"/>
          <w:noProof/>
          <w:sz w:val="22"/>
          <w:szCs w:val="22"/>
          <w:lang w:val="en-US"/>
        </w:rPr>
        <w:instrText xml:space="preserve"> SEQ "</w:instrText>
      </w:r>
      <w:r w:rsidRPr="00C2514D">
        <w:rPr>
          <w:rFonts w:ascii="Arial" w:hAnsi="Arial" w:cs="Arial"/>
          <w:noProof/>
          <w:sz w:val="22"/>
          <w:szCs w:val="22"/>
          <w:lang w:val="en-US"/>
        </w:rPr>
        <w:fldChar w:fldCharType="begin"/>
      </w:r>
      <w:r w:rsidRPr="00C2514D">
        <w:rPr>
          <w:rFonts w:ascii="Arial" w:hAnsi="Arial" w:cs="Arial"/>
          <w:noProof/>
          <w:sz w:val="22"/>
          <w:szCs w:val="22"/>
          <w:lang w:val="en-US"/>
        </w:rPr>
        <w:instrText xml:space="preserve"> SECTION  \* MERGEFORMAT </w:instrText>
      </w:r>
      <w:r w:rsidRPr="00C2514D">
        <w:rPr>
          <w:rFonts w:ascii="Arial" w:hAnsi="Arial" w:cs="Arial"/>
          <w:noProof/>
          <w:sz w:val="22"/>
          <w:szCs w:val="22"/>
          <w:lang w:val="en-US"/>
        </w:rPr>
        <w:fldChar w:fldCharType="separate"/>
      </w:r>
      <w:r w:rsidRPr="00C2514D">
        <w:rPr>
          <w:rFonts w:ascii="Arial" w:hAnsi="Arial" w:cs="Arial"/>
          <w:noProof/>
          <w:sz w:val="22"/>
          <w:szCs w:val="22"/>
          <w:lang w:val="en-US"/>
        </w:rPr>
        <w:instrText>4</w:instrText>
      </w:r>
      <w:r w:rsidRPr="00C2514D">
        <w:rPr>
          <w:rFonts w:ascii="Arial" w:hAnsi="Arial" w:cs="Arial"/>
          <w:noProof/>
          <w:sz w:val="22"/>
          <w:szCs w:val="22"/>
          <w:lang w:val="en-US"/>
        </w:rPr>
        <w:fldChar w:fldCharType="end"/>
      </w:r>
      <w:r w:rsidRPr="00C2514D">
        <w:rPr>
          <w:rFonts w:ascii="Arial" w:hAnsi="Arial" w:cs="Arial"/>
          <w:noProof/>
          <w:sz w:val="22"/>
          <w:szCs w:val="22"/>
          <w:lang w:val="en-US"/>
        </w:rPr>
        <w:instrText xml:space="preserve">#"\* ALPHABETIC \* MERGEFORMAT </w:instrText>
      </w:r>
      <w:r w:rsidRPr="00C2514D">
        <w:rPr>
          <w:rFonts w:ascii="Arial" w:hAnsi="Arial" w:cs="Arial"/>
          <w:noProof/>
          <w:sz w:val="22"/>
          <w:szCs w:val="22"/>
          <w:lang w:val="en-US"/>
        </w:rPr>
        <w:fldChar w:fldCharType="separate"/>
      </w:r>
      <w:bookmarkStart w:id="7" w:name="_Toc449703281"/>
      <w:r w:rsidRPr="00C2514D">
        <w:rPr>
          <w:rFonts w:ascii="Arial" w:hAnsi="Arial" w:cs="Arial"/>
          <w:noProof/>
          <w:sz w:val="22"/>
          <w:szCs w:val="22"/>
          <w:lang w:val="en-US"/>
        </w:rPr>
        <w:t>C</w:t>
      </w:r>
      <w:r w:rsidRPr="00C2514D">
        <w:rPr>
          <w:rFonts w:ascii="Arial" w:hAnsi="Arial" w:cs="Arial"/>
          <w:noProof/>
          <w:sz w:val="22"/>
          <w:szCs w:val="22"/>
          <w:lang w:val="en-US"/>
        </w:rPr>
        <w:fldChar w:fldCharType="end"/>
      </w:r>
      <w:r w:rsidRPr="00C2514D">
        <w:rPr>
          <w:rFonts w:ascii="Arial" w:hAnsi="Arial" w:cs="Arial"/>
          <w:noProof/>
          <w:sz w:val="22"/>
          <w:szCs w:val="22"/>
          <w:lang w:val="en-US"/>
        </w:rPr>
        <w:t>.</w:t>
      </w:r>
      <w:bookmarkEnd w:id="7"/>
      <w:r w:rsidRPr="00C2514D">
        <w:rPr>
          <w:rFonts w:ascii="Arial" w:hAnsi="Arial" w:cs="Arial"/>
          <w:noProof/>
          <w:sz w:val="22"/>
          <w:szCs w:val="22"/>
          <w:lang w:val="en-US"/>
        </w:rPr>
        <w:t xml:space="preserve"> </w:t>
      </w:r>
      <w:r w:rsidRPr="00C2514D">
        <w:rPr>
          <w:rFonts w:ascii="Arial" w:hAnsi="Arial" w:cs="Arial"/>
          <w:noProof/>
          <w:sz w:val="22"/>
          <w:szCs w:val="22"/>
          <w:lang w:val="en-US"/>
        </w:rPr>
        <w:tab/>
        <w:t>Main evaluation questions</w:t>
      </w:r>
    </w:p>
    <w:p w:rsidR="00630001" w:rsidRPr="00C2514D" w:rsidRDefault="00556C1D" w:rsidP="00BD04AF">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Given the scarcity of documented evidence of effectiveness of this type of interventions in developing countries, opportunities to fill th</w:t>
      </w:r>
      <w:r w:rsidR="003B33B5" w:rsidRPr="00C2514D">
        <w:rPr>
          <w:rFonts w:ascii="Arial" w:hAnsi="Arial" w:cs="Arial"/>
          <w:sz w:val="22"/>
          <w:szCs w:val="22"/>
          <w:lang w:val="en-US"/>
        </w:rPr>
        <w:t>is knowledg</w:t>
      </w:r>
      <w:r w:rsidRPr="00C2514D">
        <w:rPr>
          <w:rFonts w:ascii="Arial" w:hAnsi="Arial" w:cs="Arial"/>
          <w:sz w:val="22"/>
          <w:szCs w:val="22"/>
          <w:lang w:val="en-US"/>
        </w:rPr>
        <w:t xml:space="preserve">e gap would make us pose several questions to measure </w:t>
      </w:r>
      <w:r w:rsidR="00E5447C" w:rsidRPr="00C2514D">
        <w:rPr>
          <w:rFonts w:ascii="Arial" w:hAnsi="Arial" w:cs="Arial"/>
          <w:sz w:val="22"/>
          <w:szCs w:val="22"/>
          <w:lang w:val="en-US"/>
        </w:rPr>
        <w:t xml:space="preserve">many </w:t>
      </w:r>
      <w:r w:rsidRPr="00C2514D">
        <w:rPr>
          <w:rFonts w:ascii="Arial" w:hAnsi="Arial" w:cs="Arial"/>
          <w:sz w:val="22"/>
          <w:szCs w:val="22"/>
          <w:lang w:val="en-US"/>
        </w:rPr>
        <w:t>of the aforementioned impacts</w:t>
      </w:r>
      <w:r w:rsidR="00B873D3" w:rsidRPr="00C2514D">
        <w:rPr>
          <w:rFonts w:ascii="Arial" w:hAnsi="Arial" w:cs="Arial"/>
          <w:sz w:val="22"/>
          <w:szCs w:val="22"/>
          <w:lang w:val="en-US"/>
        </w:rPr>
        <w:t xml:space="preserve"> (Section A)</w:t>
      </w:r>
      <w:r w:rsidRPr="00C2514D">
        <w:rPr>
          <w:rFonts w:ascii="Arial" w:hAnsi="Arial" w:cs="Arial"/>
          <w:sz w:val="22"/>
          <w:szCs w:val="22"/>
          <w:lang w:val="en-US"/>
        </w:rPr>
        <w:t>. Nevertheless</w:t>
      </w:r>
      <w:r w:rsidR="003B33B5" w:rsidRPr="00C2514D">
        <w:rPr>
          <w:rFonts w:ascii="Arial" w:hAnsi="Arial" w:cs="Arial"/>
          <w:sz w:val="22"/>
          <w:szCs w:val="22"/>
          <w:lang w:val="en-US"/>
        </w:rPr>
        <w:t>,</w:t>
      </w:r>
      <w:r w:rsidRPr="00C2514D">
        <w:rPr>
          <w:rFonts w:ascii="Arial" w:hAnsi="Arial" w:cs="Arial"/>
          <w:sz w:val="22"/>
          <w:szCs w:val="22"/>
          <w:lang w:val="en-US"/>
        </w:rPr>
        <w:t xml:space="preserve"> the scale of the intervention prevents a more ambitious evaluation exercise</w:t>
      </w:r>
      <w:r w:rsidR="00E5447C" w:rsidRPr="00C2514D">
        <w:rPr>
          <w:rFonts w:ascii="Arial" w:hAnsi="Arial" w:cs="Arial"/>
          <w:sz w:val="22"/>
          <w:szCs w:val="22"/>
          <w:lang w:val="en-US"/>
        </w:rPr>
        <w:t xml:space="preserve"> for two reasons. First, </w:t>
      </w:r>
      <w:r w:rsidR="003B33B5" w:rsidRPr="00C2514D">
        <w:rPr>
          <w:rFonts w:ascii="Arial" w:hAnsi="Arial" w:cs="Arial"/>
          <w:sz w:val="22"/>
          <w:szCs w:val="22"/>
          <w:lang w:val="en-US"/>
        </w:rPr>
        <w:t xml:space="preserve">to </w:t>
      </w:r>
      <w:r w:rsidR="00E5447C" w:rsidRPr="00C2514D">
        <w:rPr>
          <w:rFonts w:ascii="Arial" w:hAnsi="Arial" w:cs="Arial"/>
          <w:sz w:val="22"/>
          <w:szCs w:val="22"/>
          <w:lang w:val="en-US"/>
        </w:rPr>
        <w:t>expect aggregate noticeable impacts in the economy would be over ambitious after an</w:t>
      </w:r>
      <w:r w:rsidR="00C260AD" w:rsidRPr="00C2514D">
        <w:rPr>
          <w:rFonts w:ascii="Arial" w:hAnsi="Arial" w:cs="Arial"/>
          <w:sz w:val="22"/>
          <w:szCs w:val="22"/>
          <w:lang w:val="en-US"/>
        </w:rPr>
        <w:t xml:space="preserve"> initial</w:t>
      </w:r>
      <w:r w:rsidR="00E5447C" w:rsidRPr="00C2514D">
        <w:rPr>
          <w:rFonts w:ascii="Arial" w:hAnsi="Arial" w:cs="Arial"/>
          <w:sz w:val="22"/>
          <w:szCs w:val="22"/>
          <w:lang w:val="en-US"/>
        </w:rPr>
        <w:t xml:space="preserve"> investment of US$9MM. </w:t>
      </w:r>
      <w:r w:rsidR="00D22D88" w:rsidRPr="00C2514D">
        <w:rPr>
          <w:rFonts w:ascii="Arial" w:hAnsi="Arial" w:cs="Arial"/>
          <w:sz w:val="22"/>
          <w:szCs w:val="22"/>
          <w:lang w:val="en-US"/>
        </w:rPr>
        <w:t>That said, i</w:t>
      </w:r>
      <w:r w:rsidR="00C260AD" w:rsidRPr="00C2514D">
        <w:rPr>
          <w:rFonts w:ascii="Arial" w:hAnsi="Arial" w:cs="Arial"/>
          <w:sz w:val="22"/>
          <w:szCs w:val="22"/>
          <w:lang w:val="en-US"/>
        </w:rPr>
        <w:t>mpacts are expected among benefitted non-traditional exporters</w:t>
      </w:r>
      <w:r w:rsidR="00D22D88" w:rsidRPr="00C2514D">
        <w:rPr>
          <w:rFonts w:ascii="Arial" w:hAnsi="Arial" w:cs="Arial"/>
          <w:sz w:val="22"/>
          <w:szCs w:val="22"/>
          <w:lang w:val="en-US"/>
        </w:rPr>
        <w:t xml:space="preserve"> (total amount of non-traditional exports hovered around US$9.5MM in 2014</w:t>
      </w:r>
      <w:r w:rsidR="00D22D88" w:rsidRPr="00C2514D">
        <w:rPr>
          <w:rStyle w:val="FootnoteReference"/>
          <w:rFonts w:ascii="Arial" w:hAnsi="Arial" w:cs="Arial"/>
          <w:sz w:val="22"/>
          <w:szCs w:val="22"/>
          <w:lang w:val="en-US"/>
        </w:rPr>
        <w:footnoteReference w:id="4"/>
      </w:r>
      <w:r w:rsidR="00D22D88" w:rsidRPr="00C2514D">
        <w:rPr>
          <w:rFonts w:ascii="Arial" w:hAnsi="Arial" w:cs="Arial"/>
          <w:sz w:val="22"/>
          <w:szCs w:val="22"/>
          <w:lang w:val="en-US"/>
        </w:rPr>
        <w:t>)</w:t>
      </w:r>
      <w:r w:rsidR="00C260AD" w:rsidRPr="00C2514D">
        <w:rPr>
          <w:rFonts w:ascii="Arial" w:hAnsi="Arial" w:cs="Arial"/>
          <w:sz w:val="22"/>
          <w:szCs w:val="22"/>
          <w:lang w:val="en-US"/>
        </w:rPr>
        <w:t xml:space="preserve">, but not necessarily beyond that group at a first stage. </w:t>
      </w:r>
      <w:r w:rsidR="00E5447C" w:rsidRPr="00C2514D">
        <w:rPr>
          <w:rFonts w:ascii="Arial" w:hAnsi="Arial" w:cs="Arial"/>
          <w:sz w:val="22"/>
          <w:szCs w:val="22"/>
          <w:lang w:val="en-US"/>
        </w:rPr>
        <w:t xml:space="preserve">Second, the nature of the intervention and the size of the pool of direct beneficiaries </w:t>
      </w:r>
      <w:r w:rsidR="003B33B5" w:rsidRPr="00C2514D">
        <w:rPr>
          <w:rFonts w:ascii="Arial" w:hAnsi="Arial" w:cs="Arial"/>
          <w:sz w:val="22"/>
          <w:szCs w:val="22"/>
          <w:lang w:val="en-US"/>
        </w:rPr>
        <w:t>p</w:t>
      </w:r>
      <w:r w:rsidR="002D4396" w:rsidRPr="00C2514D">
        <w:rPr>
          <w:rFonts w:ascii="Arial" w:hAnsi="Arial" w:cs="Arial"/>
          <w:sz w:val="22"/>
          <w:szCs w:val="22"/>
          <w:lang w:val="en-US"/>
        </w:rPr>
        <w:t xml:space="preserve">revent </w:t>
      </w:r>
      <w:r w:rsidR="003B33B5" w:rsidRPr="00C2514D">
        <w:rPr>
          <w:rFonts w:ascii="Arial" w:hAnsi="Arial" w:cs="Arial"/>
          <w:sz w:val="22"/>
          <w:szCs w:val="22"/>
          <w:lang w:val="en-US"/>
        </w:rPr>
        <w:t>the des</w:t>
      </w:r>
      <w:r w:rsidR="00374F86" w:rsidRPr="00C2514D">
        <w:rPr>
          <w:rFonts w:ascii="Arial" w:hAnsi="Arial" w:cs="Arial"/>
          <w:sz w:val="22"/>
          <w:szCs w:val="22"/>
          <w:lang w:val="en-US"/>
        </w:rPr>
        <w:t>ign of experimental evaluations.</w:t>
      </w:r>
      <w:r w:rsidR="00C248CC" w:rsidRPr="00C2514D">
        <w:rPr>
          <w:rFonts w:ascii="Arial" w:hAnsi="Arial" w:cs="Arial"/>
          <w:sz w:val="22"/>
          <w:szCs w:val="22"/>
          <w:lang w:val="en-US"/>
        </w:rPr>
        <w:t xml:space="preserve"> </w:t>
      </w:r>
      <w:r w:rsidR="00D22D88" w:rsidRPr="00C2514D">
        <w:rPr>
          <w:rFonts w:ascii="Arial" w:hAnsi="Arial" w:cs="Arial"/>
          <w:sz w:val="22"/>
          <w:szCs w:val="22"/>
          <w:lang w:val="en-US"/>
        </w:rPr>
        <w:t>In spite of these facts</w:t>
      </w:r>
      <w:r w:rsidR="00C248CC" w:rsidRPr="00C2514D">
        <w:rPr>
          <w:rFonts w:ascii="Arial" w:hAnsi="Arial" w:cs="Arial"/>
          <w:sz w:val="22"/>
          <w:szCs w:val="22"/>
          <w:lang w:val="en-US"/>
        </w:rPr>
        <w:t>, we take the opportunity to pose relevant questions measurable in the timeframe of the intervention and consisten</w:t>
      </w:r>
      <w:r w:rsidR="00B873D3" w:rsidRPr="00C2514D">
        <w:rPr>
          <w:rFonts w:ascii="Arial" w:hAnsi="Arial" w:cs="Arial"/>
          <w:sz w:val="22"/>
          <w:szCs w:val="22"/>
          <w:lang w:val="en-US"/>
        </w:rPr>
        <w:t>t with the initial stage of development of the local NQI. We focus our attention in three fronts, all related to trade and competitiveness:</w:t>
      </w:r>
      <w:r w:rsidR="00CD5E19" w:rsidRPr="00C2514D">
        <w:rPr>
          <w:rFonts w:ascii="Arial" w:hAnsi="Arial" w:cs="Arial"/>
          <w:sz w:val="22"/>
          <w:szCs w:val="22"/>
          <w:lang w:val="en-US"/>
        </w:rPr>
        <w:t xml:space="preserve"> exports</w:t>
      </w:r>
      <w:r w:rsidR="00D22D88" w:rsidRPr="00C2514D">
        <w:rPr>
          <w:rFonts w:ascii="Arial" w:hAnsi="Arial" w:cs="Arial"/>
          <w:sz w:val="22"/>
          <w:szCs w:val="22"/>
          <w:lang w:val="en-US"/>
        </w:rPr>
        <w:t xml:space="preserve"> intensity, </w:t>
      </w:r>
      <w:r w:rsidR="00CD5E19" w:rsidRPr="00C2514D">
        <w:rPr>
          <w:rFonts w:ascii="Arial" w:hAnsi="Arial" w:cs="Arial"/>
          <w:sz w:val="22"/>
          <w:szCs w:val="22"/>
          <w:lang w:val="en-US"/>
        </w:rPr>
        <w:t xml:space="preserve">exports </w:t>
      </w:r>
      <w:r w:rsidR="00D22D88" w:rsidRPr="00C2514D">
        <w:rPr>
          <w:rFonts w:ascii="Arial" w:hAnsi="Arial" w:cs="Arial"/>
          <w:sz w:val="22"/>
          <w:szCs w:val="22"/>
          <w:lang w:val="en-US"/>
        </w:rPr>
        <w:t>efficiency and variety of exports.</w:t>
      </w:r>
    </w:p>
    <w:p w:rsidR="00D22D88" w:rsidRPr="00C2514D" w:rsidRDefault="00D22D88" w:rsidP="00BD04AF">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 xml:space="preserve">To evaluate </w:t>
      </w:r>
      <w:r w:rsidR="00CD5E19" w:rsidRPr="00C2514D">
        <w:rPr>
          <w:rFonts w:ascii="Arial" w:hAnsi="Arial" w:cs="Arial"/>
          <w:sz w:val="22"/>
          <w:szCs w:val="22"/>
          <w:lang w:val="en-US"/>
        </w:rPr>
        <w:t xml:space="preserve">exports </w:t>
      </w:r>
      <w:r w:rsidRPr="00C2514D">
        <w:rPr>
          <w:rFonts w:ascii="Arial" w:hAnsi="Arial" w:cs="Arial"/>
          <w:sz w:val="22"/>
          <w:szCs w:val="22"/>
          <w:lang w:val="en-US"/>
        </w:rPr>
        <w:t>intensity, we ask:</w:t>
      </w:r>
    </w:p>
    <w:p w:rsidR="00B873D3" w:rsidRPr="00C2514D" w:rsidRDefault="00B873D3" w:rsidP="00D22D88">
      <w:pPr>
        <w:pStyle w:val="Paragraph"/>
        <w:numPr>
          <w:ilvl w:val="0"/>
          <w:numId w:val="0"/>
        </w:numPr>
        <w:ind w:left="720"/>
        <w:rPr>
          <w:rFonts w:ascii="Arial" w:hAnsi="Arial" w:cs="Arial"/>
          <w:sz w:val="22"/>
          <w:szCs w:val="22"/>
          <w:lang w:val="en-US"/>
        </w:rPr>
      </w:pPr>
      <w:r w:rsidRPr="00C2514D">
        <w:rPr>
          <w:rFonts w:ascii="Arial" w:hAnsi="Arial" w:cs="Arial"/>
          <w:i/>
          <w:sz w:val="22"/>
          <w:szCs w:val="22"/>
          <w:lang w:val="en-US"/>
        </w:rPr>
        <w:t>Value:</w:t>
      </w:r>
      <w:r w:rsidRPr="00C2514D">
        <w:rPr>
          <w:rFonts w:ascii="Arial" w:hAnsi="Arial" w:cs="Arial"/>
          <w:sz w:val="22"/>
          <w:szCs w:val="22"/>
          <w:lang w:val="en-US"/>
        </w:rPr>
        <w:t xml:space="preserve"> do exporters using local strengthened laboratories increase the value of exports vis a vis comparable exporters using external laboratories?</w:t>
      </w:r>
    </w:p>
    <w:p w:rsidR="00181ACB" w:rsidRPr="00C2514D" w:rsidRDefault="00D22D88" w:rsidP="00181ACB">
      <w:pPr>
        <w:pStyle w:val="Paragraph"/>
        <w:numPr>
          <w:ilvl w:val="0"/>
          <w:numId w:val="0"/>
        </w:numPr>
        <w:ind w:left="720"/>
        <w:rPr>
          <w:rFonts w:ascii="Arial" w:hAnsi="Arial" w:cs="Arial"/>
          <w:sz w:val="22"/>
          <w:szCs w:val="22"/>
          <w:lang w:val="en-US"/>
        </w:rPr>
      </w:pPr>
      <w:r w:rsidRPr="00C2514D">
        <w:rPr>
          <w:rFonts w:ascii="Arial" w:hAnsi="Arial" w:cs="Arial"/>
          <w:i/>
          <w:sz w:val="22"/>
          <w:szCs w:val="22"/>
          <w:lang w:val="en-US"/>
        </w:rPr>
        <w:lastRenderedPageBreak/>
        <w:t>Volume</w:t>
      </w:r>
      <w:r w:rsidR="00CD5E19" w:rsidRPr="00C2514D">
        <w:rPr>
          <w:rFonts w:ascii="Arial" w:hAnsi="Arial" w:cs="Arial"/>
          <w:i/>
          <w:sz w:val="22"/>
          <w:szCs w:val="22"/>
          <w:lang w:val="en-US"/>
        </w:rPr>
        <w:t>:</w:t>
      </w:r>
      <w:r w:rsidR="00CD5E19" w:rsidRPr="00C2514D">
        <w:rPr>
          <w:rFonts w:ascii="Arial" w:hAnsi="Arial" w:cs="Arial"/>
          <w:sz w:val="22"/>
          <w:szCs w:val="22"/>
          <w:lang w:val="en-US"/>
        </w:rPr>
        <w:t xml:space="preserve"> do exporters using local strengthened laboratories increase the volume of exports vis a vis comparable exporters using external laboratories?</w:t>
      </w:r>
    </w:p>
    <w:p w:rsidR="00CD5E19" w:rsidRPr="00C2514D" w:rsidRDefault="00CD5E19" w:rsidP="00CD5E19">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To evaluate exports efficiency, we ask:</w:t>
      </w:r>
      <w:r w:rsidR="00507B7D" w:rsidRPr="00C2514D">
        <w:rPr>
          <w:rFonts w:ascii="Arial" w:hAnsi="Arial" w:cs="Arial"/>
          <w:sz w:val="22"/>
          <w:szCs w:val="22"/>
          <w:lang w:val="en-US"/>
        </w:rPr>
        <w:tab/>
      </w:r>
    </w:p>
    <w:p w:rsidR="00B873D3" w:rsidRPr="00C2514D" w:rsidRDefault="00CD5E19" w:rsidP="00CD5E19">
      <w:pPr>
        <w:pStyle w:val="Paragraph"/>
        <w:numPr>
          <w:ilvl w:val="0"/>
          <w:numId w:val="0"/>
        </w:numPr>
        <w:tabs>
          <w:tab w:val="num" w:pos="720"/>
        </w:tabs>
        <w:ind w:left="720" w:hanging="720"/>
        <w:rPr>
          <w:rFonts w:ascii="Arial" w:hAnsi="Arial" w:cs="Arial"/>
          <w:i/>
          <w:sz w:val="22"/>
          <w:szCs w:val="22"/>
          <w:lang w:val="en-US"/>
        </w:rPr>
      </w:pPr>
      <w:r w:rsidRPr="00C2514D">
        <w:rPr>
          <w:rFonts w:ascii="Arial" w:hAnsi="Arial" w:cs="Arial"/>
          <w:i/>
          <w:sz w:val="22"/>
          <w:szCs w:val="22"/>
          <w:lang w:val="en-US"/>
        </w:rPr>
        <w:tab/>
      </w:r>
      <w:r w:rsidR="00B873D3" w:rsidRPr="00C2514D">
        <w:rPr>
          <w:rFonts w:ascii="Arial" w:hAnsi="Arial" w:cs="Arial"/>
          <w:i/>
          <w:sz w:val="22"/>
          <w:szCs w:val="22"/>
          <w:lang w:val="en-US"/>
        </w:rPr>
        <w:t>Cost</w:t>
      </w:r>
      <w:r w:rsidR="00BD04AF" w:rsidRPr="00C2514D">
        <w:rPr>
          <w:rFonts w:ascii="Arial" w:hAnsi="Arial" w:cs="Arial"/>
          <w:i/>
          <w:sz w:val="22"/>
          <w:szCs w:val="22"/>
          <w:lang w:val="en-US"/>
        </w:rPr>
        <w:t>s</w:t>
      </w:r>
      <w:r w:rsidR="00B873D3" w:rsidRPr="00C2514D">
        <w:rPr>
          <w:rFonts w:ascii="Arial" w:hAnsi="Arial" w:cs="Arial"/>
          <w:i/>
          <w:sz w:val="22"/>
          <w:szCs w:val="22"/>
          <w:lang w:val="en-US"/>
        </w:rPr>
        <w:t>:</w:t>
      </w:r>
      <w:r w:rsidR="00B873D3" w:rsidRPr="00C2514D">
        <w:rPr>
          <w:rFonts w:ascii="Arial" w:hAnsi="Arial" w:cs="Arial"/>
          <w:sz w:val="22"/>
          <w:szCs w:val="22"/>
          <w:lang w:val="en-US"/>
        </w:rPr>
        <w:t xml:space="preserve"> do testing costs faced by users of local strengthened laboratories improve vis a vis comparable exporters using external laboratories?</w:t>
      </w:r>
    </w:p>
    <w:p w:rsidR="00B873D3" w:rsidRPr="00C2514D" w:rsidRDefault="00507B7D" w:rsidP="00507B7D">
      <w:pPr>
        <w:pStyle w:val="Paragraph"/>
        <w:numPr>
          <w:ilvl w:val="0"/>
          <w:numId w:val="0"/>
        </w:numPr>
        <w:tabs>
          <w:tab w:val="num" w:pos="720"/>
        </w:tabs>
        <w:ind w:left="720" w:hanging="720"/>
        <w:rPr>
          <w:rFonts w:ascii="Arial" w:hAnsi="Arial" w:cs="Arial"/>
          <w:sz w:val="22"/>
          <w:szCs w:val="22"/>
          <w:lang w:val="en-US"/>
        </w:rPr>
      </w:pPr>
      <w:r w:rsidRPr="00C2514D">
        <w:rPr>
          <w:rFonts w:ascii="Arial" w:hAnsi="Arial" w:cs="Arial"/>
          <w:i/>
          <w:sz w:val="22"/>
          <w:szCs w:val="22"/>
          <w:lang w:val="en-US"/>
        </w:rPr>
        <w:tab/>
      </w:r>
      <w:r w:rsidR="00B873D3" w:rsidRPr="00C2514D">
        <w:rPr>
          <w:rFonts w:ascii="Arial" w:hAnsi="Arial" w:cs="Arial"/>
          <w:i/>
          <w:sz w:val="22"/>
          <w:szCs w:val="22"/>
          <w:lang w:val="en-US"/>
        </w:rPr>
        <w:t>Rejections:</w:t>
      </w:r>
      <w:r w:rsidR="00B873D3" w:rsidRPr="00C2514D">
        <w:rPr>
          <w:rFonts w:ascii="Arial" w:hAnsi="Arial" w:cs="Arial"/>
          <w:sz w:val="22"/>
          <w:szCs w:val="22"/>
          <w:lang w:val="en-US"/>
        </w:rPr>
        <w:t xml:space="preserve"> do exporters using local strengthened laboratories decrease the number of rejections of export attempts vis a vis comparable exporters using external laboratories?</w:t>
      </w:r>
    </w:p>
    <w:p w:rsidR="00CD5E19" w:rsidRPr="00C2514D" w:rsidRDefault="00CD5E19" w:rsidP="00CD5E19">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To evaluate exports variety, we ask:</w:t>
      </w:r>
    </w:p>
    <w:p w:rsidR="00DD4806" w:rsidRPr="00C2514D" w:rsidRDefault="00DD4806" w:rsidP="00507B7D">
      <w:pPr>
        <w:pStyle w:val="Paragraph"/>
        <w:numPr>
          <w:ilvl w:val="0"/>
          <w:numId w:val="0"/>
        </w:numPr>
        <w:tabs>
          <w:tab w:val="num" w:pos="720"/>
        </w:tabs>
        <w:ind w:left="720" w:hanging="720"/>
        <w:rPr>
          <w:rFonts w:ascii="Arial" w:hAnsi="Arial" w:cs="Arial"/>
          <w:sz w:val="22"/>
          <w:szCs w:val="22"/>
          <w:lang w:val="en-US"/>
        </w:rPr>
      </w:pPr>
      <w:r w:rsidRPr="00C2514D">
        <w:rPr>
          <w:rFonts w:ascii="Arial" w:hAnsi="Arial" w:cs="Arial"/>
          <w:i/>
          <w:sz w:val="22"/>
          <w:szCs w:val="22"/>
          <w:lang w:val="en-US"/>
        </w:rPr>
        <w:tab/>
        <w:t>Variety:</w:t>
      </w:r>
      <w:r w:rsidRPr="00C2514D">
        <w:rPr>
          <w:rFonts w:ascii="Arial" w:hAnsi="Arial" w:cs="Arial"/>
          <w:sz w:val="22"/>
          <w:szCs w:val="22"/>
          <w:lang w:val="en-US"/>
        </w:rPr>
        <w:t xml:space="preserve"> do exporters of non-traditional products increase the value of exports vis a vis comparable exporters of traditional products?</w:t>
      </w:r>
      <w:r w:rsidR="0016781A" w:rsidRPr="00C2514D">
        <w:rPr>
          <w:rFonts w:ascii="Arial" w:hAnsi="Arial" w:cs="Arial"/>
          <w:sz w:val="22"/>
          <w:szCs w:val="22"/>
          <w:lang w:val="en-US"/>
        </w:rPr>
        <w:t xml:space="preserve"> (this will be addressed at the impact level)</w:t>
      </w:r>
    </w:p>
    <w:p w:rsidR="00EA754F" w:rsidRPr="00C2514D" w:rsidRDefault="002D4396"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These questions are consistent with the UNIDO reference framework for SMTQ evaluations (UNIDO 2010a), where the expected impact of strengthening of SMTQ systems is</w:t>
      </w:r>
      <w:r w:rsidR="004C20FE" w:rsidRPr="00C2514D">
        <w:rPr>
          <w:rFonts w:ascii="Arial" w:hAnsi="Arial" w:cs="Arial"/>
          <w:sz w:val="22"/>
          <w:szCs w:val="22"/>
          <w:lang w:val="en-US"/>
        </w:rPr>
        <w:t xml:space="preserve"> to </w:t>
      </w:r>
      <w:r w:rsidR="00C260AD" w:rsidRPr="00C2514D">
        <w:rPr>
          <w:rFonts w:ascii="Arial" w:hAnsi="Arial" w:cs="Arial"/>
          <w:sz w:val="22"/>
          <w:szCs w:val="22"/>
          <w:lang w:val="en-US"/>
        </w:rPr>
        <w:t>“</w:t>
      </w:r>
      <w:r w:rsidR="004C20FE" w:rsidRPr="00C2514D">
        <w:rPr>
          <w:rFonts w:ascii="Arial" w:hAnsi="Arial" w:cs="Arial"/>
          <w:sz w:val="22"/>
          <w:szCs w:val="22"/>
          <w:lang w:val="en-US"/>
        </w:rPr>
        <w:t>enable</w:t>
      </w:r>
      <w:r w:rsidRPr="00C2514D">
        <w:rPr>
          <w:rFonts w:ascii="Arial" w:hAnsi="Arial" w:cs="Arial"/>
          <w:sz w:val="22"/>
          <w:szCs w:val="22"/>
          <w:lang w:val="en-US"/>
        </w:rPr>
        <w:t xml:space="preserve"> </w:t>
      </w:r>
      <w:r w:rsidR="004C20FE" w:rsidRPr="00C2514D">
        <w:rPr>
          <w:rFonts w:ascii="Arial" w:hAnsi="Arial" w:cs="Arial"/>
          <w:sz w:val="22"/>
          <w:szCs w:val="22"/>
          <w:lang w:val="en-US"/>
        </w:rPr>
        <w:t xml:space="preserve">beneficiaries </w:t>
      </w:r>
      <w:r w:rsidRPr="00C2514D">
        <w:rPr>
          <w:rFonts w:ascii="Arial" w:hAnsi="Arial" w:cs="Arial"/>
          <w:sz w:val="22"/>
          <w:szCs w:val="22"/>
          <w:lang w:val="en-US"/>
        </w:rPr>
        <w:t xml:space="preserve">to produce and trade goods and services that meet international public and private industrial </w:t>
      </w:r>
      <w:r w:rsidR="00C260AD" w:rsidRPr="00C2514D">
        <w:rPr>
          <w:rFonts w:ascii="Arial" w:hAnsi="Arial" w:cs="Arial"/>
          <w:sz w:val="22"/>
          <w:szCs w:val="22"/>
          <w:lang w:val="en-US"/>
        </w:rPr>
        <w:t>standards”</w:t>
      </w:r>
      <w:r w:rsidR="000B7ABE" w:rsidRPr="00C2514D">
        <w:rPr>
          <w:rFonts w:ascii="Arial" w:hAnsi="Arial" w:cs="Arial"/>
          <w:sz w:val="22"/>
          <w:szCs w:val="22"/>
          <w:lang w:val="en-US"/>
        </w:rPr>
        <w:t xml:space="preserve"> and the related outcomes are “Increased exports, in particular from poverty relevant sectors”, “reduced rejection rates of exported products” and “new products brought to the global market”</w:t>
      </w:r>
      <w:r w:rsidRPr="00C2514D">
        <w:rPr>
          <w:rFonts w:ascii="Arial" w:hAnsi="Arial" w:cs="Arial"/>
          <w:sz w:val="22"/>
          <w:szCs w:val="22"/>
          <w:lang w:val="en-US"/>
        </w:rPr>
        <w:t>.</w:t>
      </w:r>
      <w:r w:rsidR="00EA754F" w:rsidRPr="00C2514D">
        <w:rPr>
          <w:rFonts w:ascii="Arial" w:hAnsi="Arial" w:cs="Arial"/>
          <w:sz w:val="22"/>
          <w:szCs w:val="22"/>
          <w:lang w:val="en-US"/>
        </w:rPr>
        <w:t xml:space="preserve"> </w:t>
      </w:r>
    </w:p>
    <w:p w:rsidR="00F522AD" w:rsidRPr="00C2514D" w:rsidRDefault="00EA754F"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 xml:space="preserve">These questions also relate directly to the vertical logic of the project. Activities and outputs advanced by the project such as improvement of facilities and equipment of laboratories, training for staff of laboratories, certification of laboratories for accreditation, awareness campaigns for laboratories to join to the improved network, training to potential clients (SME) on the value of quality and standards, design of an export strategy and value chain analysis targeted to selected non-traditional industries are expected to translate into better standardization of non-traditional export products, less rejections at international destination markets and hence into increasing exports of these products (enhancing in this way the variety of the composition of the exports basket), more value of exports </w:t>
      </w:r>
      <w:r w:rsidR="00AC2DC8" w:rsidRPr="00C2514D">
        <w:rPr>
          <w:rFonts w:ascii="Arial" w:hAnsi="Arial" w:cs="Arial"/>
          <w:sz w:val="22"/>
          <w:szCs w:val="22"/>
          <w:lang w:val="en-US"/>
        </w:rPr>
        <w:t>and lower operative costs of exporters (lower testing costs due to availability of in-land testing facilities and lower losses due to rejection of samples at destination markets).</w:t>
      </w:r>
    </w:p>
    <w:p w:rsidR="00883AA7" w:rsidRPr="00C2514D" w:rsidRDefault="00937C15" w:rsidP="00507B7D">
      <w:pPr>
        <w:pStyle w:val="Paragraph"/>
        <w:numPr>
          <w:ilvl w:val="0"/>
          <w:numId w:val="0"/>
        </w:numPr>
        <w:tabs>
          <w:tab w:val="num" w:pos="720"/>
        </w:tabs>
        <w:ind w:left="720" w:hanging="720"/>
        <w:rPr>
          <w:rFonts w:ascii="Arial" w:hAnsi="Arial" w:cs="Arial"/>
          <w:b/>
          <w:sz w:val="22"/>
          <w:szCs w:val="22"/>
          <w:lang w:val="en-US"/>
        </w:rPr>
      </w:pPr>
      <w:r w:rsidRPr="00C2514D">
        <w:rPr>
          <w:rFonts w:ascii="Arial" w:hAnsi="Arial" w:cs="Arial"/>
          <w:b/>
          <w:sz w:val="22"/>
          <w:szCs w:val="22"/>
          <w:lang w:val="en-US"/>
        </w:rPr>
        <w:fldChar w:fldCharType="begin"/>
      </w:r>
      <w:r w:rsidRPr="00C2514D">
        <w:rPr>
          <w:rFonts w:ascii="Arial" w:hAnsi="Arial" w:cs="Arial"/>
          <w:b/>
          <w:sz w:val="22"/>
          <w:szCs w:val="22"/>
          <w:lang w:val="en-US"/>
        </w:rPr>
        <w:instrText xml:space="preserve"> SEQ "</w:instrText>
      </w:r>
      <w:r w:rsidRPr="00C2514D">
        <w:rPr>
          <w:rFonts w:ascii="Arial" w:hAnsi="Arial" w:cs="Arial"/>
          <w:b/>
          <w:sz w:val="22"/>
          <w:szCs w:val="22"/>
          <w:lang w:val="en-US"/>
        </w:rPr>
        <w:fldChar w:fldCharType="begin"/>
      </w:r>
      <w:r w:rsidRPr="00C2514D">
        <w:rPr>
          <w:rFonts w:ascii="Arial" w:hAnsi="Arial" w:cs="Arial"/>
          <w:b/>
          <w:sz w:val="22"/>
          <w:szCs w:val="22"/>
          <w:lang w:val="en-US"/>
        </w:rPr>
        <w:instrText xml:space="preserve"> SECTION  \* MERGEFORMAT </w:instrText>
      </w:r>
      <w:r w:rsidRPr="00C2514D">
        <w:rPr>
          <w:rFonts w:ascii="Arial" w:hAnsi="Arial" w:cs="Arial"/>
          <w:b/>
          <w:sz w:val="22"/>
          <w:szCs w:val="22"/>
          <w:lang w:val="en-US"/>
        </w:rPr>
        <w:fldChar w:fldCharType="separate"/>
      </w:r>
      <w:r w:rsidR="003E44DD" w:rsidRPr="00C2514D">
        <w:rPr>
          <w:rFonts w:ascii="Arial" w:hAnsi="Arial" w:cs="Arial"/>
          <w:b/>
          <w:sz w:val="22"/>
          <w:szCs w:val="22"/>
          <w:lang w:val="en-US"/>
        </w:rPr>
        <w:instrText>4</w:instrText>
      </w:r>
      <w:r w:rsidRPr="00C2514D">
        <w:rPr>
          <w:rFonts w:ascii="Arial" w:hAnsi="Arial" w:cs="Arial"/>
          <w:b/>
          <w:sz w:val="22"/>
          <w:szCs w:val="22"/>
          <w:lang w:val="en-US"/>
        </w:rPr>
        <w:fldChar w:fldCharType="end"/>
      </w:r>
      <w:r w:rsidRPr="00C2514D">
        <w:rPr>
          <w:rFonts w:ascii="Arial" w:hAnsi="Arial" w:cs="Arial"/>
          <w:b/>
          <w:sz w:val="22"/>
          <w:szCs w:val="22"/>
          <w:lang w:val="en-US"/>
        </w:rPr>
        <w:instrText xml:space="preserve">#"\* ALPHABETIC \* MERGEFORMAT </w:instrText>
      </w:r>
      <w:r w:rsidRPr="00C2514D">
        <w:rPr>
          <w:rFonts w:ascii="Arial" w:hAnsi="Arial" w:cs="Arial"/>
          <w:b/>
          <w:sz w:val="22"/>
          <w:szCs w:val="22"/>
          <w:lang w:val="en-US"/>
        </w:rPr>
        <w:fldChar w:fldCharType="separate"/>
      </w:r>
      <w:bookmarkStart w:id="9" w:name="_Toc449703282"/>
      <w:r w:rsidR="003E44DD" w:rsidRPr="00C2514D">
        <w:rPr>
          <w:rFonts w:ascii="Arial" w:hAnsi="Arial" w:cs="Arial"/>
          <w:b/>
          <w:noProof/>
          <w:sz w:val="22"/>
          <w:szCs w:val="22"/>
          <w:lang w:val="en-US"/>
        </w:rPr>
        <w:t>D</w:t>
      </w:r>
      <w:r w:rsidRPr="00C2514D">
        <w:rPr>
          <w:rFonts w:ascii="Arial" w:hAnsi="Arial" w:cs="Arial"/>
          <w:b/>
          <w:sz w:val="22"/>
          <w:szCs w:val="22"/>
          <w:lang w:val="en-US"/>
        </w:rPr>
        <w:fldChar w:fldCharType="end"/>
      </w:r>
      <w:r w:rsidRPr="00C2514D">
        <w:rPr>
          <w:rFonts w:ascii="Arial" w:hAnsi="Arial" w:cs="Arial"/>
          <w:b/>
          <w:sz w:val="22"/>
          <w:szCs w:val="22"/>
          <w:lang w:val="en-US"/>
        </w:rPr>
        <w:t>.</w:t>
      </w:r>
      <w:r w:rsidRPr="00C2514D">
        <w:rPr>
          <w:rFonts w:ascii="Arial" w:hAnsi="Arial" w:cs="Arial"/>
          <w:b/>
          <w:sz w:val="22"/>
          <w:szCs w:val="22"/>
          <w:lang w:val="en-US"/>
        </w:rPr>
        <w:tab/>
      </w:r>
      <w:bookmarkEnd w:id="9"/>
      <w:r w:rsidR="00D6582C" w:rsidRPr="00C2514D">
        <w:rPr>
          <w:rFonts w:ascii="Arial" w:hAnsi="Arial" w:cs="Arial"/>
          <w:b/>
          <w:sz w:val="22"/>
          <w:szCs w:val="22"/>
          <w:lang w:val="en-US"/>
        </w:rPr>
        <w:t>Main indicators</w:t>
      </w:r>
    </w:p>
    <w:p w:rsidR="0043013B" w:rsidRPr="004904BD" w:rsidRDefault="000B7ABE" w:rsidP="00C85B55">
      <w:pPr>
        <w:pStyle w:val="Paragraph"/>
        <w:tabs>
          <w:tab w:val="clear" w:pos="1296"/>
          <w:tab w:val="num" w:pos="720"/>
        </w:tabs>
        <w:ind w:left="720" w:hanging="720"/>
        <w:rPr>
          <w:rFonts w:ascii="Arial" w:hAnsi="Arial" w:cs="Arial"/>
          <w:sz w:val="22"/>
          <w:lang w:val="en-US"/>
        </w:rPr>
      </w:pPr>
      <w:r w:rsidRPr="004904BD">
        <w:rPr>
          <w:rFonts w:ascii="Arial" w:hAnsi="Arial" w:cs="Arial"/>
          <w:sz w:val="22"/>
          <w:lang w:val="en-US"/>
        </w:rPr>
        <w:t>T</w:t>
      </w:r>
      <w:r w:rsidR="009F2BB1" w:rsidRPr="004904BD">
        <w:rPr>
          <w:rFonts w:ascii="Arial" w:hAnsi="Arial" w:cs="Arial"/>
          <w:sz w:val="22"/>
          <w:lang w:val="en-US"/>
        </w:rPr>
        <w:t xml:space="preserve">he evaluation plan will be aimed at identifying and quantifying the effects attributable to the </w:t>
      </w:r>
      <w:r w:rsidR="00FC4DE6" w:rsidRPr="004904BD">
        <w:rPr>
          <w:rFonts w:ascii="Arial" w:hAnsi="Arial" w:cs="Arial"/>
          <w:sz w:val="22"/>
          <w:lang w:val="en-US"/>
        </w:rPr>
        <w:t>program as a whole</w:t>
      </w:r>
      <w:r w:rsidR="00AC2DC8" w:rsidRPr="004904BD">
        <w:rPr>
          <w:rFonts w:ascii="Arial" w:hAnsi="Arial" w:cs="Arial"/>
          <w:sz w:val="22"/>
          <w:lang w:val="en-US"/>
        </w:rPr>
        <w:t>. B</w:t>
      </w:r>
      <w:r w:rsidR="00AC7999" w:rsidRPr="004904BD">
        <w:rPr>
          <w:rFonts w:ascii="Arial" w:hAnsi="Arial" w:cs="Arial"/>
          <w:sz w:val="22"/>
          <w:lang w:val="en-US"/>
        </w:rPr>
        <w:t xml:space="preserve">y design, the effects of the </w:t>
      </w:r>
      <w:r w:rsidR="00646571">
        <w:rPr>
          <w:rFonts w:ascii="Arial" w:hAnsi="Arial" w:cs="Arial"/>
          <w:sz w:val="22"/>
          <w:lang w:val="en-US"/>
        </w:rPr>
        <w:t>different sub</w:t>
      </w:r>
      <w:r w:rsidR="00AC7999" w:rsidRPr="004904BD">
        <w:rPr>
          <w:rFonts w:ascii="Arial" w:hAnsi="Arial" w:cs="Arial"/>
          <w:sz w:val="22"/>
          <w:lang w:val="en-US"/>
        </w:rPr>
        <w:t>component</w:t>
      </w:r>
      <w:r w:rsidR="00C85B55" w:rsidRPr="004904BD">
        <w:rPr>
          <w:rFonts w:ascii="Arial" w:hAnsi="Arial" w:cs="Arial"/>
          <w:sz w:val="22"/>
          <w:lang w:val="en-US"/>
        </w:rPr>
        <w:t>s</w:t>
      </w:r>
      <w:r w:rsidR="00AC7999" w:rsidRPr="004904BD">
        <w:rPr>
          <w:rFonts w:ascii="Arial" w:hAnsi="Arial" w:cs="Arial"/>
          <w:sz w:val="22"/>
          <w:lang w:val="en-US"/>
        </w:rPr>
        <w:t xml:space="preserve"> are also captured by </w:t>
      </w:r>
      <w:r w:rsidR="00AC2DC8" w:rsidRPr="004904BD">
        <w:rPr>
          <w:rFonts w:ascii="Arial" w:hAnsi="Arial" w:cs="Arial"/>
          <w:sz w:val="22"/>
          <w:lang w:val="en-US"/>
        </w:rPr>
        <w:t>the</w:t>
      </w:r>
      <w:r w:rsidR="00C85B55" w:rsidRPr="004904BD">
        <w:rPr>
          <w:rFonts w:ascii="Arial" w:hAnsi="Arial" w:cs="Arial"/>
          <w:sz w:val="22"/>
          <w:lang w:val="en-US"/>
        </w:rPr>
        <w:t xml:space="preserve"> interaction of activities and o</w:t>
      </w:r>
      <w:r w:rsidR="00646571">
        <w:rPr>
          <w:rFonts w:ascii="Arial" w:hAnsi="Arial" w:cs="Arial"/>
          <w:sz w:val="22"/>
          <w:lang w:val="en-US"/>
        </w:rPr>
        <w:t>utputs delivered by all the sub</w:t>
      </w:r>
      <w:r w:rsidR="00C85B55" w:rsidRPr="004904BD">
        <w:rPr>
          <w:rFonts w:ascii="Arial" w:hAnsi="Arial" w:cs="Arial"/>
          <w:sz w:val="22"/>
          <w:lang w:val="en-US"/>
        </w:rPr>
        <w:t xml:space="preserve">components at once. For instance, </w:t>
      </w:r>
      <w:r w:rsidR="00AC2DC8" w:rsidRPr="004904BD">
        <w:rPr>
          <w:rFonts w:ascii="Arial" w:hAnsi="Arial" w:cs="Arial"/>
          <w:sz w:val="22"/>
          <w:lang w:val="en-US"/>
        </w:rPr>
        <w:t xml:space="preserve">improved national strategies for investment and exports, and more specific targeted strategies </w:t>
      </w:r>
      <w:r w:rsidR="00563057" w:rsidRPr="004904BD">
        <w:rPr>
          <w:rFonts w:ascii="Arial" w:hAnsi="Arial" w:cs="Arial"/>
          <w:sz w:val="22"/>
          <w:lang w:val="en-US"/>
        </w:rPr>
        <w:t xml:space="preserve">for </w:t>
      </w:r>
      <w:r w:rsidR="00AC2DC8" w:rsidRPr="004904BD">
        <w:rPr>
          <w:rFonts w:ascii="Arial" w:hAnsi="Arial" w:cs="Arial"/>
          <w:sz w:val="22"/>
          <w:lang w:val="en-US"/>
        </w:rPr>
        <w:t xml:space="preserve">non-traditional industries </w:t>
      </w:r>
      <w:r w:rsidR="00563057" w:rsidRPr="004904BD">
        <w:rPr>
          <w:rFonts w:ascii="Arial" w:hAnsi="Arial" w:cs="Arial"/>
          <w:sz w:val="22"/>
          <w:lang w:val="en-US"/>
        </w:rPr>
        <w:t>with high potential growth (</w:t>
      </w:r>
      <w:r w:rsidR="00646571">
        <w:rPr>
          <w:rFonts w:ascii="Arial" w:hAnsi="Arial" w:cs="Arial"/>
          <w:sz w:val="22"/>
          <w:lang w:val="en-US"/>
        </w:rPr>
        <w:t>sub</w:t>
      </w:r>
      <w:r w:rsidR="00C85B55" w:rsidRPr="004904BD">
        <w:rPr>
          <w:rFonts w:ascii="Arial" w:hAnsi="Arial" w:cs="Arial"/>
          <w:sz w:val="22"/>
          <w:lang w:val="en-US"/>
        </w:rPr>
        <w:t>c</w:t>
      </w:r>
      <w:r w:rsidR="00563057" w:rsidRPr="004904BD">
        <w:rPr>
          <w:rFonts w:ascii="Arial" w:hAnsi="Arial" w:cs="Arial"/>
          <w:sz w:val="22"/>
          <w:lang w:val="en-US"/>
        </w:rPr>
        <w:t xml:space="preserve">omponent 3) </w:t>
      </w:r>
      <w:r w:rsidR="00AC2DC8" w:rsidRPr="004904BD">
        <w:rPr>
          <w:rFonts w:ascii="Arial" w:hAnsi="Arial" w:cs="Arial"/>
          <w:sz w:val="22"/>
          <w:lang w:val="en-US"/>
        </w:rPr>
        <w:t>will complement the efforts of investments in the modernization of the institutional framework of the NQI</w:t>
      </w:r>
      <w:r w:rsidR="00563057" w:rsidRPr="004904BD">
        <w:rPr>
          <w:rFonts w:ascii="Arial" w:hAnsi="Arial" w:cs="Arial"/>
          <w:sz w:val="22"/>
          <w:lang w:val="en-US"/>
        </w:rPr>
        <w:t xml:space="preserve"> (</w:t>
      </w:r>
      <w:r w:rsidR="00C85B55" w:rsidRPr="004904BD">
        <w:rPr>
          <w:rFonts w:ascii="Arial" w:hAnsi="Arial" w:cs="Arial"/>
          <w:sz w:val="22"/>
          <w:lang w:val="en-US"/>
        </w:rPr>
        <w:t>the “s</w:t>
      </w:r>
      <w:r w:rsidR="00646571">
        <w:rPr>
          <w:rFonts w:ascii="Arial" w:hAnsi="Arial" w:cs="Arial"/>
          <w:sz w:val="22"/>
          <w:lang w:val="en-US"/>
        </w:rPr>
        <w:t>oftware” of the program, or sub</w:t>
      </w:r>
      <w:r w:rsidR="00C85B55" w:rsidRPr="004904BD">
        <w:rPr>
          <w:rFonts w:ascii="Arial" w:hAnsi="Arial" w:cs="Arial"/>
          <w:sz w:val="22"/>
          <w:lang w:val="en-US"/>
        </w:rPr>
        <w:t>c</w:t>
      </w:r>
      <w:r w:rsidR="00563057" w:rsidRPr="004904BD">
        <w:rPr>
          <w:rFonts w:ascii="Arial" w:hAnsi="Arial" w:cs="Arial"/>
          <w:sz w:val="22"/>
          <w:lang w:val="en-US"/>
        </w:rPr>
        <w:t>omponent 1)</w:t>
      </w:r>
      <w:r w:rsidR="00AC2DC8" w:rsidRPr="004904BD">
        <w:rPr>
          <w:rFonts w:ascii="Arial" w:hAnsi="Arial" w:cs="Arial"/>
          <w:sz w:val="22"/>
          <w:lang w:val="en-US"/>
        </w:rPr>
        <w:t xml:space="preserve"> and in the improvement of laboratories facilities and equipment</w:t>
      </w:r>
      <w:r w:rsidR="00563057" w:rsidRPr="004904BD">
        <w:rPr>
          <w:rFonts w:ascii="Arial" w:hAnsi="Arial" w:cs="Arial"/>
          <w:sz w:val="22"/>
          <w:lang w:val="en-US"/>
        </w:rPr>
        <w:t xml:space="preserve"> (</w:t>
      </w:r>
      <w:r w:rsidR="00C85B55" w:rsidRPr="004904BD">
        <w:rPr>
          <w:rFonts w:ascii="Arial" w:hAnsi="Arial" w:cs="Arial"/>
          <w:sz w:val="22"/>
          <w:lang w:val="en-US"/>
        </w:rPr>
        <w:t>the “hardware” of th</w:t>
      </w:r>
      <w:r w:rsidR="00646571">
        <w:rPr>
          <w:rFonts w:ascii="Arial" w:hAnsi="Arial" w:cs="Arial"/>
          <w:sz w:val="22"/>
          <w:lang w:val="en-US"/>
        </w:rPr>
        <w:t>e program, or sub</w:t>
      </w:r>
      <w:r w:rsidR="00C85B55" w:rsidRPr="004904BD">
        <w:rPr>
          <w:rFonts w:ascii="Arial" w:hAnsi="Arial" w:cs="Arial"/>
          <w:sz w:val="22"/>
          <w:lang w:val="en-US"/>
        </w:rPr>
        <w:t>c</w:t>
      </w:r>
      <w:r w:rsidR="00563057" w:rsidRPr="004904BD">
        <w:rPr>
          <w:rFonts w:ascii="Arial" w:hAnsi="Arial" w:cs="Arial"/>
          <w:sz w:val="22"/>
          <w:lang w:val="en-US"/>
        </w:rPr>
        <w:t>omponent 2)</w:t>
      </w:r>
      <w:r w:rsidR="009F2BB1" w:rsidRPr="004904BD">
        <w:rPr>
          <w:rFonts w:ascii="Arial" w:hAnsi="Arial" w:cs="Arial"/>
          <w:sz w:val="22"/>
          <w:lang w:val="en-US"/>
        </w:rPr>
        <w:t xml:space="preserve">. </w:t>
      </w:r>
      <w:r w:rsidR="00AC2DC8" w:rsidRPr="004904BD">
        <w:rPr>
          <w:rFonts w:ascii="Arial" w:hAnsi="Arial" w:cs="Arial"/>
          <w:sz w:val="22"/>
          <w:lang w:val="en-US"/>
        </w:rPr>
        <w:t>In fact, the national strategy provides a macro frame</w:t>
      </w:r>
      <w:r w:rsidR="00AC2DC8" w:rsidRPr="00C2514D">
        <w:rPr>
          <w:rFonts w:ascii="Arial" w:hAnsi="Arial" w:cs="Arial"/>
          <w:sz w:val="22"/>
          <w:lang w:val="en-US"/>
        </w:rPr>
        <w:t xml:space="preserve"> to assure </w:t>
      </w:r>
      <w:r w:rsidR="00AC2DC8" w:rsidRPr="00C2514D">
        <w:rPr>
          <w:rFonts w:ascii="Arial" w:hAnsi="Arial" w:cs="Arial"/>
          <w:sz w:val="22"/>
          <w:lang w:val="en-US"/>
        </w:rPr>
        <w:lastRenderedPageBreak/>
        <w:t xml:space="preserve">minimum development conditions for a successful NQI and the </w:t>
      </w:r>
      <w:r w:rsidR="00563057" w:rsidRPr="00C2514D">
        <w:rPr>
          <w:rFonts w:ascii="Arial" w:hAnsi="Arial" w:cs="Arial"/>
          <w:sz w:val="22"/>
          <w:lang w:val="en-US"/>
        </w:rPr>
        <w:t xml:space="preserve">specific </w:t>
      </w:r>
      <w:r w:rsidR="00AC2DC8" w:rsidRPr="00C2514D">
        <w:rPr>
          <w:rFonts w:ascii="Arial" w:hAnsi="Arial" w:cs="Arial"/>
          <w:sz w:val="22"/>
          <w:lang w:val="en-US"/>
        </w:rPr>
        <w:t xml:space="preserve">sector </w:t>
      </w:r>
      <w:r w:rsidR="00563057" w:rsidRPr="00C2514D">
        <w:rPr>
          <w:rFonts w:ascii="Arial" w:hAnsi="Arial" w:cs="Arial"/>
          <w:sz w:val="22"/>
          <w:lang w:val="en-US"/>
        </w:rPr>
        <w:t>analysis</w:t>
      </w:r>
      <w:r w:rsidR="00AC2DC8" w:rsidRPr="00C2514D">
        <w:rPr>
          <w:rFonts w:ascii="Arial" w:hAnsi="Arial" w:cs="Arial"/>
          <w:sz w:val="22"/>
          <w:lang w:val="en-US"/>
        </w:rPr>
        <w:t xml:space="preserve"> targets the most promising specific beneficiaries as to assure a suitable selection of those non</w:t>
      </w:r>
      <w:r w:rsidR="00AC2DC8" w:rsidRPr="004904BD">
        <w:rPr>
          <w:rFonts w:ascii="Arial" w:hAnsi="Arial" w:cs="Arial"/>
          <w:sz w:val="22"/>
          <w:lang w:val="en-US"/>
        </w:rPr>
        <w:t>-traditional industries that would take the most advantage of the investment.</w:t>
      </w:r>
      <w:r w:rsidR="00584EAC" w:rsidRPr="004904BD">
        <w:rPr>
          <w:rFonts w:ascii="Arial" w:hAnsi="Arial" w:cs="Arial"/>
          <w:sz w:val="22"/>
          <w:lang w:val="en-US"/>
        </w:rPr>
        <w:t xml:space="preserve"> </w:t>
      </w:r>
      <w:r w:rsidR="009F2BB1" w:rsidRPr="004904BD">
        <w:rPr>
          <w:rFonts w:ascii="Arial" w:hAnsi="Arial" w:cs="Arial"/>
          <w:sz w:val="22"/>
          <w:lang w:val="en-US"/>
        </w:rPr>
        <w:t xml:space="preserve">The unit of analysis will </w:t>
      </w:r>
      <w:r w:rsidR="00563057" w:rsidRPr="004904BD">
        <w:rPr>
          <w:rFonts w:ascii="Arial" w:hAnsi="Arial" w:cs="Arial"/>
          <w:sz w:val="22"/>
          <w:lang w:val="en-US"/>
        </w:rPr>
        <w:t xml:space="preserve">be </w:t>
      </w:r>
      <w:r w:rsidR="009F2BB1" w:rsidRPr="004904BD">
        <w:rPr>
          <w:rFonts w:ascii="Arial" w:hAnsi="Arial" w:cs="Arial"/>
          <w:sz w:val="22"/>
          <w:lang w:val="en-US"/>
        </w:rPr>
        <w:t>the final beneficiary (exporter</w:t>
      </w:r>
      <w:r w:rsidR="00563057" w:rsidRPr="004904BD">
        <w:rPr>
          <w:rFonts w:ascii="Arial" w:hAnsi="Arial" w:cs="Arial"/>
          <w:sz w:val="22"/>
          <w:lang w:val="en-US"/>
        </w:rPr>
        <w:t>)</w:t>
      </w:r>
      <w:r w:rsidR="00584EAC" w:rsidRPr="004904BD">
        <w:rPr>
          <w:rFonts w:ascii="Arial" w:hAnsi="Arial" w:cs="Arial"/>
          <w:sz w:val="22"/>
          <w:lang w:val="en-US"/>
        </w:rPr>
        <w:t xml:space="preserve"> as it is further explained in section E</w:t>
      </w:r>
      <w:r w:rsidR="00563057" w:rsidRPr="004904BD">
        <w:rPr>
          <w:rFonts w:ascii="Arial" w:hAnsi="Arial" w:cs="Arial"/>
          <w:sz w:val="22"/>
          <w:lang w:val="en-US"/>
        </w:rPr>
        <w:t>.</w:t>
      </w:r>
    </w:p>
    <w:p w:rsidR="007B4365" w:rsidRPr="004904BD" w:rsidRDefault="00E90BB8" w:rsidP="00520ADF">
      <w:pPr>
        <w:pStyle w:val="Paragraph"/>
        <w:tabs>
          <w:tab w:val="clear" w:pos="1296"/>
          <w:tab w:val="num" w:pos="720"/>
        </w:tabs>
        <w:ind w:left="720" w:hanging="720"/>
        <w:rPr>
          <w:rFonts w:ascii="Arial" w:hAnsi="Arial" w:cs="Arial"/>
          <w:sz w:val="22"/>
          <w:szCs w:val="22"/>
          <w:lang w:val="en-US"/>
        </w:rPr>
      </w:pPr>
      <w:r w:rsidRPr="004904BD">
        <w:rPr>
          <w:rFonts w:ascii="Arial" w:hAnsi="Arial" w:cs="Arial"/>
          <w:sz w:val="22"/>
          <w:lang w:val="en-US"/>
        </w:rPr>
        <w:t>While we are interested into learning about the effects of the program in the dimensions referred before (intensity, efficiency and variety), given data availability</w:t>
      </w:r>
      <w:r w:rsidR="001F5FFF" w:rsidRPr="004904BD">
        <w:rPr>
          <w:rFonts w:ascii="Arial" w:hAnsi="Arial" w:cs="Arial"/>
          <w:sz w:val="22"/>
          <w:lang w:val="en-US"/>
        </w:rPr>
        <w:t xml:space="preserve">, </w:t>
      </w:r>
      <w:r w:rsidRPr="004904BD">
        <w:rPr>
          <w:rFonts w:ascii="Arial" w:hAnsi="Arial" w:cs="Arial"/>
          <w:sz w:val="22"/>
          <w:lang w:val="en-US"/>
        </w:rPr>
        <w:t>the M&amp;E plan will commit to evaluate quasi-experimentally to the first dimension at the outcome level exploiting administrative records. The other two dimensions will also be evaluated either with a non-experimental approach (before and after comparison) or with a quasi-experimental method depending on the level of measurement (aggregate or individual</w:t>
      </w:r>
      <w:r w:rsidR="007B4365" w:rsidRPr="004904BD">
        <w:rPr>
          <w:rFonts w:ascii="Arial" w:hAnsi="Arial" w:cs="Arial"/>
          <w:sz w:val="22"/>
          <w:lang w:val="en-US"/>
        </w:rPr>
        <w:t>).</w:t>
      </w:r>
    </w:p>
    <w:p w:rsidR="00520ADF" w:rsidRPr="00C2514D" w:rsidRDefault="00653DF0" w:rsidP="00520ADF">
      <w:pPr>
        <w:pStyle w:val="Paragraph"/>
        <w:tabs>
          <w:tab w:val="clear" w:pos="1296"/>
          <w:tab w:val="num" w:pos="720"/>
        </w:tabs>
        <w:ind w:left="720" w:hanging="720"/>
        <w:rPr>
          <w:rFonts w:ascii="Arial" w:hAnsi="Arial" w:cs="Arial"/>
          <w:sz w:val="22"/>
          <w:szCs w:val="22"/>
          <w:lang w:val="en-US"/>
        </w:rPr>
      </w:pPr>
      <w:r w:rsidRPr="004904BD">
        <w:rPr>
          <w:rFonts w:ascii="Arial" w:hAnsi="Arial" w:cs="Arial"/>
          <w:sz w:val="22"/>
          <w:lang w:val="en-US"/>
        </w:rPr>
        <w:t xml:space="preserve">Table </w:t>
      </w:r>
      <w:r w:rsidR="001E2A63" w:rsidRPr="004904BD">
        <w:rPr>
          <w:rFonts w:ascii="Arial" w:hAnsi="Arial" w:cs="Arial"/>
          <w:sz w:val="22"/>
          <w:lang w:val="en-US"/>
        </w:rPr>
        <w:t>4</w:t>
      </w:r>
      <w:r w:rsidRPr="004904BD">
        <w:rPr>
          <w:rFonts w:ascii="Arial" w:hAnsi="Arial" w:cs="Arial"/>
          <w:sz w:val="22"/>
          <w:lang w:val="en-US"/>
        </w:rPr>
        <w:t xml:space="preserve"> </w:t>
      </w:r>
      <w:r w:rsidR="0008446E" w:rsidRPr="004904BD">
        <w:rPr>
          <w:rFonts w:ascii="Arial" w:hAnsi="Arial" w:cs="Arial"/>
          <w:sz w:val="22"/>
          <w:lang w:val="en-US"/>
        </w:rPr>
        <w:t xml:space="preserve">shows the list of selected </w:t>
      </w:r>
      <w:r w:rsidR="00E90BB8" w:rsidRPr="004904BD">
        <w:rPr>
          <w:rFonts w:ascii="Arial" w:hAnsi="Arial" w:cs="Arial"/>
          <w:sz w:val="22"/>
          <w:lang w:val="en-US"/>
        </w:rPr>
        <w:t>results</w:t>
      </w:r>
      <w:r w:rsidR="0008446E" w:rsidRPr="004904BD">
        <w:rPr>
          <w:rFonts w:ascii="Arial" w:hAnsi="Arial" w:cs="Arial"/>
          <w:sz w:val="22"/>
          <w:lang w:val="en-US"/>
        </w:rPr>
        <w:t xml:space="preserve"> indicators</w:t>
      </w:r>
      <w:r w:rsidR="007B4365" w:rsidRPr="004904BD">
        <w:rPr>
          <w:rFonts w:ascii="Arial" w:hAnsi="Arial" w:cs="Arial"/>
          <w:sz w:val="22"/>
          <w:lang w:val="en-US"/>
        </w:rPr>
        <w:t xml:space="preserve"> proposed to monitor and evaluate development effectiveness attributable to the program</w:t>
      </w:r>
      <w:r w:rsidR="0008446E" w:rsidRPr="004904BD">
        <w:rPr>
          <w:rFonts w:ascii="Arial" w:hAnsi="Arial" w:cs="Arial"/>
          <w:sz w:val="22"/>
          <w:lang w:val="en-US"/>
        </w:rPr>
        <w:t xml:space="preserve">. </w:t>
      </w:r>
      <w:r w:rsidR="007B4365" w:rsidRPr="004904BD">
        <w:rPr>
          <w:rFonts w:ascii="Arial" w:hAnsi="Arial" w:cs="Arial"/>
          <w:sz w:val="22"/>
          <w:lang w:val="en-US"/>
        </w:rPr>
        <w:t>Specific selected indicators are measurable in the time frame of execution of the project. Targets are realistic and based on conservative estimates projected with existing literature and recent trends observed</w:t>
      </w:r>
      <w:r w:rsidR="007B4365" w:rsidRPr="00C2514D">
        <w:rPr>
          <w:rFonts w:ascii="Arial" w:hAnsi="Arial" w:cs="Arial"/>
          <w:sz w:val="22"/>
          <w:lang w:val="en-US"/>
        </w:rPr>
        <w:t xml:space="preserve"> in the country. The most rigorous evaluation will be conducted over the universe of </w:t>
      </w:r>
      <w:r w:rsidR="003039A4" w:rsidRPr="00C2514D">
        <w:rPr>
          <w:rFonts w:ascii="Arial" w:hAnsi="Arial" w:cs="Arial"/>
          <w:sz w:val="22"/>
          <w:lang w:val="en-US"/>
        </w:rPr>
        <w:t>formal exporters of the country</w:t>
      </w:r>
      <w:r w:rsidR="007B4365" w:rsidRPr="00C2514D">
        <w:rPr>
          <w:rFonts w:ascii="Arial" w:hAnsi="Arial" w:cs="Arial"/>
          <w:sz w:val="22"/>
          <w:lang w:val="en-US"/>
        </w:rPr>
        <w:t xml:space="preserve"> using administrative records. This will be an unprecedented effort to conduct an impact evaluation with </w:t>
      </w:r>
      <w:r w:rsidR="003039A4" w:rsidRPr="00C2514D">
        <w:rPr>
          <w:rFonts w:ascii="Arial" w:hAnsi="Arial" w:cs="Arial"/>
          <w:sz w:val="22"/>
          <w:lang w:val="en-US"/>
        </w:rPr>
        <w:t>firms population</w:t>
      </w:r>
      <w:r w:rsidR="007B4365" w:rsidRPr="00C2514D">
        <w:rPr>
          <w:rFonts w:ascii="Arial" w:hAnsi="Arial" w:cs="Arial"/>
          <w:sz w:val="22"/>
          <w:lang w:val="en-US"/>
        </w:rPr>
        <w:t xml:space="preserve"> data in the country. Yet, in order to include more specific questions related to efficiency gains, </w:t>
      </w:r>
      <w:r w:rsidR="000F5FB7" w:rsidRPr="00C2514D">
        <w:rPr>
          <w:rFonts w:ascii="Arial" w:hAnsi="Arial" w:cs="Arial"/>
          <w:sz w:val="22"/>
          <w:lang w:val="en-US"/>
        </w:rPr>
        <w:t>GY-T1129</w:t>
      </w:r>
      <w:r w:rsidR="007B4365" w:rsidRPr="00C2514D">
        <w:rPr>
          <w:rFonts w:ascii="Arial" w:hAnsi="Arial" w:cs="Arial"/>
          <w:sz w:val="22"/>
          <w:lang w:val="en-US"/>
        </w:rPr>
        <w:t xml:space="preserve"> will complement the information to conduct a complementary quasi-experimental evaluation based on a sample of control units (universe of treated will be included).</w:t>
      </w:r>
    </w:p>
    <w:p w:rsidR="00FF3DE9" w:rsidRPr="00C2514D" w:rsidRDefault="007B4365" w:rsidP="00FF3DE9">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lang w:val="en-US"/>
        </w:rPr>
        <w:t>Notice when reading the table that, f</w:t>
      </w:r>
      <w:r w:rsidR="00BB2BFA" w:rsidRPr="00C2514D">
        <w:rPr>
          <w:rFonts w:ascii="Arial" w:hAnsi="Arial" w:cs="Arial"/>
          <w:sz w:val="22"/>
          <w:lang w:val="en-US"/>
        </w:rPr>
        <w:t>or every case, non-traditional exports will refer to the following fresh and processed products</w:t>
      </w:r>
      <w:r w:rsidR="00BB2BFA" w:rsidRPr="00C2514D">
        <w:rPr>
          <w:rStyle w:val="FootnoteReference"/>
          <w:rFonts w:ascii="Arial" w:hAnsi="Arial" w:cs="Arial"/>
          <w:sz w:val="22"/>
          <w:lang w:val="en-US"/>
        </w:rPr>
        <w:footnoteReference w:id="5"/>
      </w:r>
      <w:r w:rsidR="00BB2BFA" w:rsidRPr="00C2514D">
        <w:rPr>
          <w:rFonts w:ascii="Arial" w:hAnsi="Arial" w:cs="Arial"/>
          <w:sz w:val="22"/>
          <w:lang w:val="en-US"/>
        </w:rPr>
        <w:t>:</w:t>
      </w:r>
    </w:p>
    <w:p w:rsidR="00FF3DE9" w:rsidRPr="00C2514D" w:rsidRDefault="00FF3DE9" w:rsidP="00FF3DE9">
      <w:pPr>
        <w:pStyle w:val="Paragraph"/>
        <w:numPr>
          <w:ilvl w:val="0"/>
          <w:numId w:val="0"/>
        </w:numPr>
        <w:ind w:left="720"/>
        <w:rPr>
          <w:rFonts w:ascii="Arial" w:hAnsi="Arial" w:cs="Arial"/>
          <w:sz w:val="22"/>
          <w:szCs w:val="22"/>
          <w:lang w:val="en-US"/>
        </w:rPr>
      </w:pPr>
      <w:r w:rsidRPr="00C2514D">
        <w:rPr>
          <w:rFonts w:ascii="Arial" w:hAnsi="Arial" w:cs="Arial"/>
          <w:sz w:val="22"/>
          <w:szCs w:val="22"/>
          <w:lang w:val="en-US"/>
        </w:rPr>
        <w:t>Fresh:</w:t>
      </w:r>
      <w:r w:rsidRPr="00C2514D">
        <w:rPr>
          <w:lang w:val="en-US"/>
        </w:rPr>
        <w:t xml:space="preserve"> </w:t>
      </w:r>
      <w:r w:rsidRPr="00C2514D">
        <w:rPr>
          <w:rFonts w:ascii="Arial" w:hAnsi="Arial" w:cs="Arial"/>
          <w:sz w:val="22"/>
          <w:szCs w:val="22"/>
          <w:lang w:val="en-US"/>
        </w:rPr>
        <w:t>Bora, Boulanger, Coconut, Citrus (lime, orange, tangerine), Eddo, Mango, Pepper (hot), Pepper (wiri wiri), Pineapple, Plantain, Pumpkin, Se</w:t>
      </w:r>
      <w:r w:rsidR="00C2514D">
        <w:rPr>
          <w:rFonts w:ascii="Arial" w:hAnsi="Arial" w:cs="Arial"/>
          <w:sz w:val="22"/>
          <w:szCs w:val="22"/>
          <w:lang w:val="en-US"/>
        </w:rPr>
        <w:t>s</w:t>
      </w:r>
      <w:r w:rsidRPr="00C2514D">
        <w:rPr>
          <w:rFonts w:ascii="Arial" w:hAnsi="Arial" w:cs="Arial"/>
          <w:sz w:val="22"/>
          <w:szCs w:val="22"/>
          <w:lang w:val="en-US"/>
        </w:rPr>
        <w:t>ame, Squash</w:t>
      </w:r>
    </w:p>
    <w:p w:rsidR="007B4365" w:rsidRPr="00C2514D" w:rsidRDefault="00FF3DE9" w:rsidP="00FF3DE9">
      <w:pPr>
        <w:pStyle w:val="Paragraph"/>
        <w:numPr>
          <w:ilvl w:val="0"/>
          <w:numId w:val="0"/>
        </w:numPr>
        <w:ind w:left="720"/>
        <w:rPr>
          <w:rFonts w:ascii="Arial" w:hAnsi="Arial" w:cs="Arial"/>
          <w:sz w:val="22"/>
          <w:lang w:val="en-US"/>
        </w:rPr>
      </w:pPr>
      <w:r w:rsidRPr="00C2514D">
        <w:rPr>
          <w:rFonts w:ascii="Arial" w:hAnsi="Arial" w:cs="Arial"/>
          <w:sz w:val="22"/>
          <w:lang w:val="en-US"/>
        </w:rPr>
        <w:t>Processed: Achar, Copra, Copra Meal, Casareep, Guava Jam &amp; Jelly, Pineapple (Chunks)</w:t>
      </w:r>
    </w:p>
    <w:p w:rsidR="00317C7A" w:rsidRPr="00C2514D" w:rsidRDefault="00317C7A" w:rsidP="004904BD">
      <w:pPr>
        <w:pStyle w:val="Paragraph"/>
        <w:numPr>
          <w:ilvl w:val="0"/>
          <w:numId w:val="0"/>
        </w:numPr>
        <w:ind w:left="720" w:hanging="720"/>
        <w:rPr>
          <w:rFonts w:ascii="Arial" w:hAnsi="Arial" w:cs="Arial"/>
          <w:sz w:val="22"/>
          <w:lang w:val="en-US"/>
        </w:rPr>
      </w:pPr>
      <w:r w:rsidRPr="00C2514D">
        <w:rPr>
          <w:rFonts w:ascii="Arial" w:hAnsi="Arial" w:cs="Arial"/>
          <w:sz w:val="22"/>
          <w:lang w:val="en-US"/>
        </w:rPr>
        <w:t>3.21</w:t>
      </w:r>
      <w:r w:rsidRPr="00C2514D">
        <w:rPr>
          <w:rFonts w:ascii="Arial" w:hAnsi="Arial" w:cs="Arial"/>
          <w:sz w:val="22"/>
          <w:lang w:val="en-US"/>
        </w:rPr>
        <w:tab/>
        <w:t>Notice also that baselines indicate that the pretreatment situation is not the situation of no exports, but the situation of exports without</w:t>
      </w:r>
      <w:r w:rsidR="006D7DB2" w:rsidRPr="00C2514D">
        <w:rPr>
          <w:rFonts w:ascii="Arial" w:hAnsi="Arial" w:cs="Arial"/>
          <w:sz w:val="22"/>
          <w:lang w:val="en-US"/>
        </w:rPr>
        <w:t xml:space="preserve"> program.</w:t>
      </w:r>
      <w:r w:rsidRPr="00C2514D">
        <w:rPr>
          <w:rFonts w:ascii="Arial" w:hAnsi="Arial" w:cs="Arial"/>
          <w:sz w:val="22"/>
          <w:lang w:val="en-US"/>
        </w:rPr>
        <w:t xml:space="preserve"> </w:t>
      </w:r>
      <w:r w:rsidR="006801B7" w:rsidRPr="00C2514D">
        <w:rPr>
          <w:rFonts w:ascii="Arial" w:hAnsi="Arial" w:cs="Arial"/>
          <w:sz w:val="22"/>
          <w:lang w:val="en-US"/>
        </w:rPr>
        <w:t>In this sense, entrants to the export market thanks to the program will also be monitored but not evaluated</w:t>
      </w:r>
      <w:r w:rsidR="00B156BA">
        <w:rPr>
          <w:rFonts w:ascii="Arial" w:hAnsi="Arial" w:cs="Arial"/>
          <w:sz w:val="22"/>
          <w:lang w:val="en-US"/>
        </w:rPr>
        <w:t xml:space="preserve">. That said, and as explained later, </w:t>
      </w:r>
      <w:r w:rsidR="00B156BA" w:rsidRPr="00C2514D">
        <w:rPr>
          <w:rFonts w:ascii="Arial" w:hAnsi="Arial" w:cs="Arial"/>
          <w:sz w:val="22"/>
          <w:lang w:val="en-US"/>
        </w:rPr>
        <w:t>new products</w:t>
      </w:r>
      <w:r w:rsidR="00B156BA">
        <w:rPr>
          <w:rFonts w:ascii="Arial" w:hAnsi="Arial" w:cs="Arial"/>
          <w:sz w:val="22"/>
          <w:lang w:val="en-US"/>
        </w:rPr>
        <w:t xml:space="preserve"> exports of incumbent</w:t>
      </w:r>
      <w:r w:rsidR="007F3577" w:rsidRPr="00C2514D">
        <w:rPr>
          <w:rFonts w:ascii="Arial" w:hAnsi="Arial" w:cs="Arial"/>
          <w:sz w:val="22"/>
          <w:lang w:val="en-US"/>
        </w:rPr>
        <w:t xml:space="preserve"> exporters </w:t>
      </w:r>
      <w:r w:rsidR="00B156BA" w:rsidRPr="00C2514D">
        <w:rPr>
          <w:rFonts w:ascii="Arial" w:hAnsi="Arial" w:cs="Arial"/>
          <w:sz w:val="22"/>
          <w:lang w:val="en-US"/>
        </w:rPr>
        <w:t xml:space="preserve"> </w:t>
      </w:r>
      <w:r w:rsidR="00B156BA">
        <w:rPr>
          <w:rFonts w:ascii="Arial" w:hAnsi="Arial" w:cs="Arial"/>
          <w:sz w:val="22"/>
          <w:lang w:val="en-US"/>
        </w:rPr>
        <w:t xml:space="preserve">or </w:t>
      </w:r>
      <w:r w:rsidR="007F3577" w:rsidRPr="00C2514D">
        <w:rPr>
          <w:rFonts w:ascii="Arial" w:hAnsi="Arial" w:cs="Arial"/>
          <w:sz w:val="22"/>
          <w:lang w:val="en-US"/>
        </w:rPr>
        <w:t xml:space="preserve"> </w:t>
      </w:r>
      <w:r w:rsidR="00B156BA">
        <w:rPr>
          <w:rFonts w:ascii="Arial" w:hAnsi="Arial" w:cs="Arial"/>
          <w:sz w:val="22"/>
          <w:lang w:val="en-US"/>
        </w:rPr>
        <w:t>exports to</w:t>
      </w:r>
      <w:r w:rsidR="007F3577" w:rsidRPr="00C2514D">
        <w:rPr>
          <w:rFonts w:ascii="Arial" w:hAnsi="Arial" w:cs="Arial"/>
          <w:sz w:val="22"/>
          <w:lang w:val="en-US"/>
        </w:rPr>
        <w:t xml:space="preserve"> new destinations </w:t>
      </w:r>
      <w:r w:rsidR="00B156BA">
        <w:rPr>
          <w:rFonts w:ascii="Arial" w:hAnsi="Arial" w:cs="Arial"/>
          <w:sz w:val="22"/>
          <w:lang w:val="en-US"/>
        </w:rPr>
        <w:t xml:space="preserve">by incumbent exporters </w:t>
      </w:r>
      <w:r w:rsidR="007F3577" w:rsidRPr="00C2514D">
        <w:rPr>
          <w:rFonts w:ascii="Arial" w:hAnsi="Arial" w:cs="Arial"/>
          <w:sz w:val="22"/>
          <w:lang w:val="en-US"/>
        </w:rPr>
        <w:t>will be considered</w:t>
      </w:r>
      <w:r w:rsidR="00B156BA">
        <w:rPr>
          <w:rFonts w:ascii="Arial" w:hAnsi="Arial" w:cs="Arial"/>
          <w:sz w:val="22"/>
          <w:lang w:val="en-US"/>
        </w:rPr>
        <w:t xml:space="preserve"> as to distinguish impact heterogeneity at these margins</w:t>
      </w:r>
      <w:r w:rsidR="006801B7" w:rsidRPr="00C2514D">
        <w:rPr>
          <w:rFonts w:ascii="Arial" w:hAnsi="Arial" w:cs="Arial"/>
          <w:sz w:val="22"/>
          <w:lang w:val="en-US"/>
        </w:rPr>
        <w:t>.</w:t>
      </w:r>
    </w:p>
    <w:p w:rsidR="00317C7A" w:rsidRPr="00C2514D" w:rsidRDefault="00317C7A" w:rsidP="00317C7A">
      <w:pPr>
        <w:pStyle w:val="Paragraph"/>
        <w:numPr>
          <w:ilvl w:val="0"/>
          <w:numId w:val="0"/>
        </w:numPr>
        <w:rPr>
          <w:rFonts w:ascii="Arial" w:hAnsi="Arial" w:cs="Arial"/>
          <w:sz w:val="22"/>
          <w:szCs w:val="22"/>
          <w:lang w:val="en-US"/>
        </w:rPr>
        <w:sectPr w:rsidR="00317C7A" w:rsidRPr="00C2514D" w:rsidSect="00CA5FF8">
          <w:type w:val="continuous"/>
          <w:pgSz w:w="12240" w:h="15840"/>
          <w:pgMar w:top="1440" w:right="1800" w:bottom="1440" w:left="1800" w:header="720" w:footer="720" w:gutter="0"/>
          <w:cols w:space="720"/>
          <w:titlePg/>
          <w:docGrid w:linePitch="360"/>
        </w:sectPr>
      </w:pPr>
    </w:p>
    <w:p w:rsidR="00EC3346" w:rsidRPr="00C2514D" w:rsidRDefault="00CC2F7B" w:rsidP="006446C5">
      <w:pPr>
        <w:pStyle w:val="TableTitle"/>
        <w:framePr w:wrap="auto" w:vAnchor="margin" w:yAlign="inline"/>
        <w:spacing w:before="0" w:after="0"/>
        <w:rPr>
          <w:rFonts w:ascii="Arial" w:hAnsi="Arial" w:cs="Arial"/>
          <w:sz w:val="22"/>
          <w:szCs w:val="18"/>
          <w:lang w:val="en-US"/>
        </w:rPr>
      </w:pPr>
      <w:r w:rsidRPr="00851ECC">
        <w:rPr>
          <w:rFonts w:ascii="Arial" w:hAnsi="Arial" w:cs="Arial"/>
          <w:sz w:val="22"/>
          <w:szCs w:val="18"/>
          <w:lang w:val="en-US"/>
        </w:rPr>
        <w:lastRenderedPageBreak/>
        <w:t xml:space="preserve">Table </w:t>
      </w:r>
      <w:r w:rsidR="001E2A63" w:rsidRPr="00851ECC">
        <w:rPr>
          <w:rFonts w:ascii="Arial" w:hAnsi="Arial" w:cs="Arial"/>
          <w:sz w:val="22"/>
          <w:szCs w:val="18"/>
          <w:lang w:val="en-US"/>
        </w:rPr>
        <w:t>4</w:t>
      </w:r>
      <w:r w:rsidRPr="00C2514D">
        <w:rPr>
          <w:rFonts w:ascii="Arial" w:hAnsi="Arial" w:cs="Arial"/>
          <w:sz w:val="22"/>
          <w:szCs w:val="18"/>
          <w:lang w:val="en-US"/>
        </w:rPr>
        <w:t xml:space="preserve">. </w:t>
      </w:r>
      <w:r w:rsidR="00ED027D" w:rsidRPr="00C2514D">
        <w:rPr>
          <w:rFonts w:ascii="Arial" w:hAnsi="Arial" w:cs="Arial"/>
          <w:sz w:val="22"/>
          <w:szCs w:val="18"/>
          <w:lang w:val="en-US"/>
        </w:rPr>
        <w:t>Results indicators</w:t>
      </w:r>
    </w:p>
    <w:tbl>
      <w:tblPr>
        <w:tblW w:w="5520" w:type="pct"/>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52"/>
        <w:gridCol w:w="1887"/>
        <w:gridCol w:w="710"/>
        <w:gridCol w:w="872"/>
        <w:gridCol w:w="699"/>
        <w:gridCol w:w="869"/>
        <w:gridCol w:w="707"/>
        <w:gridCol w:w="2343"/>
        <w:gridCol w:w="4312"/>
      </w:tblGrid>
      <w:tr w:rsidR="00767FCC" w:rsidRPr="00C2514D" w:rsidTr="000B0588">
        <w:trPr>
          <w:trHeight w:val="70"/>
        </w:trPr>
        <w:tc>
          <w:tcPr>
            <w:tcW w:w="492" w:type="pct"/>
            <w:vMerge w:val="restart"/>
            <w:shd w:val="clear" w:color="auto" w:fill="F2F2F2" w:themeFill="background1" w:themeFillShade="F2"/>
            <w:vAlign w:val="center"/>
          </w:tcPr>
          <w:p w:rsidR="00C371DA" w:rsidRPr="00C2514D" w:rsidRDefault="00C371DA" w:rsidP="00064AE4">
            <w:pPr>
              <w:jc w:val="center"/>
              <w:rPr>
                <w:rFonts w:ascii="Arial" w:hAnsi="Arial" w:cs="Arial"/>
                <w:b/>
                <w:sz w:val="20"/>
                <w:lang w:val="en-US"/>
              </w:rPr>
            </w:pPr>
            <w:r w:rsidRPr="00C2514D">
              <w:rPr>
                <w:rFonts w:ascii="Arial" w:hAnsi="Arial" w:cs="Arial"/>
                <w:b/>
                <w:sz w:val="20"/>
                <w:lang w:val="en-US"/>
              </w:rPr>
              <w:t>Expected Result</w:t>
            </w:r>
          </w:p>
        </w:tc>
        <w:tc>
          <w:tcPr>
            <w:tcW w:w="686" w:type="pct"/>
            <w:vMerge w:val="restart"/>
            <w:shd w:val="clear" w:color="auto" w:fill="F2F2F2" w:themeFill="background1" w:themeFillShade="F2"/>
            <w:vAlign w:val="center"/>
          </w:tcPr>
          <w:p w:rsidR="00C371DA" w:rsidRPr="00C2514D" w:rsidRDefault="00C371DA" w:rsidP="00064AE4">
            <w:pPr>
              <w:jc w:val="center"/>
              <w:rPr>
                <w:rFonts w:ascii="Arial" w:hAnsi="Arial" w:cs="Arial"/>
                <w:b/>
                <w:sz w:val="20"/>
                <w:lang w:val="en-US"/>
              </w:rPr>
            </w:pPr>
            <w:r w:rsidRPr="00C2514D">
              <w:rPr>
                <w:rFonts w:ascii="Arial" w:hAnsi="Arial" w:cs="Arial"/>
                <w:b/>
                <w:sz w:val="20"/>
                <w:lang w:val="en-US"/>
              </w:rPr>
              <w:t>Indicator</w:t>
            </w:r>
          </w:p>
        </w:tc>
        <w:tc>
          <w:tcPr>
            <w:tcW w:w="258" w:type="pct"/>
            <w:vMerge w:val="restart"/>
            <w:shd w:val="clear" w:color="auto" w:fill="F2F2F2" w:themeFill="background1" w:themeFillShade="F2"/>
            <w:vAlign w:val="center"/>
          </w:tcPr>
          <w:p w:rsidR="00C371DA" w:rsidRPr="00C2514D" w:rsidRDefault="00C371DA" w:rsidP="00064AE4">
            <w:pPr>
              <w:jc w:val="center"/>
              <w:rPr>
                <w:rFonts w:ascii="Arial" w:hAnsi="Arial" w:cs="Arial"/>
                <w:b/>
                <w:sz w:val="20"/>
                <w:lang w:val="en-US"/>
              </w:rPr>
            </w:pPr>
            <w:r w:rsidRPr="00C2514D">
              <w:rPr>
                <w:rFonts w:ascii="Arial" w:hAnsi="Arial" w:cs="Arial"/>
                <w:b/>
                <w:sz w:val="20"/>
                <w:lang w:val="en-US"/>
              </w:rPr>
              <w:t xml:space="preserve">Unit </w:t>
            </w:r>
          </w:p>
        </w:tc>
        <w:tc>
          <w:tcPr>
            <w:tcW w:w="571" w:type="pct"/>
            <w:gridSpan w:val="2"/>
            <w:tcBorders>
              <w:bottom w:val="single" w:sz="4" w:space="0" w:color="000000"/>
            </w:tcBorders>
            <w:shd w:val="clear" w:color="auto" w:fill="F2F2F2" w:themeFill="background1" w:themeFillShade="F2"/>
            <w:vAlign w:val="center"/>
          </w:tcPr>
          <w:p w:rsidR="00C371DA" w:rsidRPr="00C2514D" w:rsidRDefault="00C371DA" w:rsidP="00064AE4">
            <w:pPr>
              <w:jc w:val="center"/>
              <w:rPr>
                <w:rFonts w:ascii="Arial" w:hAnsi="Arial" w:cs="Arial"/>
                <w:b/>
                <w:sz w:val="20"/>
                <w:lang w:val="en-US"/>
              </w:rPr>
            </w:pPr>
            <w:r w:rsidRPr="00C2514D">
              <w:rPr>
                <w:rFonts w:ascii="Arial" w:hAnsi="Arial" w:cs="Arial"/>
                <w:b/>
                <w:sz w:val="20"/>
                <w:lang w:val="en-US"/>
              </w:rPr>
              <w:t>Baseline</w:t>
            </w:r>
          </w:p>
        </w:tc>
        <w:tc>
          <w:tcPr>
            <w:tcW w:w="573" w:type="pct"/>
            <w:gridSpan w:val="2"/>
            <w:tcBorders>
              <w:bottom w:val="single" w:sz="4" w:space="0" w:color="000000"/>
            </w:tcBorders>
            <w:shd w:val="clear" w:color="auto" w:fill="F2F2F2" w:themeFill="background1" w:themeFillShade="F2"/>
            <w:vAlign w:val="center"/>
          </w:tcPr>
          <w:p w:rsidR="00C371DA" w:rsidRPr="00C2514D" w:rsidRDefault="00C371DA" w:rsidP="00064AE4">
            <w:pPr>
              <w:jc w:val="center"/>
              <w:rPr>
                <w:rFonts w:ascii="Arial" w:hAnsi="Arial" w:cs="Arial"/>
                <w:b/>
                <w:sz w:val="20"/>
                <w:lang w:val="en-US"/>
              </w:rPr>
            </w:pPr>
            <w:r w:rsidRPr="00C2514D">
              <w:rPr>
                <w:rFonts w:ascii="Arial" w:hAnsi="Arial" w:cs="Arial"/>
                <w:b/>
                <w:sz w:val="20"/>
                <w:lang w:val="en-US"/>
              </w:rPr>
              <w:t>Goal</w:t>
            </w:r>
          </w:p>
        </w:tc>
        <w:tc>
          <w:tcPr>
            <w:tcW w:w="852" w:type="pct"/>
            <w:vMerge w:val="restart"/>
            <w:shd w:val="clear" w:color="auto" w:fill="F2F2F2" w:themeFill="background1" w:themeFillShade="F2"/>
            <w:vAlign w:val="center"/>
          </w:tcPr>
          <w:p w:rsidR="00C371DA" w:rsidRPr="00C2514D" w:rsidRDefault="00C371DA" w:rsidP="00064AE4">
            <w:pPr>
              <w:jc w:val="center"/>
              <w:rPr>
                <w:rFonts w:ascii="Arial" w:hAnsi="Arial" w:cs="Arial"/>
                <w:b/>
                <w:sz w:val="20"/>
                <w:lang w:val="en-US"/>
              </w:rPr>
            </w:pPr>
            <w:r w:rsidRPr="00C2514D">
              <w:rPr>
                <w:rFonts w:ascii="Arial" w:hAnsi="Arial" w:cs="Arial"/>
                <w:b/>
                <w:sz w:val="20"/>
                <w:lang w:val="en-US"/>
              </w:rPr>
              <w:t>Means of verification</w:t>
            </w:r>
          </w:p>
        </w:tc>
        <w:tc>
          <w:tcPr>
            <w:tcW w:w="1568" w:type="pct"/>
            <w:vMerge w:val="restart"/>
            <w:shd w:val="clear" w:color="auto" w:fill="F2F2F2" w:themeFill="background1" w:themeFillShade="F2"/>
            <w:vAlign w:val="center"/>
          </w:tcPr>
          <w:p w:rsidR="00C371DA" w:rsidRPr="00C2514D" w:rsidRDefault="00C371DA" w:rsidP="00064AE4">
            <w:pPr>
              <w:jc w:val="center"/>
              <w:rPr>
                <w:rFonts w:ascii="Arial" w:hAnsi="Arial" w:cs="Arial"/>
                <w:b/>
                <w:sz w:val="20"/>
                <w:lang w:val="en-US"/>
              </w:rPr>
            </w:pPr>
            <w:r w:rsidRPr="00C2514D">
              <w:rPr>
                <w:rFonts w:ascii="Arial" w:hAnsi="Arial" w:cs="Arial"/>
                <w:b/>
                <w:sz w:val="20"/>
                <w:lang w:val="en-US"/>
              </w:rPr>
              <w:t>Observations</w:t>
            </w:r>
          </w:p>
        </w:tc>
      </w:tr>
      <w:tr w:rsidR="00767FCC" w:rsidRPr="00C2514D" w:rsidTr="000B0588">
        <w:trPr>
          <w:trHeight w:val="70"/>
        </w:trPr>
        <w:tc>
          <w:tcPr>
            <w:tcW w:w="492" w:type="pct"/>
            <w:vMerge/>
            <w:tcBorders>
              <w:bottom w:val="single" w:sz="4" w:space="0" w:color="000000"/>
            </w:tcBorders>
            <w:shd w:val="clear" w:color="auto" w:fill="FFFF99"/>
            <w:vAlign w:val="center"/>
          </w:tcPr>
          <w:p w:rsidR="00C371DA" w:rsidRPr="00C2514D" w:rsidRDefault="00C371DA" w:rsidP="00064AE4">
            <w:pPr>
              <w:jc w:val="center"/>
              <w:rPr>
                <w:rFonts w:ascii="Arial" w:hAnsi="Arial" w:cs="Arial"/>
                <w:b/>
                <w:sz w:val="20"/>
                <w:lang w:val="en-US"/>
              </w:rPr>
            </w:pPr>
          </w:p>
        </w:tc>
        <w:tc>
          <w:tcPr>
            <w:tcW w:w="686" w:type="pct"/>
            <w:vMerge/>
            <w:tcBorders>
              <w:bottom w:val="single" w:sz="4" w:space="0" w:color="000000"/>
            </w:tcBorders>
            <w:shd w:val="clear" w:color="auto" w:fill="FFFF99"/>
            <w:vAlign w:val="center"/>
          </w:tcPr>
          <w:p w:rsidR="00C371DA" w:rsidRPr="00C2514D" w:rsidRDefault="00C371DA" w:rsidP="00064AE4">
            <w:pPr>
              <w:jc w:val="center"/>
              <w:rPr>
                <w:rFonts w:ascii="Arial" w:hAnsi="Arial" w:cs="Arial"/>
                <w:b/>
                <w:sz w:val="20"/>
                <w:lang w:val="en-US"/>
              </w:rPr>
            </w:pPr>
          </w:p>
        </w:tc>
        <w:tc>
          <w:tcPr>
            <w:tcW w:w="258" w:type="pct"/>
            <w:vMerge/>
            <w:tcBorders>
              <w:bottom w:val="single" w:sz="4" w:space="0" w:color="000000"/>
            </w:tcBorders>
            <w:shd w:val="clear" w:color="auto" w:fill="FFFF99"/>
            <w:vAlign w:val="center"/>
          </w:tcPr>
          <w:p w:rsidR="00C371DA" w:rsidRPr="00C2514D" w:rsidRDefault="00C371DA" w:rsidP="00064AE4">
            <w:pPr>
              <w:jc w:val="center"/>
              <w:rPr>
                <w:rFonts w:ascii="Arial" w:hAnsi="Arial" w:cs="Arial"/>
                <w:b/>
                <w:sz w:val="20"/>
                <w:lang w:val="en-US"/>
              </w:rPr>
            </w:pPr>
          </w:p>
        </w:tc>
        <w:tc>
          <w:tcPr>
            <w:tcW w:w="317" w:type="pct"/>
            <w:tcBorders>
              <w:bottom w:val="single" w:sz="4" w:space="0" w:color="000000"/>
            </w:tcBorders>
            <w:shd w:val="clear" w:color="auto" w:fill="F2F2F2" w:themeFill="background1" w:themeFillShade="F2"/>
            <w:vAlign w:val="center"/>
          </w:tcPr>
          <w:p w:rsidR="00C371DA" w:rsidRPr="00C2514D" w:rsidRDefault="00C371DA" w:rsidP="00064AE4">
            <w:pPr>
              <w:jc w:val="center"/>
              <w:rPr>
                <w:rFonts w:ascii="Arial" w:hAnsi="Arial" w:cs="Arial"/>
                <w:b/>
                <w:sz w:val="20"/>
                <w:lang w:val="en-US"/>
              </w:rPr>
            </w:pPr>
            <w:r w:rsidRPr="00C2514D">
              <w:rPr>
                <w:rFonts w:ascii="Arial" w:hAnsi="Arial" w:cs="Arial"/>
                <w:b/>
                <w:sz w:val="20"/>
                <w:lang w:val="en-US"/>
              </w:rPr>
              <w:t>Value</w:t>
            </w:r>
          </w:p>
        </w:tc>
        <w:tc>
          <w:tcPr>
            <w:tcW w:w="254" w:type="pct"/>
            <w:tcBorders>
              <w:bottom w:val="single" w:sz="4" w:space="0" w:color="000000"/>
            </w:tcBorders>
            <w:shd w:val="clear" w:color="auto" w:fill="F2F2F2" w:themeFill="background1" w:themeFillShade="F2"/>
            <w:vAlign w:val="center"/>
          </w:tcPr>
          <w:p w:rsidR="00C371DA" w:rsidRPr="00C2514D" w:rsidRDefault="00C371DA" w:rsidP="00064AE4">
            <w:pPr>
              <w:jc w:val="center"/>
              <w:rPr>
                <w:rFonts w:ascii="Arial" w:hAnsi="Arial" w:cs="Arial"/>
                <w:b/>
                <w:sz w:val="20"/>
                <w:lang w:val="en-US"/>
              </w:rPr>
            </w:pPr>
            <w:r w:rsidRPr="00C2514D">
              <w:rPr>
                <w:rFonts w:ascii="Arial" w:hAnsi="Arial" w:cs="Arial"/>
                <w:b/>
                <w:sz w:val="20"/>
                <w:lang w:val="en-US"/>
              </w:rPr>
              <w:t>Year</w:t>
            </w:r>
          </w:p>
        </w:tc>
        <w:tc>
          <w:tcPr>
            <w:tcW w:w="316" w:type="pct"/>
            <w:tcBorders>
              <w:bottom w:val="single" w:sz="4" w:space="0" w:color="000000"/>
            </w:tcBorders>
            <w:shd w:val="clear" w:color="auto" w:fill="F2F2F2" w:themeFill="background1" w:themeFillShade="F2"/>
            <w:vAlign w:val="center"/>
          </w:tcPr>
          <w:p w:rsidR="00C371DA" w:rsidRPr="00C2514D" w:rsidRDefault="00C371DA" w:rsidP="00064AE4">
            <w:pPr>
              <w:jc w:val="center"/>
              <w:rPr>
                <w:rFonts w:ascii="Arial" w:hAnsi="Arial" w:cs="Arial"/>
                <w:b/>
                <w:sz w:val="20"/>
                <w:lang w:val="en-US"/>
              </w:rPr>
            </w:pPr>
            <w:r w:rsidRPr="00C2514D">
              <w:rPr>
                <w:rFonts w:ascii="Arial" w:hAnsi="Arial" w:cs="Arial"/>
                <w:b/>
                <w:sz w:val="20"/>
                <w:lang w:val="en-US"/>
              </w:rPr>
              <w:t>Value</w:t>
            </w:r>
          </w:p>
        </w:tc>
        <w:tc>
          <w:tcPr>
            <w:tcW w:w="257" w:type="pct"/>
            <w:tcBorders>
              <w:bottom w:val="single" w:sz="4" w:space="0" w:color="000000"/>
            </w:tcBorders>
            <w:shd w:val="clear" w:color="auto" w:fill="F2F2F2" w:themeFill="background1" w:themeFillShade="F2"/>
            <w:vAlign w:val="center"/>
          </w:tcPr>
          <w:p w:rsidR="00C371DA" w:rsidRPr="00C2514D" w:rsidRDefault="00C371DA" w:rsidP="00064AE4">
            <w:pPr>
              <w:jc w:val="center"/>
              <w:rPr>
                <w:rFonts w:ascii="Arial" w:hAnsi="Arial" w:cs="Arial"/>
                <w:b/>
                <w:sz w:val="20"/>
                <w:lang w:val="en-US"/>
              </w:rPr>
            </w:pPr>
            <w:r w:rsidRPr="00C2514D">
              <w:rPr>
                <w:rFonts w:ascii="Arial" w:hAnsi="Arial" w:cs="Arial"/>
                <w:b/>
                <w:sz w:val="20"/>
                <w:lang w:val="en-US"/>
              </w:rPr>
              <w:t>Year</w:t>
            </w:r>
          </w:p>
        </w:tc>
        <w:tc>
          <w:tcPr>
            <w:tcW w:w="852" w:type="pct"/>
            <w:vMerge/>
            <w:tcBorders>
              <w:bottom w:val="single" w:sz="4" w:space="0" w:color="000000"/>
            </w:tcBorders>
            <w:shd w:val="clear" w:color="auto" w:fill="FFFF99"/>
            <w:vAlign w:val="center"/>
          </w:tcPr>
          <w:p w:rsidR="00C371DA" w:rsidRPr="00C2514D" w:rsidRDefault="00C371DA" w:rsidP="00064AE4">
            <w:pPr>
              <w:jc w:val="center"/>
              <w:rPr>
                <w:rFonts w:ascii="Arial" w:hAnsi="Arial" w:cs="Arial"/>
                <w:b/>
                <w:sz w:val="20"/>
                <w:lang w:val="en-US"/>
              </w:rPr>
            </w:pPr>
          </w:p>
        </w:tc>
        <w:tc>
          <w:tcPr>
            <w:tcW w:w="1568" w:type="pct"/>
            <w:vMerge/>
            <w:tcBorders>
              <w:bottom w:val="single" w:sz="4" w:space="0" w:color="000000"/>
            </w:tcBorders>
            <w:shd w:val="clear" w:color="auto" w:fill="FFFF99"/>
            <w:vAlign w:val="center"/>
          </w:tcPr>
          <w:p w:rsidR="00C371DA" w:rsidRPr="00C2514D" w:rsidRDefault="00C371DA" w:rsidP="00064AE4">
            <w:pPr>
              <w:jc w:val="center"/>
              <w:rPr>
                <w:rFonts w:ascii="Arial" w:hAnsi="Arial" w:cs="Arial"/>
                <w:b/>
                <w:sz w:val="20"/>
                <w:lang w:val="en-US"/>
              </w:rPr>
            </w:pPr>
          </w:p>
        </w:tc>
      </w:tr>
      <w:tr w:rsidR="00767FCC" w:rsidRPr="00C2514D" w:rsidTr="000B0588">
        <w:trPr>
          <w:trHeight w:val="70"/>
        </w:trPr>
        <w:tc>
          <w:tcPr>
            <w:tcW w:w="5000" w:type="pct"/>
            <w:gridSpan w:val="9"/>
            <w:tcBorders>
              <w:bottom w:val="single" w:sz="4" w:space="0" w:color="000000"/>
            </w:tcBorders>
            <w:shd w:val="clear" w:color="auto" w:fill="BFBFBF" w:themeFill="background1" w:themeFillShade="BF"/>
            <w:vAlign w:val="center"/>
          </w:tcPr>
          <w:p w:rsidR="00C371DA" w:rsidRPr="00C2514D" w:rsidRDefault="00C371DA" w:rsidP="00064AE4">
            <w:pPr>
              <w:jc w:val="center"/>
              <w:rPr>
                <w:rFonts w:ascii="Arial" w:hAnsi="Arial" w:cs="Arial"/>
                <w:b/>
                <w:sz w:val="20"/>
                <w:lang w:val="en-US"/>
              </w:rPr>
            </w:pPr>
            <w:r>
              <w:rPr>
                <w:rFonts w:ascii="Arial" w:hAnsi="Arial" w:cs="Arial"/>
                <w:b/>
                <w:sz w:val="20"/>
                <w:lang w:val="en-US"/>
              </w:rPr>
              <w:t>Impacts</w:t>
            </w:r>
          </w:p>
        </w:tc>
      </w:tr>
      <w:tr w:rsidR="008632DA" w:rsidRPr="00CC7C33" w:rsidTr="008632DA">
        <w:trPr>
          <w:trHeight w:val="64"/>
        </w:trPr>
        <w:tc>
          <w:tcPr>
            <w:tcW w:w="492" w:type="pct"/>
            <w:vAlign w:val="center"/>
          </w:tcPr>
          <w:p w:rsidR="00C371DA" w:rsidRPr="00C2514D" w:rsidRDefault="00C371DA" w:rsidP="00064AE4">
            <w:pPr>
              <w:pStyle w:val="ListParagraph"/>
              <w:ind w:left="0"/>
              <w:contextualSpacing w:val="0"/>
              <w:jc w:val="center"/>
              <w:rPr>
                <w:rFonts w:ascii="Arial" w:hAnsi="Arial" w:cs="Arial"/>
                <w:sz w:val="20"/>
                <w:lang w:val="en-US"/>
              </w:rPr>
            </w:pPr>
            <w:r w:rsidRPr="00C2514D">
              <w:rPr>
                <w:rFonts w:ascii="Arial" w:hAnsi="Arial" w:cs="Arial"/>
                <w:sz w:val="20"/>
                <w:lang w:val="en-US"/>
              </w:rPr>
              <w:t>Increased variety of exports basket</w:t>
            </w:r>
          </w:p>
        </w:tc>
        <w:tc>
          <w:tcPr>
            <w:tcW w:w="686" w:type="pct"/>
            <w:vAlign w:val="center"/>
          </w:tcPr>
          <w:p w:rsidR="00C371DA" w:rsidRPr="00C2514D" w:rsidRDefault="00C371DA" w:rsidP="00064AE4">
            <w:pPr>
              <w:pStyle w:val="ListParagraph"/>
              <w:ind w:left="0"/>
              <w:contextualSpacing w:val="0"/>
              <w:rPr>
                <w:rFonts w:ascii="Arial" w:hAnsi="Arial" w:cs="Arial"/>
                <w:sz w:val="20"/>
                <w:lang w:val="en-US"/>
              </w:rPr>
            </w:pPr>
            <w:r w:rsidRPr="00C2514D">
              <w:rPr>
                <w:rFonts w:ascii="Arial" w:hAnsi="Arial" w:cs="Arial"/>
                <w:sz w:val="20"/>
                <w:lang w:val="en-US"/>
              </w:rPr>
              <w:t>Non-traditional exports as a percentage of total exports per year</w:t>
            </w:r>
          </w:p>
        </w:tc>
        <w:tc>
          <w:tcPr>
            <w:tcW w:w="258" w:type="pct"/>
            <w:vAlign w:val="center"/>
          </w:tcPr>
          <w:p w:rsidR="00C371DA" w:rsidRPr="00C2514D" w:rsidRDefault="00C371DA" w:rsidP="00064AE4">
            <w:pPr>
              <w:jc w:val="center"/>
              <w:rPr>
                <w:rFonts w:ascii="Arial" w:hAnsi="Arial" w:cs="Arial"/>
                <w:sz w:val="20"/>
                <w:lang w:val="en-US"/>
              </w:rPr>
            </w:pPr>
            <w:r w:rsidRPr="00C2514D">
              <w:rPr>
                <w:rFonts w:ascii="Arial" w:hAnsi="Arial" w:cs="Arial"/>
                <w:sz w:val="20"/>
                <w:lang w:val="en-US"/>
              </w:rPr>
              <w:t>%</w:t>
            </w:r>
          </w:p>
        </w:tc>
        <w:tc>
          <w:tcPr>
            <w:tcW w:w="317" w:type="pct"/>
            <w:vAlign w:val="center"/>
          </w:tcPr>
          <w:p w:rsidR="00C371DA" w:rsidRPr="00C2514D" w:rsidRDefault="00C371DA" w:rsidP="00064AE4">
            <w:pPr>
              <w:jc w:val="center"/>
              <w:rPr>
                <w:rFonts w:ascii="Arial" w:hAnsi="Arial" w:cs="Arial"/>
                <w:sz w:val="20"/>
                <w:lang w:val="en-US"/>
              </w:rPr>
            </w:pPr>
            <w:r w:rsidRPr="00C2514D">
              <w:rPr>
                <w:rFonts w:ascii="Arial" w:hAnsi="Arial" w:cs="Arial"/>
                <w:sz w:val="20"/>
                <w:lang w:val="en-US"/>
              </w:rPr>
              <w:t>0.65</w:t>
            </w:r>
          </w:p>
        </w:tc>
        <w:tc>
          <w:tcPr>
            <w:tcW w:w="254" w:type="pct"/>
            <w:vAlign w:val="center"/>
          </w:tcPr>
          <w:p w:rsidR="00C371DA" w:rsidRPr="00C2514D" w:rsidRDefault="00C371DA" w:rsidP="00064AE4">
            <w:pPr>
              <w:jc w:val="center"/>
              <w:rPr>
                <w:rFonts w:ascii="Arial" w:hAnsi="Arial" w:cs="Arial"/>
                <w:sz w:val="20"/>
                <w:lang w:val="en-US"/>
              </w:rPr>
            </w:pPr>
            <w:r w:rsidRPr="00C2514D">
              <w:rPr>
                <w:rFonts w:ascii="Arial" w:hAnsi="Arial" w:cs="Arial"/>
                <w:sz w:val="20"/>
                <w:lang w:val="en-US"/>
              </w:rPr>
              <w:t>2014</w:t>
            </w:r>
          </w:p>
        </w:tc>
        <w:tc>
          <w:tcPr>
            <w:tcW w:w="316" w:type="pct"/>
            <w:vAlign w:val="center"/>
          </w:tcPr>
          <w:p w:rsidR="00C371DA" w:rsidRPr="00C2514D" w:rsidRDefault="00C371DA" w:rsidP="00064AE4">
            <w:pPr>
              <w:jc w:val="center"/>
              <w:rPr>
                <w:rFonts w:ascii="Arial" w:hAnsi="Arial" w:cs="Arial"/>
                <w:sz w:val="20"/>
                <w:vertAlign w:val="superscript"/>
                <w:lang w:val="en-US"/>
              </w:rPr>
            </w:pPr>
            <w:r w:rsidRPr="00C2514D">
              <w:rPr>
                <w:rFonts w:ascii="Arial" w:hAnsi="Arial" w:cs="Arial"/>
                <w:sz w:val="20"/>
                <w:lang w:val="en-US"/>
              </w:rPr>
              <w:t>0.75</w:t>
            </w:r>
          </w:p>
        </w:tc>
        <w:tc>
          <w:tcPr>
            <w:tcW w:w="257" w:type="pct"/>
            <w:vAlign w:val="center"/>
          </w:tcPr>
          <w:p w:rsidR="00C371DA" w:rsidRPr="00C2514D" w:rsidRDefault="00C371DA" w:rsidP="00064AE4">
            <w:pPr>
              <w:jc w:val="center"/>
              <w:rPr>
                <w:rFonts w:ascii="Arial" w:hAnsi="Arial" w:cs="Arial"/>
                <w:sz w:val="20"/>
                <w:lang w:val="en-US"/>
              </w:rPr>
            </w:pPr>
            <w:r w:rsidRPr="00C2514D">
              <w:rPr>
                <w:rFonts w:ascii="Arial" w:hAnsi="Arial" w:cs="Arial"/>
                <w:sz w:val="20"/>
                <w:lang w:val="en-US"/>
              </w:rPr>
              <w:t>202</w:t>
            </w:r>
            <w:r w:rsidR="002D6BCA">
              <w:rPr>
                <w:rFonts w:ascii="Arial" w:hAnsi="Arial" w:cs="Arial"/>
                <w:sz w:val="20"/>
                <w:lang w:val="en-US"/>
              </w:rPr>
              <w:t>2</w:t>
            </w:r>
          </w:p>
        </w:tc>
        <w:tc>
          <w:tcPr>
            <w:tcW w:w="852" w:type="pct"/>
            <w:vAlign w:val="center"/>
          </w:tcPr>
          <w:p w:rsidR="00C371DA" w:rsidRPr="00C2514D" w:rsidRDefault="00C371DA" w:rsidP="00064AE4">
            <w:pPr>
              <w:jc w:val="center"/>
              <w:rPr>
                <w:rFonts w:ascii="Arial" w:hAnsi="Arial" w:cs="Arial"/>
                <w:sz w:val="20"/>
                <w:lang w:val="en-US"/>
              </w:rPr>
            </w:pPr>
            <w:r w:rsidRPr="00C2514D">
              <w:rPr>
                <w:rFonts w:ascii="Arial" w:hAnsi="Arial" w:cs="Arial"/>
                <w:sz w:val="20"/>
                <w:lang w:val="en-US"/>
              </w:rPr>
              <w:t>Guyana Revenue Authority administrative records of customs and Bank of Guyana Annual Report</w:t>
            </w:r>
          </w:p>
        </w:tc>
        <w:tc>
          <w:tcPr>
            <w:tcW w:w="1568" w:type="pct"/>
            <w:vAlign w:val="center"/>
          </w:tcPr>
          <w:p w:rsidR="00C371DA" w:rsidRPr="00C2514D" w:rsidRDefault="00C371DA" w:rsidP="00064AE4">
            <w:pPr>
              <w:jc w:val="both"/>
              <w:rPr>
                <w:rFonts w:ascii="Arial" w:hAnsi="Arial" w:cs="Arial"/>
                <w:sz w:val="20"/>
                <w:lang w:val="en-US"/>
              </w:rPr>
            </w:pPr>
            <w:r w:rsidRPr="00C2514D">
              <w:rPr>
                <w:rFonts w:ascii="Arial" w:hAnsi="Arial" w:cs="Arial"/>
                <w:sz w:val="20"/>
                <w:lang w:val="en-US"/>
              </w:rPr>
              <w:t>Goal based on conservative increase projected from comparison of annual average of the period 2011-2013 (0.46%) and the baseline (0.65%)</w:t>
            </w:r>
          </w:p>
        </w:tc>
      </w:tr>
      <w:tr w:rsidR="00767FCC" w:rsidRPr="00C2514D" w:rsidTr="000B0588">
        <w:trPr>
          <w:trHeight w:val="70"/>
        </w:trPr>
        <w:tc>
          <w:tcPr>
            <w:tcW w:w="5000" w:type="pct"/>
            <w:gridSpan w:val="9"/>
            <w:tcBorders>
              <w:bottom w:val="single" w:sz="4" w:space="0" w:color="000000"/>
            </w:tcBorders>
            <w:shd w:val="clear" w:color="auto" w:fill="BFBFBF" w:themeFill="background1" w:themeFillShade="BF"/>
            <w:vAlign w:val="center"/>
          </w:tcPr>
          <w:p w:rsidR="00C371DA" w:rsidRPr="00C2514D" w:rsidRDefault="00C371DA" w:rsidP="00630C68">
            <w:pPr>
              <w:jc w:val="center"/>
              <w:rPr>
                <w:rFonts w:ascii="Arial" w:hAnsi="Arial" w:cs="Arial"/>
                <w:b/>
                <w:sz w:val="20"/>
                <w:lang w:val="en-US"/>
              </w:rPr>
            </w:pPr>
            <w:r>
              <w:rPr>
                <w:rFonts w:ascii="Arial" w:hAnsi="Arial" w:cs="Arial"/>
                <w:b/>
                <w:sz w:val="20"/>
                <w:lang w:val="en-US"/>
              </w:rPr>
              <w:t>Outcomes</w:t>
            </w:r>
          </w:p>
        </w:tc>
      </w:tr>
      <w:tr w:rsidR="008632DA" w:rsidRPr="00CC7C33" w:rsidTr="008632DA">
        <w:trPr>
          <w:trHeight w:val="64"/>
        </w:trPr>
        <w:tc>
          <w:tcPr>
            <w:tcW w:w="492" w:type="pct"/>
            <w:vAlign w:val="center"/>
          </w:tcPr>
          <w:p w:rsidR="00C371DA" w:rsidRPr="00C2514D" w:rsidRDefault="00C371DA" w:rsidP="00064AE4">
            <w:pPr>
              <w:pStyle w:val="ListParagraph"/>
              <w:ind w:left="0"/>
              <w:contextualSpacing w:val="0"/>
              <w:jc w:val="center"/>
              <w:rPr>
                <w:rFonts w:ascii="Arial" w:hAnsi="Arial" w:cs="Arial"/>
                <w:sz w:val="20"/>
                <w:lang w:val="en-US"/>
              </w:rPr>
            </w:pPr>
            <w:r w:rsidRPr="00C2514D">
              <w:rPr>
                <w:rFonts w:ascii="Arial" w:hAnsi="Arial" w:cs="Arial"/>
                <w:sz w:val="20"/>
                <w:lang w:val="en-US"/>
              </w:rPr>
              <w:t>Increased value of non-traditional exports</w:t>
            </w:r>
          </w:p>
        </w:tc>
        <w:tc>
          <w:tcPr>
            <w:tcW w:w="686" w:type="pct"/>
            <w:vAlign w:val="center"/>
          </w:tcPr>
          <w:p w:rsidR="00C371DA" w:rsidRPr="00C2514D" w:rsidRDefault="00C371DA" w:rsidP="00064AE4">
            <w:pPr>
              <w:pStyle w:val="ListParagraph"/>
              <w:ind w:left="0"/>
              <w:contextualSpacing w:val="0"/>
              <w:rPr>
                <w:rFonts w:ascii="Arial" w:hAnsi="Arial" w:cs="Arial"/>
                <w:sz w:val="20"/>
                <w:lang w:val="en-US"/>
              </w:rPr>
            </w:pPr>
            <w:r w:rsidRPr="00C2514D">
              <w:rPr>
                <w:rFonts w:ascii="Arial" w:hAnsi="Arial" w:cs="Arial"/>
                <w:sz w:val="20"/>
                <w:lang w:val="en-US"/>
              </w:rPr>
              <w:t>Average annual flow of USD exports of non-traditional products per exporter</w:t>
            </w:r>
          </w:p>
        </w:tc>
        <w:tc>
          <w:tcPr>
            <w:tcW w:w="258" w:type="pct"/>
            <w:vAlign w:val="center"/>
          </w:tcPr>
          <w:p w:rsidR="00C371DA" w:rsidRPr="00C2514D" w:rsidRDefault="00C371DA" w:rsidP="00064AE4">
            <w:pPr>
              <w:jc w:val="center"/>
              <w:rPr>
                <w:rFonts w:ascii="Arial" w:hAnsi="Arial" w:cs="Arial"/>
                <w:sz w:val="20"/>
                <w:lang w:val="en-US"/>
              </w:rPr>
            </w:pPr>
            <w:r w:rsidRPr="00C2514D">
              <w:rPr>
                <w:rFonts w:ascii="Arial" w:hAnsi="Arial" w:cs="Arial"/>
                <w:sz w:val="20"/>
                <w:lang w:val="en-US"/>
              </w:rPr>
              <w:t>Ratio (USD/exporter)</w:t>
            </w:r>
          </w:p>
        </w:tc>
        <w:tc>
          <w:tcPr>
            <w:tcW w:w="317" w:type="pct"/>
            <w:vAlign w:val="center"/>
          </w:tcPr>
          <w:p w:rsidR="00C371DA" w:rsidRPr="00C2514D" w:rsidRDefault="00C371DA" w:rsidP="00064AE4">
            <w:pPr>
              <w:jc w:val="center"/>
              <w:rPr>
                <w:rFonts w:ascii="Arial" w:hAnsi="Arial" w:cs="Arial"/>
                <w:sz w:val="20"/>
                <w:lang w:val="en-US"/>
              </w:rPr>
            </w:pPr>
            <w:r w:rsidRPr="00C2514D">
              <w:rPr>
                <w:rFonts w:ascii="Arial" w:hAnsi="Arial" w:cs="Arial"/>
                <w:sz w:val="20"/>
                <w:lang w:val="en-US"/>
              </w:rPr>
              <w:t>11,667</w:t>
            </w:r>
          </w:p>
        </w:tc>
        <w:tc>
          <w:tcPr>
            <w:tcW w:w="254" w:type="pct"/>
            <w:vAlign w:val="center"/>
          </w:tcPr>
          <w:p w:rsidR="00C371DA" w:rsidRPr="00C2514D" w:rsidRDefault="00C371DA" w:rsidP="00064AE4">
            <w:pPr>
              <w:jc w:val="center"/>
              <w:rPr>
                <w:rFonts w:ascii="Arial" w:hAnsi="Arial" w:cs="Arial"/>
                <w:sz w:val="20"/>
                <w:lang w:val="en-US"/>
              </w:rPr>
            </w:pPr>
            <w:r w:rsidRPr="00C2514D">
              <w:rPr>
                <w:rFonts w:ascii="Arial" w:hAnsi="Arial" w:cs="Arial"/>
                <w:sz w:val="20"/>
                <w:lang w:val="en-US"/>
              </w:rPr>
              <w:t>2015</w:t>
            </w:r>
          </w:p>
        </w:tc>
        <w:tc>
          <w:tcPr>
            <w:tcW w:w="316" w:type="pct"/>
            <w:vAlign w:val="center"/>
          </w:tcPr>
          <w:p w:rsidR="00C371DA" w:rsidRPr="00C2514D" w:rsidRDefault="0023392A">
            <w:pPr>
              <w:jc w:val="center"/>
              <w:rPr>
                <w:rFonts w:ascii="Arial" w:hAnsi="Arial" w:cs="Arial"/>
                <w:sz w:val="20"/>
                <w:lang w:val="en-US"/>
              </w:rPr>
            </w:pPr>
            <w:r w:rsidRPr="00C2514D">
              <w:rPr>
                <w:rFonts w:ascii="Arial" w:hAnsi="Arial" w:cs="Arial"/>
                <w:sz w:val="20"/>
                <w:lang w:val="en-US"/>
              </w:rPr>
              <w:t>1</w:t>
            </w:r>
            <w:r>
              <w:rPr>
                <w:rFonts w:ascii="Arial" w:hAnsi="Arial" w:cs="Arial"/>
                <w:sz w:val="20"/>
                <w:lang w:val="en-US"/>
              </w:rPr>
              <w:t>4</w:t>
            </w:r>
            <w:r w:rsidR="00C371DA" w:rsidRPr="00C2514D">
              <w:rPr>
                <w:rFonts w:ascii="Arial" w:hAnsi="Arial" w:cs="Arial"/>
                <w:sz w:val="20"/>
                <w:lang w:val="en-US"/>
              </w:rPr>
              <w:t>,000</w:t>
            </w:r>
          </w:p>
        </w:tc>
        <w:tc>
          <w:tcPr>
            <w:tcW w:w="257" w:type="pct"/>
            <w:vAlign w:val="center"/>
          </w:tcPr>
          <w:p w:rsidR="00C371DA" w:rsidRPr="00C2514D" w:rsidRDefault="00C371DA" w:rsidP="00064AE4">
            <w:pPr>
              <w:jc w:val="center"/>
              <w:rPr>
                <w:rFonts w:ascii="Arial" w:hAnsi="Arial" w:cs="Arial"/>
                <w:sz w:val="20"/>
                <w:lang w:val="en-US"/>
              </w:rPr>
            </w:pPr>
            <w:r w:rsidRPr="00C2514D">
              <w:rPr>
                <w:rFonts w:ascii="Arial" w:hAnsi="Arial" w:cs="Arial"/>
                <w:sz w:val="20"/>
                <w:lang w:val="en-US"/>
              </w:rPr>
              <w:t>202</w:t>
            </w:r>
            <w:r w:rsidR="002D6BCA">
              <w:rPr>
                <w:rFonts w:ascii="Arial" w:hAnsi="Arial" w:cs="Arial"/>
                <w:sz w:val="20"/>
                <w:lang w:val="en-US"/>
              </w:rPr>
              <w:t>2</w:t>
            </w:r>
          </w:p>
        </w:tc>
        <w:tc>
          <w:tcPr>
            <w:tcW w:w="852" w:type="pct"/>
            <w:vMerge w:val="restart"/>
            <w:vAlign w:val="center"/>
          </w:tcPr>
          <w:p w:rsidR="00C371DA" w:rsidRPr="00C2514D" w:rsidRDefault="00C371DA" w:rsidP="00064AE4">
            <w:pPr>
              <w:jc w:val="center"/>
              <w:rPr>
                <w:rFonts w:ascii="Arial" w:hAnsi="Arial" w:cs="Arial"/>
                <w:sz w:val="20"/>
                <w:lang w:val="en-US"/>
              </w:rPr>
            </w:pPr>
            <w:r w:rsidRPr="00C2514D">
              <w:rPr>
                <w:rFonts w:ascii="Arial" w:hAnsi="Arial" w:cs="Arial"/>
                <w:sz w:val="20"/>
                <w:lang w:val="en-US"/>
              </w:rPr>
              <w:t>Guyana Revenue Authority administrative records of customs and Guyana Marketing Corporation</w:t>
            </w:r>
          </w:p>
        </w:tc>
        <w:tc>
          <w:tcPr>
            <w:tcW w:w="1568" w:type="pct"/>
            <w:vMerge w:val="restart"/>
            <w:vAlign w:val="center"/>
          </w:tcPr>
          <w:p w:rsidR="00C371DA" w:rsidRPr="00C2514D" w:rsidRDefault="00C371DA">
            <w:pPr>
              <w:jc w:val="both"/>
              <w:rPr>
                <w:rFonts w:ascii="Arial" w:hAnsi="Arial" w:cs="Arial"/>
                <w:sz w:val="20"/>
                <w:lang w:val="en-US"/>
              </w:rPr>
            </w:pPr>
            <w:r w:rsidRPr="00C2514D">
              <w:rPr>
                <w:rFonts w:ascii="Arial" w:hAnsi="Arial" w:cs="Arial"/>
                <w:sz w:val="20"/>
                <w:lang w:val="en-US"/>
              </w:rPr>
              <w:t xml:space="preserve">For impact evaluation purposes, </w:t>
            </w:r>
            <w:r w:rsidR="00803672">
              <w:rPr>
                <w:rFonts w:ascii="Arial" w:hAnsi="Arial" w:cs="Arial"/>
                <w:sz w:val="20"/>
                <w:lang w:val="en-US"/>
              </w:rPr>
              <w:t xml:space="preserve">impact of the program on these </w:t>
            </w:r>
            <w:r w:rsidRPr="00C2514D">
              <w:rPr>
                <w:rFonts w:ascii="Arial" w:hAnsi="Arial" w:cs="Arial"/>
                <w:sz w:val="20"/>
                <w:lang w:val="en-US"/>
              </w:rPr>
              <w:t>outcome</w:t>
            </w:r>
            <w:r w:rsidR="00803672">
              <w:rPr>
                <w:rFonts w:ascii="Arial" w:hAnsi="Arial" w:cs="Arial"/>
                <w:sz w:val="20"/>
                <w:lang w:val="en-US"/>
              </w:rPr>
              <w:t>s</w:t>
            </w:r>
            <w:r w:rsidRPr="00C2514D">
              <w:rPr>
                <w:rFonts w:ascii="Arial" w:hAnsi="Arial" w:cs="Arial"/>
                <w:sz w:val="20"/>
                <w:lang w:val="en-US"/>
              </w:rPr>
              <w:t xml:space="preserve"> will be computed as the average of a double difference (difference in levels for variables before and after for the treated group) vs (difference in levels for variables before and after for the non-treated group). Goals based on yearly growth rate of 2</w:t>
            </w:r>
            <w:r w:rsidR="002D6BCA">
              <w:rPr>
                <w:rFonts w:ascii="Arial" w:hAnsi="Arial" w:cs="Arial"/>
                <w:sz w:val="20"/>
                <w:lang w:val="en-US"/>
              </w:rPr>
              <w:t>.5</w:t>
            </w:r>
            <w:r w:rsidRPr="00C2514D">
              <w:rPr>
                <w:rFonts w:ascii="Arial" w:hAnsi="Arial" w:cs="Arial"/>
                <w:sz w:val="20"/>
                <w:lang w:val="en-US"/>
              </w:rPr>
              <w:t xml:space="preserve">% (see Table </w:t>
            </w:r>
            <w:r>
              <w:rPr>
                <w:rFonts w:ascii="Arial" w:hAnsi="Arial" w:cs="Arial"/>
                <w:sz w:val="20"/>
                <w:lang w:val="en-US"/>
              </w:rPr>
              <w:t>3</w:t>
            </w:r>
            <w:r w:rsidRPr="00C2514D">
              <w:rPr>
                <w:rFonts w:ascii="Arial" w:hAnsi="Arial" w:cs="Arial"/>
                <w:sz w:val="20"/>
                <w:lang w:val="en-US"/>
              </w:rPr>
              <w:t>, given the potential for the non-traditional sector growth, 2</w:t>
            </w:r>
            <w:r w:rsidR="00880364">
              <w:rPr>
                <w:rFonts w:ascii="Arial" w:hAnsi="Arial" w:cs="Arial"/>
                <w:sz w:val="20"/>
                <w:lang w:val="en-US"/>
              </w:rPr>
              <w:t>.5</w:t>
            </w:r>
            <w:r w:rsidRPr="00C2514D">
              <w:rPr>
                <w:rFonts w:ascii="Arial" w:hAnsi="Arial" w:cs="Arial"/>
                <w:sz w:val="20"/>
                <w:lang w:val="en-US"/>
              </w:rPr>
              <w:t>% of annual growth is deemed possible).</w:t>
            </w:r>
          </w:p>
        </w:tc>
      </w:tr>
      <w:tr w:rsidR="008632DA" w:rsidRPr="00C2514D" w:rsidTr="008632DA">
        <w:trPr>
          <w:trHeight w:val="64"/>
        </w:trPr>
        <w:tc>
          <w:tcPr>
            <w:tcW w:w="492" w:type="pct"/>
            <w:vAlign w:val="center"/>
          </w:tcPr>
          <w:p w:rsidR="00C371DA" w:rsidRPr="00C2514D" w:rsidRDefault="00C371DA" w:rsidP="00064AE4">
            <w:pPr>
              <w:pStyle w:val="ListParagraph"/>
              <w:ind w:left="0"/>
              <w:contextualSpacing w:val="0"/>
              <w:jc w:val="center"/>
              <w:rPr>
                <w:rFonts w:ascii="Arial" w:hAnsi="Arial" w:cs="Arial"/>
                <w:sz w:val="20"/>
                <w:lang w:val="en-US"/>
              </w:rPr>
            </w:pPr>
            <w:r w:rsidRPr="00C2514D">
              <w:rPr>
                <w:rFonts w:ascii="Arial" w:hAnsi="Arial" w:cs="Arial"/>
                <w:sz w:val="20"/>
                <w:lang w:val="en-US"/>
              </w:rPr>
              <w:t>Increased volume of non-traditional exports</w:t>
            </w:r>
          </w:p>
        </w:tc>
        <w:tc>
          <w:tcPr>
            <w:tcW w:w="686" w:type="pct"/>
            <w:vAlign w:val="center"/>
          </w:tcPr>
          <w:p w:rsidR="00C371DA" w:rsidRPr="00C2514D" w:rsidRDefault="00C371DA" w:rsidP="00064AE4">
            <w:pPr>
              <w:pStyle w:val="ListParagraph"/>
              <w:ind w:left="0"/>
              <w:contextualSpacing w:val="0"/>
              <w:rPr>
                <w:rFonts w:ascii="Arial" w:hAnsi="Arial" w:cs="Arial"/>
                <w:sz w:val="20"/>
                <w:lang w:val="en-US"/>
              </w:rPr>
            </w:pPr>
            <w:r w:rsidRPr="00C2514D">
              <w:rPr>
                <w:rFonts w:ascii="Arial" w:hAnsi="Arial" w:cs="Arial"/>
                <w:sz w:val="20"/>
                <w:lang w:val="en-US"/>
              </w:rPr>
              <w:t>Average annual flow of Tons of exports of non-traditional products per exporter</w:t>
            </w:r>
          </w:p>
        </w:tc>
        <w:tc>
          <w:tcPr>
            <w:tcW w:w="258" w:type="pct"/>
            <w:vAlign w:val="center"/>
          </w:tcPr>
          <w:p w:rsidR="00C371DA" w:rsidRPr="00C2514D" w:rsidRDefault="00C371DA" w:rsidP="00064AE4">
            <w:pPr>
              <w:jc w:val="center"/>
              <w:rPr>
                <w:rFonts w:ascii="Arial" w:hAnsi="Arial" w:cs="Arial"/>
                <w:sz w:val="20"/>
                <w:lang w:val="en-US"/>
              </w:rPr>
            </w:pPr>
            <w:r w:rsidRPr="00C2514D">
              <w:rPr>
                <w:rFonts w:ascii="Arial" w:hAnsi="Arial" w:cs="Arial"/>
                <w:sz w:val="20"/>
                <w:lang w:val="en-US"/>
              </w:rPr>
              <w:t>Ratio (Ton/exporter)</w:t>
            </w:r>
          </w:p>
        </w:tc>
        <w:tc>
          <w:tcPr>
            <w:tcW w:w="317" w:type="pct"/>
            <w:vAlign w:val="center"/>
          </w:tcPr>
          <w:p w:rsidR="00C371DA" w:rsidRPr="00C2514D" w:rsidRDefault="00C371DA" w:rsidP="00064AE4">
            <w:pPr>
              <w:jc w:val="center"/>
              <w:rPr>
                <w:rFonts w:ascii="Arial" w:hAnsi="Arial" w:cs="Arial"/>
                <w:sz w:val="20"/>
                <w:lang w:val="en-US"/>
              </w:rPr>
            </w:pPr>
            <w:r w:rsidRPr="00C2514D">
              <w:rPr>
                <w:rFonts w:ascii="Arial" w:hAnsi="Arial" w:cs="Arial"/>
                <w:sz w:val="20"/>
                <w:lang w:val="en-US"/>
              </w:rPr>
              <w:t>18.04</w:t>
            </w:r>
          </w:p>
        </w:tc>
        <w:tc>
          <w:tcPr>
            <w:tcW w:w="254" w:type="pct"/>
            <w:vAlign w:val="center"/>
          </w:tcPr>
          <w:p w:rsidR="00C371DA" w:rsidRPr="00C2514D" w:rsidRDefault="00C371DA" w:rsidP="00064AE4">
            <w:pPr>
              <w:jc w:val="center"/>
              <w:rPr>
                <w:rFonts w:ascii="Arial" w:hAnsi="Arial" w:cs="Arial"/>
                <w:sz w:val="20"/>
                <w:lang w:val="en-US"/>
              </w:rPr>
            </w:pPr>
            <w:r w:rsidRPr="00C2514D">
              <w:rPr>
                <w:rFonts w:ascii="Arial" w:hAnsi="Arial" w:cs="Arial"/>
                <w:sz w:val="20"/>
                <w:lang w:val="en-US"/>
              </w:rPr>
              <w:t>2015</w:t>
            </w:r>
          </w:p>
        </w:tc>
        <w:tc>
          <w:tcPr>
            <w:tcW w:w="316" w:type="pct"/>
            <w:vAlign w:val="center"/>
          </w:tcPr>
          <w:p w:rsidR="00C371DA" w:rsidRPr="00C2514D" w:rsidRDefault="0023392A">
            <w:pPr>
              <w:jc w:val="center"/>
              <w:rPr>
                <w:rFonts w:ascii="Arial" w:hAnsi="Arial" w:cs="Arial"/>
                <w:sz w:val="20"/>
                <w:lang w:val="en-US"/>
              </w:rPr>
            </w:pPr>
            <w:r w:rsidRPr="00C2514D">
              <w:rPr>
                <w:rFonts w:ascii="Arial" w:hAnsi="Arial" w:cs="Arial"/>
                <w:sz w:val="20"/>
                <w:lang w:val="en-US"/>
              </w:rPr>
              <w:t>2</w:t>
            </w:r>
            <w:r>
              <w:rPr>
                <w:rFonts w:ascii="Arial" w:hAnsi="Arial" w:cs="Arial"/>
                <w:sz w:val="20"/>
                <w:lang w:val="en-US"/>
              </w:rPr>
              <w:t>1</w:t>
            </w:r>
          </w:p>
        </w:tc>
        <w:tc>
          <w:tcPr>
            <w:tcW w:w="257" w:type="pct"/>
            <w:vAlign w:val="center"/>
          </w:tcPr>
          <w:p w:rsidR="00C371DA" w:rsidRPr="00C2514D" w:rsidRDefault="00C371DA" w:rsidP="00064AE4">
            <w:pPr>
              <w:jc w:val="center"/>
              <w:rPr>
                <w:rFonts w:ascii="Arial" w:hAnsi="Arial" w:cs="Arial"/>
                <w:sz w:val="20"/>
                <w:lang w:val="en-US"/>
              </w:rPr>
            </w:pPr>
            <w:r w:rsidRPr="00C2514D">
              <w:rPr>
                <w:rFonts w:ascii="Arial" w:hAnsi="Arial" w:cs="Arial"/>
                <w:sz w:val="20"/>
                <w:lang w:val="en-US"/>
              </w:rPr>
              <w:t>202</w:t>
            </w:r>
            <w:r w:rsidR="002D6BCA">
              <w:rPr>
                <w:rFonts w:ascii="Arial" w:hAnsi="Arial" w:cs="Arial"/>
                <w:sz w:val="20"/>
                <w:lang w:val="en-US"/>
              </w:rPr>
              <w:t>2</w:t>
            </w:r>
          </w:p>
        </w:tc>
        <w:tc>
          <w:tcPr>
            <w:tcW w:w="852" w:type="pct"/>
            <w:vMerge/>
          </w:tcPr>
          <w:p w:rsidR="00C371DA" w:rsidRPr="00C2514D" w:rsidRDefault="00C371DA" w:rsidP="00064AE4">
            <w:pPr>
              <w:rPr>
                <w:rFonts w:ascii="Arial" w:hAnsi="Arial" w:cs="Arial"/>
                <w:sz w:val="20"/>
                <w:lang w:val="en-US"/>
              </w:rPr>
            </w:pPr>
          </w:p>
        </w:tc>
        <w:tc>
          <w:tcPr>
            <w:tcW w:w="1568" w:type="pct"/>
            <w:vMerge/>
          </w:tcPr>
          <w:p w:rsidR="00C371DA" w:rsidRPr="00C2514D" w:rsidRDefault="00C371DA" w:rsidP="00064AE4">
            <w:pPr>
              <w:rPr>
                <w:rFonts w:ascii="Arial" w:hAnsi="Arial" w:cs="Arial"/>
                <w:sz w:val="20"/>
                <w:lang w:val="en-US"/>
              </w:rPr>
            </w:pPr>
          </w:p>
        </w:tc>
      </w:tr>
      <w:tr w:rsidR="008632DA" w:rsidRPr="00CC7C33" w:rsidTr="008632DA">
        <w:trPr>
          <w:trHeight w:val="64"/>
        </w:trPr>
        <w:tc>
          <w:tcPr>
            <w:tcW w:w="492" w:type="pct"/>
            <w:vAlign w:val="center"/>
          </w:tcPr>
          <w:p w:rsidR="00C371DA" w:rsidRPr="00C2514D" w:rsidRDefault="00C371DA" w:rsidP="00064AE4">
            <w:pPr>
              <w:pStyle w:val="ListParagraph"/>
              <w:ind w:left="0"/>
              <w:contextualSpacing w:val="0"/>
              <w:jc w:val="center"/>
              <w:rPr>
                <w:rFonts w:ascii="Arial" w:hAnsi="Arial" w:cs="Arial"/>
                <w:sz w:val="20"/>
                <w:lang w:val="en-US"/>
              </w:rPr>
            </w:pPr>
            <w:r w:rsidRPr="00851ECC">
              <w:rPr>
                <w:rFonts w:ascii="Arial" w:hAnsi="Arial" w:cs="Arial"/>
                <w:sz w:val="20"/>
                <w:lang w:val="en-US"/>
              </w:rPr>
              <w:t>Decreased testing costs for non-traditional exporters</w:t>
            </w:r>
          </w:p>
        </w:tc>
        <w:tc>
          <w:tcPr>
            <w:tcW w:w="686" w:type="pct"/>
            <w:vAlign w:val="center"/>
          </w:tcPr>
          <w:p w:rsidR="00C371DA" w:rsidRPr="00C2514D" w:rsidRDefault="00C371DA" w:rsidP="00064AE4">
            <w:pPr>
              <w:pStyle w:val="ListParagraph"/>
              <w:ind w:left="0"/>
              <w:contextualSpacing w:val="0"/>
              <w:rPr>
                <w:rFonts w:ascii="Arial" w:hAnsi="Arial" w:cs="Arial"/>
                <w:sz w:val="20"/>
                <w:lang w:val="en-US"/>
              </w:rPr>
            </w:pPr>
            <w:r w:rsidRPr="00851ECC">
              <w:rPr>
                <w:rFonts w:ascii="Arial" w:hAnsi="Arial" w:cs="Arial"/>
                <w:sz w:val="20"/>
                <w:lang w:val="en-US"/>
              </w:rPr>
              <w:t>Average testing cost faced by exporters of non-traditional products (as a percentage of total operational costs per year)</w:t>
            </w:r>
          </w:p>
        </w:tc>
        <w:tc>
          <w:tcPr>
            <w:tcW w:w="258" w:type="pct"/>
            <w:vAlign w:val="center"/>
          </w:tcPr>
          <w:p w:rsidR="00C371DA" w:rsidRPr="00C2514D" w:rsidRDefault="00C371DA" w:rsidP="00064AE4">
            <w:pPr>
              <w:jc w:val="center"/>
              <w:rPr>
                <w:rFonts w:ascii="Arial" w:hAnsi="Arial" w:cs="Arial"/>
                <w:sz w:val="20"/>
                <w:lang w:val="en-US"/>
              </w:rPr>
            </w:pPr>
            <w:r w:rsidRPr="00851ECC">
              <w:rPr>
                <w:rFonts w:ascii="Arial" w:hAnsi="Arial" w:cs="Arial"/>
                <w:sz w:val="20"/>
                <w:lang w:val="en-US"/>
              </w:rPr>
              <w:t>%</w:t>
            </w:r>
          </w:p>
        </w:tc>
        <w:tc>
          <w:tcPr>
            <w:tcW w:w="317" w:type="pct"/>
            <w:vAlign w:val="center"/>
          </w:tcPr>
          <w:p w:rsidR="00C371DA" w:rsidRPr="00C2514D" w:rsidRDefault="00C371DA" w:rsidP="00064AE4">
            <w:pPr>
              <w:jc w:val="center"/>
              <w:rPr>
                <w:rFonts w:ascii="Arial" w:hAnsi="Arial" w:cs="Arial"/>
                <w:sz w:val="20"/>
                <w:lang w:val="en-US"/>
              </w:rPr>
            </w:pPr>
            <w:r w:rsidRPr="00851ECC">
              <w:rPr>
                <w:rFonts w:ascii="Arial" w:hAnsi="Arial" w:cs="Arial"/>
                <w:sz w:val="20"/>
                <w:lang w:val="en-US"/>
              </w:rPr>
              <w:t>N.A.</w:t>
            </w:r>
          </w:p>
        </w:tc>
        <w:tc>
          <w:tcPr>
            <w:tcW w:w="254" w:type="pct"/>
            <w:vAlign w:val="center"/>
          </w:tcPr>
          <w:p w:rsidR="00C371DA" w:rsidRPr="00C2514D" w:rsidRDefault="00C371DA" w:rsidP="00064AE4">
            <w:pPr>
              <w:jc w:val="center"/>
              <w:rPr>
                <w:rFonts w:ascii="Arial" w:hAnsi="Arial" w:cs="Arial"/>
                <w:sz w:val="20"/>
                <w:lang w:val="en-US"/>
              </w:rPr>
            </w:pPr>
            <w:r w:rsidRPr="00851ECC">
              <w:rPr>
                <w:rFonts w:ascii="Arial" w:hAnsi="Arial" w:cs="Arial"/>
                <w:sz w:val="20"/>
                <w:lang w:val="en-US"/>
              </w:rPr>
              <w:t>N.A.</w:t>
            </w:r>
          </w:p>
        </w:tc>
        <w:tc>
          <w:tcPr>
            <w:tcW w:w="316" w:type="pct"/>
            <w:vAlign w:val="center"/>
          </w:tcPr>
          <w:p w:rsidR="00C371DA" w:rsidRPr="00C2514D" w:rsidRDefault="00C371DA" w:rsidP="00064AE4">
            <w:pPr>
              <w:jc w:val="center"/>
              <w:rPr>
                <w:rFonts w:ascii="Arial" w:hAnsi="Arial" w:cs="Arial"/>
                <w:sz w:val="20"/>
                <w:lang w:val="en-US"/>
              </w:rPr>
            </w:pPr>
            <w:r w:rsidRPr="00851ECC">
              <w:rPr>
                <w:rFonts w:ascii="Arial" w:hAnsi="Arial" w:cs="Arial"/>
                <w:sz w:val="20"/>
                <w:lang w:val="en-US"/>
              </w:rPr>
              <w:t>N.A.</w:t>
            </w:r>
          </w:p>
        </w:tc>
        <w:tc>
          <w:tcPr>
            <w:tcW w:w="257" w:type="pct"/>
            <w:vAlign w:val="center"/>
          </w:tcPr>
          <w:p w:rsidR="00C371DA" w:rsidRPr="00C2514D" w:rsidRDefault="00C371DA" w:rsidP="00064AE4">
            <w:pPr>
              <w:jc w:val="center"/>
              <w:rPr>
                <w:rFonts w:ascii="Arial" w:hAnsi="Arial" w:cs="Arial"/>
                <w:sz w:val="20"/>
                <w:lang w:val="en-US"/>
              </w:rPr>
            </w:pPr>
            <w:r w:rsidRPr="00851ECC">
              <w:rPr>
                <w:rFonts w:ascii="Arial" w:hAnsi="Arial" w:cs="Arial"/>
                <w:sz w:val="20"/>
                <w:lang w:val="en-US"/>
              </w:rPr>
              <w:t>N.A.</w:t>
            </w:r>
          </w:p>
        </w:tc>
        <w:tc>
          <w:tcPr>
            <w:tcW w:w="852" w:type="pct"/>
            <w:vAlign w:val="center"/>
          </w:tcPr>
          <w:p w:rsidR="00C371DA" w:rsidRPr="00C2514D" w:rsidRDefault="00C371DA" w:rsidP="00064AE4">
            <w:pPr>
              <w:rPr>
                <w:rFonts w:ascii="Arial" w:hAnsi="Arial" w:cs="Arial"/>
                <w:sz w:val="20"/>
                <w:lang w:val="en-US"/>
              </w:rPr>
            </w:pPr>
            <w:r w:rsidRPr="00851ECC">
              <w:rPr>
                <w:rFonts w:ascii="Arial" w:hAnsi="Arial" w:cs="Arial"/>
                <w:sz w:val="20"/>
                <w:lang w:val="en-US"/>
              </w:rPr>
              <w:t>Special Survey Guyana Competitiveness GY-T1129</w:t>
            </w:r>
          </w:p>
        </w:tc>
        <w:tc>
          <w:tcPr>
            <w:tcW w:w="1568" w:type="pct"/>
            <w:vAlign w:val="center"/>
          </w:tcPr>
          <w:p w:rsidR="00C371DA" w:rsidRPr="00C2514D" w:rsidRDefault="00B652FA" w:rsidP="000B0588">
            <w:pPr>
              <w:jc w:val="both"/>
              <w:rPr>
                <w:rFonts w:ascii="Arial" w:hAnsi="Arial" w:cs="Arial"/>
                <w:sz w:val="20"/>
                <w:lang w:val="en-US"/>
              </w:rPr>
            </w:pPr>
            <w:r>
              <w:rPr>
                <w:rFonts w:ascii="Arial" w:hAnsi="Arial" w:cs="Arial"/>
                <w:sz w:val="20"/>
                <w:lang w:val="en-US"/>
              </w:rPr>
              <w:t>Information on this indicator was not available (not collected nor processed) at the time this document was being produced. For monitoring and evaluation purposes, e</w:t>
            </w:r>
            <w:r w:rsidR="00C371DA" w:rsidRPr="00851ECC">
              <w:rPr>
                <w:rFonts w:ascii="Arial" w:hAnsi="Arial" w:cs="Arial"/>
                <w:sz w:val="20"/>
                <w:lang w:val="en-US"/>
              </w:rPr>
              <w:t>very firm that uses a service from a laboratory must fill in a</w:t>
            </w:r>
            <w:r>
              <w:rPr>
                <w:rFonts w:ascii="Arial" w:hAnsi="Arial" w:cs="Arial"/>
                <w:sz w:val="20"/>
                <w:lang w:val="en-US"/>
              </w:rPr>
              <w:t>n ad-hoc</w:t>
            </w:r>
            <w:r w:rsidR="00C371DA" w:rsidRPr="00851ECC">
              <w:rPr>
                <w:rFonts w:ascii="Arial" w:hAnsi="Arial" w:cs="Arial"/>
                <w:sz w:val="20"/>
                <w:lang w:val="en-US"/>
              </w:rPr>
              <w:t xml:space="preserve"> survey</w:t>
            </w:r>
            <w:r>
              <w:rPr>
                <w:rFonts w:ascii="Arial" w:hAnsi="Arial" w:cs="Arial"/>
                <w:sz w:val="20"/>
                <w:lang w:val="en-US"/>
              </w:rPr>
              <w:t xml:space="preserve"> reporting this information</w:t>
            </w:r>
            <w:r w:rsidR="00C371DA" w:rsidRPr="00851ECC">
              <w:rPr>
                <w:rFonts w:ascii="Arial" w:hAnsi="Arial" w:cs="Arial"/>
                <w:sz w:val="20"/>
                <w:lang w:val="en-US"/>
              </w:rPr>
              <w:t>.</w:t>
            </w:r>
            <w:r>
              <w:rPr>
                <w:rFonts w:ascii="Arial" w:hAnsi="Arial" w:cs="Arial"/>
                <w:sz w:val="20"/>
                <w:lang w:val="en-US"/>
              </w:rPr>
              <w:t xml:space="preserve"> </w:t>
            </w:r>
            <w:r w:rsidR="00C371DA" w:rsidRPr="00851ECC">
              <w:rPr>
                <w:rFonts w:ascii="Arial" w:hAnsi="Arial" w:cs="Arial"/>
                <w:sz w:val="20"/>
                <w:lang w:val="en-US"/>
              </w:rPr>
              <w:t xml:space="preserve"> Non- traditional exports are both fresh products</w:t>
            </w:r>
            <w:r w:rsidR="00C371DA">
              <w:rPr>
                <w:rFonts w:ascii="Arial" w:hAnsi="Arial" w:cs="Arial"/>
                <w:sz w:val="20"/>
                <w:lang w:val="en-US"/>
              </w:rPr>
              <w:t xml:space="preserve"> and agro processed commodities (see 3.20).</w:t>
            </w:r>
          </w:p>
        </w:tc>
      </w:tr>
      <w:tr w:rsidR="008632DA" w:rsidRPr="00CC7C33" w:rsidTr="008632DA">
        <w:trPr>
          <w:trHeight w:val="64"/>
        </w:trPr>
        <w:tc>
          <w:tcPr>
            <w:tcW w:w="492" w:type="pct"/>
            <w:vAlign w:val="center"/>
          </w:tcPr>
          <w:p w:rsidR="0003037D" w:rsidRPr="00851ECC" w:rsidRDefault="0003037D" w:rsidP="00051B97">
            <w:pPr>
              <w:pStyle w:val="ListParagraph"/>
              <w:ind w:left="0"/>
              <w:contextualSpacing w:val="0"/>
              <w:jc w:val="center"/>
              <w:rPr>
                <w:rFonts w:ascii="Arial" w:hAnsi="Arial" w:cs="Arial"/>
                <w:sz w:val="20"/>
                <w:lang w:val="en-US"/>
              </w:rPr>
            </w:pPr>
            <w:r w:rsidRPr="00851ECC">
              <w:rPr>
                <w:rFonts w:ascii="Arial" w:hAnsi="Arial" w:cs="Arial"/>
                <w:sz w:val="20"/>
                <w:lang w:val="en-US"/>
              </w:rPr>
              <w:t xml:space="preserve">Decreased rejection rates for </w:t>
            </w:r>
            <w:r w:rsidR="006E3C1B">
              <w:rPr>
                <w:rFonts w:ascii="Arial" w:hAnsi="Arial" w:cs="Arial"/>
                <w:sz w:val="20"/>
                <w:lang w:val="en-US"/>
              </w:rPr>
              <w:t>fruits and vegetable exports to US</w:t>
            </w:r>
          </w:p>
        </w:tc>
        <w:tc>
          <w:tcPr>
            <w:tcW w:w="686" w:type="pct"/>
            <w:vAlign w:val="center"/>
          </w:tcPr>
          <w:p w:rsidR="0003037D" w:rsidRPr="00851ECC" w:rsidRDefault="00B652FA" w:rsidP="00312D54">
            <w:pPr>
              <w:pStyle w:val="ListParagraph"/>
              <w:ind w:left="3"/>
              <w:contextualSpacing w:val="0"/>
              <w:rPr>
                <w:rFonts w:ascii="Arial" w:hAnsi="Arial" w:cs="Arial"/>
                <w:sz w:val="20"/>
                <w:lang w:val="en-US"/>
              </w:rPr>
            </w:pPr>
            <w:r>
              <w:rPr>
                <w:rFonts w:ascii="Arial" w:hAnsi="Arial" w:cs="Arial"/>
                <w:sz w:val="20"/>
                <w:lang w:val="en-US"/>
              </w:rPr>
              <w:t>Unit</w:t>
            </w:r>
            <w:r w:rsidR="0003037D" w:rsidRPr="00851ECC">
              <w:rPr>
                <w:rFonts w:ascii="Arial" w:hAnsi="Arial" w:cs="Arial"/>
                <w:sz w:val="20"/>
                <w:lang w:val="en-US"/>
              </w:rPr>
              <w:t xml:space="preserve"> Rejection Rate (</w:t>
            </w:r>
            <w:r>
              <w:rPr>
                <w:rFonts w:ascii="Arial" w:hAnsi="Arial" w:cs="Arial"/>
                <w:sz w:val="20"/>
                <w:lang w:val="en-US"/>
              </w:rPr>
              <w:t>URR) for fruits and vegetable exports to US</w:t>
            </w:r>
          </w:p>
        </w:tc>
        <w:tc>
          <w:tcPr>
            <w:tcW w:w="258" w:type="pct"/>
            <w:vAlign w:val="center"/>
          </w:tcPr>
          <w:p w:rsidR="0003037D" w:rsidRPr="00851ECC" w:rsidRDefault="0003037D" w:rsidP="00064AE4">
            <w:pPr>
              <w:jc w:val="center"/>
              <w:rPr>
                <w:rFonts w:ascii="Arial" w:hAnsi="Arial" w:cs="Arial"/>
                <w:sz w:val="20"/>
                <w:lang w:val="en-US"/>
              </w:rPr>
            </w:pPr>
            <w:r w:rsidRPr="00851ECC">
              <w:rPr>
                <w:rFonts w:ascii="MetaBook-Roman" w:hAnsi="MetaBook-Roman" w:cs="MetaBook-Roman"/>
                <w:sz w:val="20"/>
                <w:lang w:val="en-US" w:eastAsia="zh-CN"/>
              </w:rPr>
              <w:t>Ratio</w:t>
            </w:r>
          </w:p>
        </w:tc>
        <w:tc>
          <w:tcPr>
            <w:tcW w:w="317" w:type="pct"/>
            <w:vAlign w:val="center"/>
          </w:tcPr>
          <w:p w:rsidR="0003037D" w:rsidRPr="00851ECC" w:rsidRDefault="006E3C1B" w:rsidP="00064AE4">
            <w:pPr>
              <w:jc w:val="center"/>
              <w:rPr>
                <w:rFonts w:ascii="Arial" w:hAnsi="Arial" w:cs="Arial"/>
                <w:sz w:val="20"/>
                <w:lang w:val="en-US"/>
              </w:rPr>
            </w:pPr>
            <w:r>
              <w:rPr>
                <w:rFonts w:ascii="Arial" w:hAnsi="Arial" w:cs="Arial"/>
                <w:sz w:val="20"/>
                <w:lang w:val="en-US"/>
              </w:rPr>
              <w:t>6</w:t>
            </w:r>
          </w:p>
        </w:tc>
        <w:tc>
          <w:tcPr>
            <w:tcW w:w="254" w:type="pct"/>
            <w:vAlign w:val="center"/>
          </w:tcPr>
          <w:p w:rsidR="0003037D" w:rsidRPr="00851ECC" w:rsidRDefault="00D07B0F" w:rsidP="00064AE4">
            <w:pPr>
              <w:jc w:val="center"/>
              <w:rPr>
                <w:rFonts w:ascii="Arial" w:hAnsi="Arial" w:cs="Arial"/>
                <w:sz w:val="20"/>
                <w:lang w:val="en-US"/>
              </w:rPr>
            </w:pPr>
            <w:r>
              <w:rPr>
                <w:rFonts w:ascii="Arial" w:hAnsi="Arial" w:cs="Arial"/>
                <w:sz w:val="20"/>
                <w:lang w:val="en-US"/>
              </w:rPr>
              <w:t>2010</w:t>
            </w:r>
          </w:p>
        </w:tc>
        <w:tc>
          <w:tcPr>
            <w:tcW w:w="316" w:type="pct"/>
            <w:vAlign w:val="center"/>
          </w:tcPr>
          <w:p w:rsidR="0003037D" w:rsidRPr="00851ECC" w:rsidRDefault="006E3C1B" w:rsidP="00064AE4">
            <w:pPr>
              <w:jc w:val="center"/>
              <w:rPr>
                <w:rFonts w:ascii="Arial" w:hAnsi="Arial" w:cs="Arial"/>
                <w:sz w:val="20"/>
                <w:lang w:val="en-US"/>
              </w:rPr>
            </w:pPr>
            <w:r>
              <w:rPr>
                <w:rFonts w:ascii="Arial" w:hAnsi="Arial" w:cs="Arial"/>
                <w:sz w:val="20"/>
                <w:lang w:val="en-US"/>
              </w:rPr>
              <w:t>4</w:t>
            </w:r>
          </w:p>
        </w:tc>
        <w:tc>
          <w:tcPr>
            <w:tcW w:w="257" w:type="pct"/>
            <w:vAlign w:val="center"/>
          </w:tcPr>
          <w:p w:rsidR="0003037D" w:rsidRPr="00851ECC" w:rsidRDefault="002D6BCA" w:rsidP="00064AE4">
            <w:pPr>
              <w:jc w:val="center"/>
              <w:rPr>
                <w:rFonts w:ascii="Arial" w:hAnsi="Arial" w:cs="Arial"/>
                <w:sz w:val="20"/>
                <w:lang w:val="en-US"/>
              </w:rPr>
            </w:pPr>
            <w:r>
              <w:rPr>
                <w:rFonts w:ascii="Arial" w:hAnsi="Arial" w:cs="Arial"/>
                <w:sz w:val="20"/>
                <w:lang w:val="en-US"/>
              </w:rPr>
              <w:t>2022</w:t>
            </w:r>
          </w:p>
        </w:tc>
        <w:tc>
          <w:tcPr>
            <w:tcW w:w="852" w:type="pct"/>
            <w:vAlign w:val="center"/>
          </w:tcPr>
          <w:p w:rsidR="0003037D" w:rsidRPr="00851ECC" w:rsidRDefault="0003037D" w:rsidP="00064AE4">
            <w:pPr>
              <w:rPr>
                <w:rFonts w:ascii="Arial" w:hAnsi="Arial" w:cs="Arial"/>
                <w:sz w:val="20"/>
                <w:lang w:val="en-US"/>
              </w:rPr>
            </w:pPr>
            <w:r w:rsidRPr="00851ECC">
              <w:rPr>
                <w:rFonts w:ascii="Arial" w:hAnsi="Arial" w:cs="Arial"/>
                <w:sz w:val="20"/>
                <w:lang w:val="en-US"/>
              </w:rPr>
              <w:t>UNIDO. Trade and Standards Compliance Footprint</w:t>
            </w:r>
          </w:p>
        </w:tc>
        <w:tc>
          <w:tcPr>
            <w:tcW w:w="1568" w:type="pct"/>
            <w:vAlign w:val="center"/>
          </w:tcPr>
          <w:p w:rsidR="0003037D" w:rsidRPr="00851ECC" w:rsidRDefault="00B652FA">
            <w:pPr>
              <w:jc w:val="both"/>
              <w:rPr>
                <w:rFonts w:ascii="Arial" w:hAnsi="Arial" w:cs="Arial"/>
                <w:sz w:val="20"/>
                <w:lang w:val="en-US"/>
              </w:rPr>
            </w:pPr>
            <w:r w:rsidRPr="00B652FA">
              <w:rPr>
                <w:rFonts w:ascii="Arial" w:hAnsi="Arial" w:cs="Arial"/>
                <w:sz w:val="20"/>
                <w:lang w:val="en-US" w:eastAsia="zh-CN"/>
              </w:rPr>
              <w:t>Unit Rejection Rate (URR)</w:t>
            </w:r>
            <w:r>
              <w:rPr>
                <w:rFonts w:ascii="Arial" w:hAnsi="Arial" w:cs="Arial"/>
                <w:sz w:val="20"/>
                <w:lang w:val="en-US" w:eastAsia="zh-CN"/>
              </w:rPr>
              <w:t xml:space="preserve"> is calculated as the n</w:t>
            </w:r>
            <w:r w:rsidRPr="00B652FA">
              <w:rPr>
                <w:rFonts w:ascii="Arial" w:hAnsi="Arial" w:cs="Arial"/>
                <w:sz w:val="20"/>
                <w:lang w:val="en-US" w:eastAsia="zh-CN"/>
              </w:rPr>
              <w:t>umber of rejections per US$ 1 million of exp</w:t>
            </w:r>
            <w:r>
              <w:rPr>
                <w:rFonts w:ascii="Arial" w:hAnsi="Arial" w:cs="Arial"/>
                <w:sz w:val="20"/>
                <w:lang w:val="en-US" w:eastAsia="zh-CN"/>
              </w:rPr>
              <w:t>orts over the period 2002 to 20</w:t>
            </w:r>
            <w:r w:rsidR="00D07B0F">
              <w:rPr>
                <w:rFonts w:ascii="Arial" w:hAnsi="Arial" w:cs="Arial"/>
                <w:sz w:val="20"/>
                <w:lang w:val="en-US" w:eastAsia="zh-CN"/>
              </w:rPr>
              <w:t>10</w:t>
            </w:r>
            <w:r>
              <w:rPr>
                <w:rFonts w:ascii="Arial" w:hAnsi="Arial" w:cs="Arial"/>
                <w:sz w:val="20"/>
                <w:lang w:val="en-US" w:eastAsia="zh-CN"/>
              </w:rPr>
              <w:t xml:space="preserve"> (based on latest statistics from UNIDO</w:t>
            </w:r>
            <w:r w:rsidR="00D07B0F">
              <w:rPr>
                <w:rFonts w:ascii="Arial" w:hAnsi="Arial" w:cs="Arial"/>
                <w:sz w:val="20"/>
                <w:lang w:val="en-US" w:eastAsia="zh-CN"/>
              </w:rPr>
              <w:t xml:space="preserve">, after </w:t>
            </w:r>
            <w:r w:rsidR="007D596E">
              <w:rPr>
                <w:rFonts w:ascii="Arial" w:hAnsi="Arial" w:cs="Arial"/>
                <w:sz w:val="20"/>
                <w:lang w:val="en-US" w:eastAsia="zh-CN"/>
              </w:rPr>
              <w:t xml:space="preserve">controlling for </w:t>
            </w:r>
            <w:r w:rsidR="00D07B0F">
              <w:rPr>
                <w:rFonts w:ascii="Arial" w:hAnsi="Arial" w:cs="Arial"/>
                <w:sz w:val="20"/>
                <w:lang w:val="en-US" w:eastAsia="zh-CN"/>
              </w:rPr>
              <w:t>outliers</w:t>
            </w:r>
            <w:r>
              <w:rPr>
                <w:rFonts w:ascii="Arial" w:hAnsi="Arial" w:cs="Arial"/>
                <w:sz w:val="20"/>
                <w:lang w:val="en-US" w:eastAsia="zh-CN"/>
              </w:rPr>
              <w:t>)</w:t>
            </w:r>
            <w:r w:rsidRPr="00B652FA">
              <w:rPr>
                <w:rFonts w:ascii="Arial" w:hAnsi="Arial" w:cs="Arial"/>
                <w:sz w:val="20"/>
                <w:lang w:val="en-US" w:eastAsia="zh-CN"/>
              </w:rPr>
              <w:t>. This</w:t>
            </w:r>
            <w:r w:rsidR="00767FCC">
              <w:rPr>
                <w:rFonts w:ascii="Arial" w:hAnsi="Arial" w:cs="Arial"/>
                <w:sz w:val="20"/>
                <w:lang w:val="en-US" w:eastAsia="zh-CN"/>
              </w:rPr>
              <w:t xml:space="preserve"> </w:t>
            </w:r>
            <w:r w:rsidRPr="00B652FA">
              <w:rPr>
                <w:rFonts w:ascii="Arial" w:hAnsi="Arial" w:cs="Arial"/>
                <w:sz w:val="20"/>
                <w:lang w:val="en-US" w:eastAsia="zh-CN"/>
              </w:rPr>
              <w:t>measure takes account of changes in the volume of exports such that it provides a direct measure of the rate of</w:t>
            </w:r>
            <w:r w:rsidR="00767FCC">
              <w:rPr>
                <w:rFonts w:ascii="Arial" w:hAnsi="Arial" w:cs="Arial"/>
                <w:sz w:val="20"/>
                <w:lang w:val="en-US" w:eastAsia="zh-CN"/>
              </w:rPr>
              <w:t xml:space="preserve"> </w:t>
            </w:r>
            <w:r>
              <w:rPr>
                <w:rFonts w:ascii="Arial" w:hAnsi="Arial" w:cs="Arial"/>
                <w:sz w:val="20"/>
                <w:lang w:val="en-US" w:eastAsia="zh-CN"/>
              </w:rPr>
              <w:t>non-compliance</w:t>
            </w:r>
            <w:r w:rsidR="0003037D" w:rsidRPr="00847360">
              <w:rPr>
                <w:rFonts w:ascii="Arial" w:hAnsi="Arial" w:cs="Arial"/>
                <w:sz w:val="20"/>
                <w:lang w:val="en-US" w:eastAsia="zh-CN"/>
              </w:rPr>
              <w:t>.</w:t>
            </w:r>
            <w:r>
              <w:rPr>
                <w:rFonts w:ascii="Arial" w:hAnsi="Arial" w:cs="Arial"/>
                <w:sz w:val="20"/>
                <w:lang w:val="en-US" w:eastAsia="zh-CN"/>
              </w:rPr>
              <w:t xml:space="preserve"> The focus is put at the most disaggregate level </w:t>
            </w:r>
            <w:r w:rsidR="00B4403D">
              <w:rPr>
                <w:rFonts w:ascii="Arial" w:hAnsi="Arial" w:cs="Arial"/>
                <w:sz w:val="20"/>
                <w:lang w:val="en-US" w:eastAsia="zh-CN"/>
              </w:rPr>
              <w:t xml:space="preserve">of information </w:t>
            </w:r>
            <w:r>
              <w:rPr>
                <w:rFonts w:ascii="Arial" w:hAnsi="Arial" w:cs="Arial"/>
                <w:sz w:val="20"/>
                <w:lang w:val="en-US" w:eastAsia="zh-CN"/>
              </w:rPr>
              <w:t>available at the data</w:t>
            </w:r>
            <w:r w:rsidR="00B4403D">
              <w:rPr>
                <w:rFonts w:ascii="Arial" w:hAnsi="Arial" w:cs="Arial"/>
                <w:sz w:val="20"/>
                <w:lang w:val="en-US" w:eastAsia="zh-CN"/>
              </w:rPr>
              <w:t xml:space="preserve"> </w:t>
            </w:r>
            <w:r>
              <w:rPr>
                <w:rFonts w:ascii="Arial" w:hAnsi="Arial" w:cs="Arial"/>
                <w:sz w:val="20"/>
                <w:lang w:val="en-US" w:eastAsia="zh-CN"/>
              </w:rPr>
              <w:t>source (main rejecter country</w:t>
            </w:r>
            <w:r w:rsidR="00B4403D">
              <w:rPr>
                <w:rFonts w:ascii="Arial" w:hAnsi="Arial" w:cs="Arial"/>
                <w:sz w:val="20"/>
                <w:lang w:val="en-US" w:eastAsia="zh-CN"/>
              </w:rPr>
              <w:t xml:space="preserve"> </w:t>
            </w:r>
            <w:r>
              <w:rPr>
                <w:rFonts w:ascii="Arial" w:hAnsi="Arial" w:cs="Arial"/>
                <w:sz w:val="20"/>
                <w:lang w:val="en-US" w:eastAsia="zh-CN"/>
              </w:rPr>
              <w:t xml:space="preserve">for the most akin group of products exported </w:t>
            </w:r>
            <w:r w:rsidR="00E978D7">
              <w:rPr>
                <w:rFonts w:ascii="Arial" w:hAnsi="Arial" w:cs="Arial"/>
                <w:sz w:val="20"/>
                <w:lang w:val="en-US" w:eastAsia="zh-CN"/>
              </w:rPr>
              <w:t>by</w:t>
            </w:r>
            <w:r>
              <w:rPr>
                <w:rFonts w:ascii="Arial" w:hAnsi="Arial" w:cs="Arial"/>
                <w:sz w:val="20"/>
                <w:lang w:val="en-US" w:eastAsia="zh-CN"/>
              </w:rPr>
              <w:t xml:space="preserve"> Guyana)</w:t>
            </w:r>
            <w:r w:rsidR="00B4403D">
              <w:rPr>
                <w:rFonts w:ascii="Arial" w:hAnsi="Arial" w:cs="Arial"/>
                <w:sz w:val="20"/>
                <w:lang w:val="en-US" w:eastAsia="zh-CN"/>
              </w:rPr>
              <w:t>.</w:t>
            </w:r>
          </w:p>
        </w:tc>
      </w:tr>
    </w:tbl>
    <w:p w:rsidR="00CA5FF8" w:rsidRPr="00C2514D" w:rsidRDefault="00CA5FF8">
      <w:pPr>
        <w:spacing w:after="200" w:line="276" w:lineRule="auto"/>
        <w:rPr>
          <w:rFonts w:ascii="Arial" w:eastAsia="Calibri" w:hAnsi="Arial" w:cs="Arial"/>
          <w:spacing w:val="0"/>
          <w:sz w:val="22"/>
          <w:szCs w:val="22"/>
          <w:lang w:val="en-US" w:eastAsia="x-none"/>
        </w:rPr>
        <w:sectPr w:rsidR="00CA5FF8" w:rsidRPr="00C2514D" w:rsidSect="00CA5FF8">
          <w:pgSz w:w="15840" w:h="12240" w:orient="landscape"/>
          <w:pgMar w:top="1440" w:right="1800" w:bottom="1440" w:left="1800" w:header="720" w:footer="720" w:gutter="0"/>
          <w:cols w:space="720"/>
          <w:docGrid w:linePitch="360"/>
        </w:sectPr>
      </w:pPr>
    </w:p>
    <w:p w:rsidR="00584EAC" w:rsidRPr="00C2514D" w:rsidRDefault="00584EAC" w:rsidP="00584EAC">
      <w:pPr>
        <w:pStyle w:val="Paragraph"/>
        <w:numPr>
          <w:ilvl w:val="0"/>
          <w:numId w:val="0"/>
        </w:numPr>
        <w:rPr>
          <w:rFonts w:ascii="Arial" w:hAnsi="Arial" w:cs="Arial"/>
          <w:b/>
          <w:noProof/>
          <w:sz w:val="22"/>
          <w:szCs w:val="22"/>
          <w:lang w:val="en-US"/>
        </w:rPr>
      </w:pPr>
      <w:r w:rsidRPr="00C2514D">
        <w:rPr>
          <w:rFonts w:ascii="Arial" w:hAnsi="Arial" w:cs="Arial"/>
          <w:b/>
          <w:noProof/>
          <w:sz w:val="22"/>
          <w:szCs w:val="22"/>
          <w:lang w:val="en-US"/>
        </w:rPr>
        <w:lastRenderedPageBreak/>
        <w:t>D.</w:t>
      </w:r>
      <w:r w:rsidRPr="00C2514D">
        <w:rPr>
          <w:rFonts w:ascii="Arial" w:hAnsi="Arial" w:cs="Arial"/>
          <w:b/>
          <w:noProof/>
          <w:sz w:val="22"/>
          <w:szCs w:val="22"/>
          <w:lang w:val="en-US"/>
        </w:rPr>
        <w:tab/>
        <w:t>Methodology</w:t>
      </w:r>
    </w:p>
    <w:p w:rsidR="00A829ED" w:rsidRPr="00C2514D" w:rsidRDefault="00A829ED"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 xml:space="preserve">Development effectiveness of the program will be measured using quasi-experimental methods. </w:t>
      </w:r>
      <w:r w:rsidR="00FA5587" w:rsidRPr="00C2514D">
        <w:rPr>
          <w:rFonts w:ascii="Arial" w:hAnsi="Arial" w:cs="Arial"/>
          <w:sz w:val="22"/>
          <w:szCs w:val="22"/>
          <w:lang w:val="en-US"/>
        </w:rPr>
        <w:t xml:space="preserve">Difference in Differences combined with Propensity Score Matching (DDM) </w:t>
      </w:r>
      <w:r w:rsidRPr="00C2514D">
        <w:rPr>
          <w:rFonts w:ascii="Arial" w:hAnsi="Arial" w:cs="Arial"/>
          <w:sz w:val="22"/>
          <w:szCs w:val="22"/>
          <w:lang w:val="en-US"/>
        </w:rPr>
        <w:t xml:space="preserve">allows a double comparison (before and after for treated and non-treated) over a common support of observable variables. </w:t>
      </w:r>
    </w:p>
    <w:p w:rsidR="00FA5587" w:rsidRPr="00C2514D" w:rsidRDefault="00FA5587"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DD methodology is standard and measures the difference between the average level of the outcome indicator for the beneficiaries before and after h</w:t>
      </w:r>
      <w:r w:rsidR="00C04142" w:rsidRPr="00C2514D">
        <w:rPr>
          <w:rFonts w:ascii="Arial" w:hAnsi="Arial" w:cs="Arial"/>
          <w:sz w:val="22"/>
          <w:szCs w:val="22"/>
          <w:lang w:val="en-US"/>
        </w:rPr>
        <w:t>is participation in the program, subtracted of this same difference for the control group. The methodology allows the estimation of the average effect of an intervention controlling for the observable and non-observable differences between beneficiaries and non-beneficiaries under t</w:t>
      </w:r>
      <w:r w:rsidR="004C6036" w:rsidRPr="00C2514D">
        <w:rPr>
          <w:rFonts w:ascii="Arial" w:hAnsi="Arial" w:cs="Arial"/>
          <w:sz w:val="22"/>
          <w:szCs w:val="22"/>
          <w:lang w:val="en-US"/>
        </w:rPr>
        <w:t>he assumption that unobservable</w:t>
      </w:r>
      <w:r w:rsidR="00C04142" w:rsidRPr="00C2514D">
        <w:rPr>
          <w:rFonts w:ascii="Arial" w:hAnsi="Arial" w:cs="Arial"/>
          <w:sz w:val="22"/>
          <w:szCs w:val="22"/>
          <w:lang w:val="en-US"/>
        </w:rPr>
        <w:t xml:space="preserve"> </w:t>
      </w:r>
      <w:r w:rsidR="004C6036" w:rsidRPr="00C2514D">
        <w:rPr>
          <w:rFonts w:ascii="Arial" w:hAnsi="Arial" w:cs="Arial"/>
          <w:sz w:val="22"/>
          <w:szCs w:val="22"/>
          <w:lang w:val="en-US"/>
        </w:rPr>
        <w:t xml:space="preserve">features </w:t>
      </w:r>
      <w:r w:rsidR="00C04142" w:rsidRPr="00C2514D">
        <w:rPr>
          <w:rFonts w:ascii="Arial" w:hAnsi="Arial" w:cs="Arial"/>
          <w:sz w:val="22"/>
          <w:szCs w:val="22"/>
          <w:lang w:val="en-US"/>
        </w:rPr>
        <w:t xml:space="preserve">are </w:t>
      </w:r>
      <w:r w:rsidR="004C6036" w:rsidRPr="00C2514D">
        <w:rPr>
          <w:rFonts w:ascii="Arial" w:hAnsi="Arial" w:cs="Arial"/>
          <w:sz w:val="22"/>
          <w:szCs w:val="22"/>
          <w:lang w:val="en-US"/>
        </w:rPr>
        <w:t>constant over time. Under this methodology, the estimation follows a specification of a common fixed effects model:</w:t>
      </w:r>
    </w:p>
    <w:p w:rsidR="00FA5587" w:rsidRPr="00C2514D" w:rsidRDefault="00FA5587" w:rsidP="002704E3">
      <w:pPr>
        <w:pStyle w:val="AutoNumpara"/>
        <w:numPr>
          <w:ilvl w:val="0"/>
          <w:numId w:val="0"/>
        </w:numPr>
        <w:spacing w:before="0" w:after="0"/>
        <w:ind w:firstLine="720"/>
        <w:rPr>
          <w:rFonts w:ascii="Arial" w:hAnsi="Arial" w:cs="Arial"/>
          <w:noProof w:val="0"/>
          <w:sz w:val="22"/>
          <w:szCs w:val="22"/>
          <w:lang w:val="en-US"/>
        </w:rPr>
      </w:pPr>
    </w:p>
    <w:p w:rsidR="006677C4" w:rsidRPr="00C2514D" w:rsidRDefault="006677C4" w:rsidP="006677C4">
      <w:pPr>
        <w:pStyle w:val="ListParagraph"/>
        <w:ind w:left="540"/>
        <w:jc w:val="right"/>
        <w:textAlignment w:val="top"/>
        <w:rPr>
          <w:rFonts w:ascii="Arial" w:hAnsi="Arial" w:cs="Arial"/>
          <w:sz w:val="22"/>
          <w:szCs w:val="24"/>
          <w:lang w:val="en-US"/>
        </w:rPr>
      </w:pPr>
      <w:r w:rsidRPr="00C2514D">
        <w:rPr>
          <w:rFonts w:ascii="Arial" w:hAnsi="Arial" w:cs="Arial"/>
          <w:sz w:val="22"/>
          <w:szCs w:val="24"/>
          <w:lang w:val="en-US"/>
        </w:rPr>
        <w:tab/>
      </w:r>
      <w:r w:rsidRPr="00C2514D">
        <w:rPr>
          <w:rFonts w:ascii="Arial" w:hAnsi="Arial" w:cs="Arial"/>
          <w:sz w:val="22"/>
          <w:szCs w:val="24"/>
          <w:lang w:val="en-US"/>
        </w:rPr>
        <w:tab/>
      </w:r>
      <w:r w:rsidRPr="00C2514D">
        <w:rPr>
          <w:rFonts w:ascii="Arial" w:hAnsi="Arial" w:cs="Arial"/>
          <w:sz w:val="22"/>
          <w:szCs w:val="24"/>
          <w:lang w:val="en-US"/>
        </w:rPr>
        <w:tab/>
      </w:r>
      <m:oMath>
        <m:sSub>
          <m:sSubPr>
            <m:ctrlPr>
              <w:rPr>
                <w:rFonts w:ascii="Cambria Math" w:hAnsi="Cambria Math" w:cs="Arial"/>
                <w:i/>
                <w:sz w:val="22"/>
                <w:szCs w:val="24"/>
                <w:lang w:val="en-US"/>
              </w:rPr>
            </m:ctrlPr>
          </m:sSubPr>
          <m:e>
            <m:r>
              <w:rPr>
                <w:rFonts w:ascii="Cambria Math" w:hAnsi="Cambria Math" w:cs="Arial"/>
                <w:sz w:val="22"/>
                <w:szCs w:val="24"/>
                <w:lang w:val="en-US"/>
              </w:rPr>
              <m:t>Y</m:t>
            </m:r>
          </m:e>
          <m:sub>
            <m:r>
              <w:rPr>
                <w:rFonts w:ascii="Cambria Math" w:hAnsi="Cambria Math" w:cs="Arial"/>
                <w:sz w:val="22"/>
                <w:szCs w:val="24"/>
                <w:lang w:val="en-US"/>
              </w:rPr>
              <m:t>it</m:t>
            </m:r>
          </m:sub>
        </m:sSub>
        <m:r>
          <w:rPr>
            <w:rFonts w:ascii="Cambria Math" w:hAnsi="Cambria Math" w:cs="Arial"/>
            <w:sz w:val="22"/>
            <w:szCs w:val="24"/>
            <w:lang w:val="en-US"/>
          </w:rPr>
          <m:t>=</m:t>
        </m:r>
        <m:sSub>
          <m:sSubPr>
            <m:ctrlPr>
              <w:rPr>
                <w:rFonts w:ascii="Cambria Math" w:hAnsi="Cambria Math" w:cs="Arial"/>
                <w:i/>
                <w:sz w:val="22"/>
                <w:szCs w:val="24"/>
                <w:lang w:val="en-US"/>
              </w:rPr>
            </m:ctrlPr>
          </m:sSubPr>
          <m:e>
            <m:r>
              <w:rPr>
                <w:rFonts w:ascii="Cambria Math" w:hAnsi="Cambria Math" w:cs="Arial"/>
                <w:sz w:val="22"/>
                <w:szCs w:val="24"/>
                <w:lang w:val="en-US"/>
              </w:rPr>
              <m:t>α</m:t>
            </m:r>
          </m:e>
          <m:sub>
            <m:r>
              <w:rPr>
                <w:rFonts w:ascii="Cambria Math" w:hAnsi="Cambria Math" w:cs="Arial"/>
                <w:sz w:val="22"/>
                <w:szCs w:val="24"/>
                <w:lang w:val="en-US"/>
              </w:rPr>
              <m:t>i</m:t>
            </m:r>
          </m:sub>
        </m:sSub>
        <m:r>
          <w:rPr>
            <w:rFonts w:ascii="Cambria Math" w:hAnsi="Cambria Math" w:cs="Arial"/>
            <w:sz w:val="22"/>
            <w:szCs w:val="24"/>
            <w:lang w:val="en-US"/>
          </w:rPr>
          <m:t>+</m:t>
        </m:r>
        <m:sSub>
          <m:sSubPr>
            <m:ctrlPr>
              <w:rPr>
                <w:rFonts w:ascii="Cambria Math" w:hAnsi="Cambria Math" w:cs="Arial"/>
                <w:i/>
                <w:sz w:val="22"/>
                <w:szCs w:val="24"/>
                <w:lang w:val="en-US"/>
              </w:rPr>
            </m:ctrlPr>
          </m:sSubPr>
          <m:e>
            <m:r>
              <w:rPr>
                <w:rFonts w:ascii="Cambria Math" w:hAnsi="Cambria Math" w:cs="Arial"/>
                <w:sz w:val="22"/>
                <w:szCs w:val="24"/>
                <w:lang w:val="en-US"/>
              </w:rPr>
              <m:t>λ</m:t>
            </m:r>
          </m:e>
          <m:sub>
            <m:r>
              <w:rPr>
                <w:rFonts w:ascii="Cambria Math" w:hAnsi="Cambria Math" w:cs="Arial"/>
                <w:sz w:val="22"/>
                <w:szCs w:val="24"/>
                <w:lang w:val="en-US"/>
              </w:rPr>
              <m:t>t</m:t>
            </m:r>
          </m:sub>
        </m:sSub>
        <m:r>
          <w:rPr>
            <w:rFonts w:ascii="Cambria Math" w:hAnsi="Cambria Math" w:cs="Arial"/>
            <w:sz w:val="22"/>
            <w:szCs w:val="24"/>
            <w:lang w:val="en-US"/>
          </w:rPr>
          <m:t>+β</m:t>
        </m:r>
        <m:sSub>
          <m:sSubPr>
            <m:ctrlPr>
              <w:rPr>
                <w:rFonts w:ascii="Cambria Math" w:hAnsi="Cambria Math" w:cs="Arial"/>
                <w:i/>
                <w:sz w:val="22"/>
                <w:szCs w:val="24"/>
                <w:lang w:val="en-US"/>
              </w:rPr>
            </m:ctrlPr>
          </m:sSubPr>
          <m:e>
            <m:r>
              <w:rPr>
                <w:rFonts w:ascii="Cambria Math" w:hAnsi="Cambria Math" w:cs="Arial"/>
                <w:sz w:val="22"/>
                <w:szCs w:val="24"/>
                <w:lang w:val="en-US"/>
              </w:rPr>
              <m:t>T</m:t>
            </m:r>
          </m:e>
          <m:sub>
            <m:r>
              <w:rPr>
                <w:rFonts w:ascii="Cambria Math" w:hAnsi="Cambria Math" w:cs="Arial"/>
                <w:sz w:val="22"/>
                <w:szCs w:val="24"/>
                <w:lang w:val="en-US"/>
              </w:rPr>
              <m:t>it</m:t>
            </m:r>
          </m:sub>
        </m:sSub>
        <m:r>
          <w:rPr>
            <w:rFonts w:ascii="Cambria Math" w:hAnsi="Cambria Math" w:cs="Arial"/>
            <w:sz w:val="22"/>
            <w:szCs w:val="24"/>
            <w:lang w:val="en-US"/>
          </w:rPr>
          <m:t>+γ</m:t>
        </m:r>
        <m:sSub>
          <m:sSubPr>
            <m:ctrlPr>
              <w:rPr>
                <w:rFonts w:ascii="Cambria Math" w:hAnsi="Cambria Math" w:cs="Arial"/>
                <w:i/>
                <w:sz w:val="22"/>
                <w:szCs w:val="24"/>
                <w:lang w:val="en-US"/>
              </w:rPr>
            </m:ctrlPr>
          </m:sSubPr>
          <m:e>
            <m:r>
              <w:rPr>
                <w:rFonts w:ascii="Cambria Math" w:hAnsi="Cambria Math" w:cs="Arial"/>
                <w:sz w:val="22"/>
                <w:szCs w:val="24"/>
                <w:lang w:val="en-US"/>
              </w:rPr>
              <m:t>X</m:t>
            </m:r>
          </m:e>
          <m:sub>
            <m:r>
              <w:rPr>
                <w:rFonts w:ascii="Cambria Math" w:hAnsi="Cambria Math" w:cs="Arial"/>
                <w:sz w:val="22"/>
                <w:szCs w:val="24"/>
                <w:lang w:val="en-US"/>
              </w:rPr>
              <m:t>it</m:t>
            </m:r>
          </m:sub>
        </m:sSub>
        <m:r>
          <w:rPr>
            <w:rFonts w:ascii="Cambria Math" w:hAnsi="Cambria Math" w:cs="Arial"/>
            <w:sz w:val="22"/>
            <w:szCs w:val="24"/>
            <w:lang w:val="en-US"/>
          </w:rPr>
          <m:t>+</m:t>
        </m:r>
        <m:sSub>
          <m:sSubPr>
            <m:ctrlPr>
              <w:rPr>
                <w:rFonts w:ascii="Cambria Math" w:hAnsi="Cambria Math" w:cs="Arial"/>
                <w:i/>
                <w:sz w:val="22"/>
                <w:szCs w:val="24"/>
                <w:lang w:val="en-US"/>
              </w:rPr>
            </m:ctrlPr>
          </m:sSubPr>
          <m:e>
            <m:r>
              <w:rPr>
                <w:rFonts w:ascii="Cambria Math" w:hAnsi="Cambria Math" w:cs="Arial"/>
                <w:sz w:val="22"/>
                <w:szCs w:val="24"/>
                <w:lang w:val="en-US"/>
              </w:rPr>
              <m:t>ε</m:t>
            </m:r>
          </m:e>
          <m:sub>
            <m:r>
              <w:rPr>
                <w:rFonts w:ascii="Cambria Math" w:hAnsi="Cambria Math" w:cs="Arial"/>
                <w:sz w:val="22"/>
                <w:szCs w:val="24"/>
                <w:lang w:val="en-US"/>
              </w:rPr>
              <m:t>it</m:t>
            </m:r>
          </m:sub>
        </m:sSub>
      </m:oMath>
      <w:r w:rsidRPr="00C2514D">
        <w:rPr>
          <w:rFonts w:ascii="Arial" w:hAnsi="Arial" w:cs="Arial"/>
          <w:i/>
          <w:sz w:val="22"/>
          <w:szCs w:val="24"/>
          <w:lang w:val="en-US"/>
        </w:rPr>
        <w:t xml:space="preserve"> </w:t>
      </w:r>
      <w:r w:rsidR="00663554" w:rsidRPr="00C2514D">
        <w:rPr>
          <w:rFonts w:ascii="Arial" w:hAnsi="Arial" w:cs="Arial"/>
          <w:sz w:val="22"/>
          <w:szCs w:val="24"/>
          <w:lang w:val="en-US"/>
        </w:rPr>
        <w:tab/>
      </w:r>
      <w:r w:rsidR="00663554" w:rsidRPr="00C2514D">
        <w:rPr>
          <w:rFonts w:ascii="Arial" w:hAnsi="Arial" w:cs="Arial"/>
          <w:sz w:val="22"/>
          <w:szCs w:val="24"/>
          <w:lang w:val="en-US"/>
        </w:rPr>
        <w:tab/>
      </w:r>
      <w:r w:rsidR="00663554" w:rsidRPr="00C2514D">
        <w:rPr>
          <w:rFonts w:ascii="Arial" w:hAnsi="Arial" w:cs="Arial"/>
          <w:sz w:val="22"/>
          <w:szCs w:val="24"/>
          <w:lang w:val="en-US"/>
        </w:rPr>
        <w:tab/>
        <w:t>(1</w:t>
      </w:r>
      <w:r w:rsidRPr="00C2514D">
        <w:rPr>
          <w:rFonts w:ascii="Arial" w:hAnsi="Arial" w:cs="Arial"/>
          <w:sz w:val="22"/>
          <w:szCs w:val="24"/>
          <w:lang w:val="en-US"/>
        </w:rPr>
        <w:t>)</w:t>
      </w:r>
      <w:r w:rsidRPr="00C2514D">
        <w:rPr>
          <w:rFonts w:ascii="Arial" w:hAnsi="Arial" w:cs="Arial"/>
          <w:sz w:val="22"/>
          <w:szCs w:val="24"/>
          <w:lang w:val="en-US"/>
        </w:rPr>
        <w:tab/>
      </w:r>
      <w:r w:rsidRPr="00C2514D">
        <w:rPr>
          <w:rFonts w:ascii="Arial" w:hAnsi="Arial" w:cs="Arial"/>
          <w:sz w:val="22"/>
          <w:szCs w:val="24"/>
          <w:lang w:val="en-US"/>
        </w:rPr>
        <w:tab/>
      </w:r>
    </w:p>
    <w:p w:rsidR="006677C4" w:rsidRPr="00C2514D" w:rsidRDefault="006677C4" w:rsidP="006677C4">
      <w:pPr>
        <w:pStyle w:val="Paragraph"/>
        <w:numPr>
          <w:ilvl w:val="0"/>
          <w:numId w:val="0"/>
        </w:numPr>
        <w:suppressAutoHyphens/>
        <w:autoSpaceDN w:val="0"/>
        <w:spacing w:before="0" w:after="0"/>
        <w:ind w:firstLine="540"/>
        <w:textAlignment w:val="baseline"/>
        <w:rPr>
          <w:rFonts w:ascii="Arial" w:hAnsi="Arial" w:cs="Arial"/>
          <w:sz w:val="22"/>
          <w:lang w:val="en-US"/>
        </w:rPr>
      </w:pPr>
    </w:p>
    <w:p w:rsidR="006677C4" w:rsidRPr="00C2514D" w:rsidRDefault="004C6036" w:rsidP="006677C4">
      <w:pPr>
        <w:pStyle w:val="Paragraph"/>
        <w:numPr>
          <w:ilvl w:val="0"/>
          <w:numId w:val="0"/>
        </w:numPr>
        <w:suppressAutoHyphens/>
        <w:autoSpaceDN w:val="0"/>
        <w:spacing w:before="0" w:after="0"/>
        <w:ind w:firstLine="720"/>
        <w:textAlignment w:val="baseline"/>
        <w:rPr>
          <w:rFonts w:ascii="Arial" w:hAnsi="Arial" w:cs="Arial"/>
          <w:sz w:val="22"/>
          <w:lang w:val="en-US"/>
        </w:rPr>
      </w:pPr>
      <w:r w:rsidRPr="00C2514D">
        <w:rPr>
          <w:rFonts w:ascii="Arial" w:hAnsi="Arial" w:cs="Arial"/>
          <w:sz w:val="22"/>
          <w:lang w:val="en-US"/>
        </w:rPr>
        <w:t>where</w:t>
      </w:r>
      <w:r w:rsidR="006677C4" w:rsidRPr="00C2514D">
        <w:rPr>
          <w:rFonts w:ascii="Arial" w:hAnsi="Arial" w:cs="Arial"/>
          <w:sz w:val="22"/>
          <w:lang w:val="en-US"/>
        </w:rPr>
        <w:t xml:space="preserve"> </w:t>
      </w:r>
      <m:oMath>
        <m:sSub>
          <m:sSubPr>
            <m:ctrlPr>
              <w:rPr>
                <w:rFonts w:ascii="Cambria Math" w:hAnsi="Cambria Math" w:cs="Arial"/>
                <w:sz w:val="22"/>
                <w:lang w:val="en-US"/>
              </w:rPr>
            </m:ctrlPr>
          </m:sSubPr>
          <m:e>
            <m:r>
              <w:rPr>
                <w:rFonts w:ascii="Cambria Math" w:hAnsi="Cambria Math" w:cs="Arial"/>
                <w:sz w:val="22"/>
                <w:lang w:val="en-US"/>
              </w:rPr>
              <m:t>Y</m:t>
            </m:r>
          </m:e>
          <m:sub>
            <m:r>
              <w:rPr>
                <w:rFonts w:ascii="Cambria Math" w:hAnsi="Cambria Math" w:cs="Arial"/>
                <w:sz w:val="22"/>
                <w:lang w:val="en-US"/>
              </w:rPr>
              <m:t>it</m:t>
            </m:r>
          </m:sub>
        </m:sSub>
      </m:oMath>
      <w:r w:rsidR="006677C4" w:rsidRPr="00C2514D">
        <w:rPr>
          <w:rFonts w:ascii="Arial" w:hAnsi="Arial" w:cs="Arial"/>
          <w:sz w:val="22"/>
          <w:lang w:val="en-US"/>
        </w:rPr>
        <w:t xml:space="preserve"> </w:t>
      </w:r>
      <w:r w:rsidRPr="00C2514D">
        <w:rPr>
          <w:rFonts w:ascii="Arial" w:hAnsi="Arial" w:cs="Arial"/>
          <w:sz w:val="22"/>
          <w:lang w:val="en-US"/>
        </w:rPr>
        <w:t xml:space="preserve">is the outcome indicator for the firm </w:t>
      </w:r>
      <w:r w:rsidR="006677C4" w:rsidRPr="00C2514D">
        <w:rPr>
          <w:rFonts w:ascii="Arial" w:hAnsi="Arial" w:cs="Arial"/>
          <w:i/>
          <w:iCs/>
          <w:sz w:val="22"/>
          <w:lang w:val="en-US"/>
        </w:rPr>
        <w:t xml:space="preserve">i </w:t>
      </w:r>
      <w:r w:rsidRPr="00C2514D">
        <w:rPr>
          <w:rFonts w:ascii="Arial" w:hAnsi="Arial" w:cs="Arial"/>
          <w:sz w:val="22"/>
          <w:lang w:val="en-US"/>
        </w:rPr>
        <w:t>in period</w:t>
      </w:r>
      <w:r w:rsidR="006677C4" w:rsidRPr="00C2514D">
        <w:rPr>
          <w:rFonts w:ascii="Arial" w:hAnsi="Arial" w:cs="Arial"/>
          <w:sz w:val="22"/>
          <w:lang w:val="en-US"/>
        </w:rPr>
        <w:t xml:space="preserve"> </w:t>
      </w:r>
      <w:r w:rsidR="006677C4" w:rsidRPr="00C2514D">
        <w:rPr>
          <w:rFonts w:ascii="Arial" w:hAnsi="Arial" w:cs="Arial"/>
          <w:i/>
          <w:iCs/>
          <w:sz w:val="22"/>
          <w:lang w:val="en-US"/>
        </w:rPr>
        <w:t>t</w:t>
      </w:r>
      <w:r w:rsidR="006677C4" w:rsidRPr="00C2514D">
        <w:rPr>
          <w:rFonts w:ascii="Arial" w:hAnsi="Arial" w:cs="Arial"/>
          <w:sz w:val="22"/>
          <w:lang w:val="en-US"/>
        </w:rPr>
        <w:t xml:space="preserve">, </w:t>
      </w:r>
      <m:oMath>
        <m:sSub>
          <m:sSubPr>
            <m:ctrlPr>
              <w:rPr>
                <w:rFonts w:ascii="Cambria Math" w:hAnsi="Cambria Math" w:cs="Arial"/>
                <w:sz w:val="22"/>
                <w:lang w:val="en-US"/>
              </w:rPr>
            </m:ctrlPr>
          </m:sSubPr>
          <m:e>
            <m:r>
              <w:rPr>
                <w:rFonts w:ascii="Cambria Math" w:hAnsi="Cambria Math" w:cs="Arial"/>
                <w:sz w:val="22"/>
                <w:lang w:val="en-US"/>
              </w:rPr>
              <m:t>T</m:t>
            </m:r>
          </m:e>
          <m:sub>
            <m:r>
              <w:rPr>
                <w:rFonts w:ascii="Cambria Math" w:hAnsi="Cambria Math" w:cs="Arial"/>
                <w:sz w:val="22"/>
                <w:lang w:val="en-US"/>
              </w:rPr>
              <m:t>it</m:t>
            </m:r>
          </m:sub>
        </m:sSub>
      </m:oMath>
      <w:r w:rsidRPr="00C2514D">
        <w:rPr>
          <w:rFonts w:ascii="Arial" w:hAnsi="Arial" w:cs="Arial"/>
          <w:sz w:val="22"/>
          <w:lang w:val="en-US"/>
        </w:rPr>
        <w:t>is</w:t>
      </w:r>
      <w:r w:rsidR="006677C4" w:rsidRPr="00C2514D">
        <w:rPr>
          <w:rFonts w:ascii="Arial" w:hAnsi="Arial" w:cs="Arial"/>
          <w:sz w:val="22"/>
          <w:lang w:val="en-US"/>
        </w:rPr>
        <w:t xml:space="preserve"> </w:t>
      </w:r>
      <w:r w:rsidRPr="00C2514D">
        <w:rPr>
          <w:rFonts w:ascii="Arial" w:hAnsi="Arial" w:cs="Arial"/>
          <w:sz w:val="22"/>
          <w:lang w:val="en-US"/>
        </w:rPr>
        <w:t>a binary</w:t>
      </w:r>
      <w:r w:rsidR="006677C4" w:rsidRPr="00C2514D">
        <w:rPr>
          <w:rFonts w:ascii="Arial" w:hAnsi="Arial" w:cs="Arial"/>
          <w:sz w:val="22"/>
          <w:lang w:val="en-US"/>
        </w:rPr>
        <w:t xml:space="preserve"> variable </w:t>
      </w:r>
      <w:r w:rsidRPr="00C2514D">
        <w:rPr>
          <w:rFonts w:ascii="Arial" w:hAnsi="Arial" w:cs="Arial"/>
          <w:sz w:val="22"/>
          <w:lang w:val="en-US"/>
        </w:rPr>
        <w:t>equal to</w:t>
      </w:r>
      <w:r w:rsidR="006677C4" w:rsidRPr="00C2514D">
        <w:rPr>
          <w:rFonts w:ascii="Arial" w:hAnsi="Arial" w:cs="Arial"/>
          <w:sz w:val="22"/>
          <w:lang w:val="en-US"/>
        </w:rPr>
        <w:t xml:space="preserve"> 1 </w:t>
      </w:r>
      <w:r w:rsidRPr="00C2514D">
        <w:rPr>
          <w:rFonts w:ascii="Arial" w:hAnsi="Arial" w:cs="Arial"/>
          <w:sz w:val="22"/>
          <w:lang w:val="en-US"/>
        </w:rPr>
        <w:t>if the firm</w:t>
      </w:r>
      <w:r w:rsidR="006677C4" w:rsidRPr="00C2514D">
        <w:rPr>
          <w:rFonts w:ascii="Arial" w:hAnsi="Arial" w:cs="Arial"/>
          <w:sz w:val="22"/>
          <w:lang w:val="en-US"/>
        </w:rPr>
        <w:t xml:space="preserve"> </w:t>
      </w:r>
      <w:r w:rsidR="006677C4" w:rsidRPr="00C2514D">
        <w:rPr>
          <w:rFonts w:ascii="Arial" w:hAnsi="Arial" w:cs="Arial"/>
          <w:i/>
          <w:sz w:val="22"/>
          <w:lang w:val="en-US"/>
        </w:rPr>
        <w:t>i</w:t>
      </w:r>
      <w:r w:rsidR="006677C4" w:rsidRPr="00C2514D">
        <w:rPr>
          <w:rFonts w:ascii="Arial" w:hAnsi="Arial" w:cs="Arial"/>
          <w:sz w:val="22"/>
          <w:lang w:val="en-US"/>
        </w:rPr>
        <w:t xml:space="preserve"> </w:t>
      </w:r>
      <w:r w:rsidRPr="00C2514D">
        <w:rPr>
          <w:rFonts w:ascii="Arial" w:hAnsi="Arial" w:cs="Arial"/>
          <w:sz w:val="22"/>
          <w:lang w:val="en-US"/>
        </w:rPr>
        <w:t>has been treated in period</w:t>
      </w:r>
      <w:r w:rsidR="006677C4" w:rsidRPr="00C2514D">
        <w:rPr>
          <w:rFonts w:ascii="Arial" w:hAnsi="Arial" w:cs="Arial"/>
          <w:sz w:val="22"/>
          <w:lang w:val="en-US"/>
        </w:rPr>
        <w:t xml:space="preserve"> t </w:t>
      </w:r>
      <w:r w:rsidRPr="00C2514D">
        <w:rPr>
          <w:rFonts w:ascii="Arial" w:hAnsi="Arial" w:cs="Arial"/>
          <w:sz w:val="22"/>
          <w:lang w:val="en-US"/>
        </w:rPr>
        <w:t>and</w:t>
      </w:r>
      <w:r w:rsidR="006677C4" w:rsidRPr="00C2514D">
        <w:rPr>
          <w:rFonts w:ascii="Arial" w:hAnsi="Arial" w:cs="Arial"/>
          <w:sz w:val="22"/>
          <w:lang w:val="en-US"/>
        </w:rPr>
        <w:t xml:space="preserve"> 0 </w:t>
      </w:r>
      <w:r w:rsidRPr="00C2514D">
        <w:rPr>
          <w:rFonts w:ascii="Arial" w:hAnsi="Arial" w:cs="Arial"/>
          <w:sz w:val="22"/>
          <w:lang w:val="en-US"/>
        </w:rPr>
        <w:t>if not</w:t>
      </w:r>
      <w:r w:rsidR="006677C4" w:rsidRPr="00C2514D">
        <w:rPr>
          <w:rFonts w:ascii="Arial" w:hAnsi="Arial" w:cs="Arial"/>
          <w:sz w:val="22"/>
          <w:lang w:val="en-US"/>
        </w:rPr>
        <w:t xml:space="preserve">; </w:t>
      </w:r>
      <m:oMath>
        <m:sSub>
          <m:sSubPr>
            <m:ctrlPr>
              <w:rPr>
                <w:rFonts w:ascii="Cambria Math" w:hAnsi="Cambria Math" w:cs="Arial"/>
                <w:sz w:val="22"/>
                <w:lang w:val="en-US"/>
              </w:rPr>
            </m:ctrlPr>
          </m:sSubPr>
          <m:e>
            <m:r>
              <w:rPr>
                <w:rFonts w:ascii="Cambria Math" w:hAnsi="Cambria Math" w:cs="Arial"/>
                <w:sz w:val="22"/>
                <w:lang w:val="en-US"/>
              </w:rPr>
              <m:t>λ</m:t>
            </m:r>
          </m:e>
          <m:sub>
            <m:r>
              <w:rPr>
                <w:rFonts w:ascii="Cambria Math" w:hAnsi="Cambria Math" w:cs="Arial"/>
                <w:sz w:val="22"/>
                <w:lang w:val="en-US"/>
              </w:rPr>
              <m:t>t</m:t>
            </m:r>
          </m:sub>
        </m:sSub>
      </m:oMath>
      <w:r w:rsidR="006677C4" w:rsidRPr="00C2514D">
        <w:rPr>
          <w:rFonts w:ascii="Arial" w:hAnsi="Arial" w:cs="Arial"/>
          <w:sz w:val="22"/>
          <w:lang w:val="en-US"/>
        </w:rPr>
        <w:t xml:space="preserve"> </w:t>
      </w:r>
      <w:r w:rsidRPr="00C2514D">
        <w:rPr>
          <w:rFonts w:ascii="Arial" w:hAnsi="Arial" w:cs="Arial"/>
          <w:sz w:val="22"/>
          <w:lang w:val="en-US"/>
        </w:rPr>
        <w:t>are fixed time effects</w:t>
      </w:r>
      <w:r w:rsidR="006677C4" w:rsidRPr="00C2514D">
        <w:rPr>
          <w:rFonts w:ascii="Arial" w:hAnsi="Arial" w:cs="Arial"/>
          <w:sz w:val="22"/>
          <w:lang w:val="en-US"/>
        </w:rPr>
        <w:t xml:space="preserve">; </w:t>
      </w:r>
      <m:oMath>
        <m:sSub>
          <m:sSubPr>
            <m:ctrlPr>
              <w:rPr>
                <w:rFonts w:ascii="Cambria Math" w:hAnsi="Cambria Math" w:cs="Arial"/>
                <w:sz w:val="22"/>
                <w:lang w:val="en-US"/>
              </w:rPr>
            </m:ctrlPr>
          </m:sSubPr>
          <m:e>
            <m:r>
              <w:rPr>
                <w:rFonts w:ascii="Cambria Math" w:hAnsi="Cambria Math" w:cs="Arial"/>
                <w:sz w:val="22"/>
                <w:lang w:val="en-US"/>
              </w:rPr>
              <m:t>X</m:t>
            </m:r>
          </m:e>
          <m:sub>
            <m:r>
              <w:rPr>
                <w:rFonts w:ascii="Cambria Math" w:hAnsi="Cambria Math" w:cs="Arial"/>
                <w:sz w:val="22"/>
                <w:lang w:val="en-US"/>
              </w:rPr>
              <m:t>it</m:t>
            </m:r>
          </m:sub>
        </m:sSub>
      </m:oMath>
      <w:r w:rsidR="006677C4" w:rsidRPr="00C2514D">
        <w:rPr>
          <w:rFonts w:ascii="Arial" w:hAnsi="Arial" w:cs="Arial"/>
          <w:sz w:val="22"/>
          <w:lang w:val="en-US"/>
        </w:rPr>
        <w:t xml:space="preserve"> </w:t>
      </w:r>
      <w:r w:rsidRPr="00C2514D">
        <w:rPr>
          <w:rFonts w:ascii="Arial" w:hAnsi="Arial" w:cs="Arial"/>
          <w:sz w:val="22"/>
          <w:lang w:val="en-US"/>
        </w:rPr>
        <w:t xml:space="preserve">is a vector of observable </w:t>
      </w:r>
      <w:r w:rsidR="004E0D18" w:rsidRPr="00C2514D">
        <w:rPr>
          <w:rFonts w:ascii="Arial" w:hAnsi="Arial" w:cs="Arial"/>
          <w:sz w:val="22"/>
          <w:lang w:val="en-US"/>
        </w:rPr>
        <w:t>control variables</w:t>
      </w:r>
      <w:r w:rsidR="006E3BC9">
        <w:rPr>
          <w:rFonts w:ascii="Arial" w:hAnsi="Arial" w:cs="Arial"/>
          <w:sz w:val="22"/>
          <w:lang w:val="en-US"/>
        </w:rPr>
        <w:t xml:space="preserve"> (number of workers of the firm, </w:t>
      </w:r>
      <w:r w:rsidR="008031F5">
        <w:rPr>
          <w:rFonts w:ascii="Arial" w:hAnsi="Arial" w:cs="Arial"/>
          <w:sz w:val="22"/>
          <w:lang w:val="en-US"/>
        </w:rPr>
        <w:t xml:space="preserve">number of years of activity of the firm according to customs records, </w:t>
      </w:r>
      <w:r w:rsidR="006E3BC9">
        <w:rPr>
          <w:rFonts w:ascii="Arial" w:hAnsi="Arial" w:cs="Arial"/>
          <w:sz w:val="22"/>
          <w:lang w:val="en-US"/>
        </w:rPr>
        <w:t xml:space="preserve">product of export, country of destination, </w:t>
      </w:r>
      <w:r w:rsidR="008031F5">
        <w:rPr>
          <w:rFonts w:ascii="Arial" w:hAnsi="Arial" w:cs="Arial"/>
          <w:sz w:val="22"/>
          <w:lang w:val="en-US"/>
        </w:rPr>
        <w:t xml:space="preserve">number of exports per year, </w:t>
      </w:r>
      <w:r w:rsidR="006E3BC9">
        <w:rPr>
          <w:rFonts w:ascii="Arial" w:hAnsi="Arial" w:cs="Arial"/>
          <w:sz w:val="22"/>
          <w:lang w:val="en-US"/>
        </w:rPr>
        <w:t>lagged outcomes</w:t>
      </w:r>
      <w:r w:rsidR="008031F5">
        <w:rPr>
          <w:rFonts w:ascii="Arial" w:hAnsi="Arial" w:cs="Arial"/>
          <w:sz w:val="22"/>
          <w:lang w:val="en-US"/>
        </w:rPr>
        <w:t>, etc.</w:t>
      </w:r>
      <w:r w:rsidR="006E3BC9">
        <w:rPr>
          <w:rFonts w:ascii="Arial" w:hAnsi="Arial" w:cs="Arial"/>
          <w:sz w:val="22"/>
          <w:lang w:val="en-US"/>
        </w:rPr>
        <w:t xml:space="preserve">) </w:t>
      </w:r>
      <w:r w:rsidR="006677C4" w:rsidRPr="00C2514D">
        <w:rPr>
          <w:rFonts w:ascii="Arial" w:hAnsi="Arial" w:cs="Arial"/>
          <w:sz w:val="22"/>
          <w:lang w:val="en-US"/>
        </w:rPr>
        <w:t xml:space="preserve">; </w:t>
      </w:r>
      <m:oMath>
        <m:sSub>
          <m:sSubPr>
            <m:ctrlPr>
              <w:rPr>
                <w:rFonts w:ascii="Cambria Math" w:hAnsi="Cambria Math" w:cs="Arial"/>
                <w:sz w:val="22"/>
                <w:lang w:val="en-US"/>
              </w:rPr>
            </m:ctrlPr>
          </m:sSubPr>
          <m:e>
            <m:r>
              <w:rPr>
                <w:rFonts w:ascii="Cambria Math" w:hAnsi="Cambria Math" w:cs="Arial"/>
                <w:sz w:val="22"/>
                <w:lang w:val="en-US"/>
              </w:rPr>
              <m:t>α</m:t>
            </m:r>
          </m:e>
          <m:sub>
            <m:r>
              <w:rPr>
                <w:rFonts w:ascii="Cambria Math" w:hAnsi="Cambria Math" w:cs="Arial"/>
                <w:sz w:val="22"/>
                <w:lang w:val="en-US"/>
              </w:rPr>
              <m:t>i</m:t>
            </m:r>
          </m:sub>
        </m:sSub>
      </m:oMath>
      <w:r w:rsidR="006677C4" w:rsidRPr="00C2514D">
        <w:rPr>
          <w:rFonts w:ascii="Arial" w:hAnsi="Arial" w:cs="Arial"/>
          <w:sz w:val="22"/>
          <w:lang w:val="en-US"/>
        </w:rPr>
        <w:t xml:space="preserve"> </w:t>
      </w:r>
      <w:r w:rsidRPr="00C2514D">
        <w:rPr>
          <w:rFonts w:ascii="Arial" w:hAnsi="Arial" w:cs="Arial"/>
          <w:sz w:val="22"/>
          <w:lang w:val="en-US"/>
        </w:rPr>
        <w:t>is an individual fixed effect that controls for all those chara</w:t>
      </w:r>
      <w:r w:rsidR="00082DFB" w:rsidRPr="00C2514D">
        <w:rPr>
          <w:rFonts w:ascii="Arial" w:hAnsi="Arial" w:cs="Arial"/>
          <w:sz w:val="22"/>
          <w:lang w:val="en-US"/>
        </w:rPr>
        <w:t>c</w:t>
      </w:r>
      <w:r w:rsidRPr="00C2514D">
        <w:rPr>
          <w:rFonts w:ascii="Arial" w:hAnsi="Arial" w:cs="Arial"/>
          <w:sz w:val="22"/>
          <w:lang w:val="en-US"/>
        </w:rPr>
        <w:t xml:space="preserve">teristics that vary </w:t>
      </w:r>
      <w:r w:rsidR="00082DFB" w:rsidRPr="00C2514D">
        <w:rPr>
          <w:rFonts w:ascii="Arial" w:hAnsi="Arial" w:cs="Arial"/>
          <w:sz w:val="22"/>
          <w:lang w:val="en-US"/>
        </w:rPr>
        <w:t>b</w:t>
      </w:r>
      <w:r w:rsidRPr="00C2514D">
        <w:rPr>
          <w:rFonts w:ascii="Arial" w:hAnsi="Arial" w:cs="Arial"/>
          <w:sz w:val="22"/>
          <w:lang w:val="en-US"/>
        </w:rPr>
        <w:t>etween individuals nut that are fixed in time; and</w:t>
      </w:r>
      <w:r w:rsidR="006677C4" w:rsidRPr="00C2514D">
        <w:rPr>
          <w:rFonts w:ascii="Arial" w:hAnsi="Arial" w:cs="Arial"/>
          <w:sz w:val="22"/>
          <w:lang w:val="en-US"/>
        </w:rPr>
        <w:t xml:space="preserve"> </w:t>
      </w:r>
      <m:oMath>
        <m:sSub>
          <m:sSubPr>
            <m:ctrlPr>
              <w:rPr>
                <w:rFonts w:ascii="Cambria Math" w:hAnsi="Cambria Math" w:cs="Arial"/>
                <w:sz w:val="22"/>
                <w:lang w:val="en-US"/>
              </w:rPr>
            </m:ctrlPr>
          </m:sSubPr>
          <m:e>
            <m:r>
              <w:rPr>
                <w:rFonts w:ascii="Cambria Math" w:hAnsi="Cambria Math" w:cs="Arial"/>
                <w:sz w:val="22"/>
                <w:lang w:val="en-US"/>
              </w:rPr>
              <m:t>ε</m:t>
            </m:r>
          </m:e>
          <m:sub>
            <m:r>
              <w:rPr>
                <w:rFonts w:ascii="Cambria Math" w:hAnsi="Cambria Math" w:cs="Arial"/>
                <w:sz w:val="22"/>
                <w:lang w:val="en-US"/>
              </w:rPr>
              <m:t>it</m:t>
            </m:r>
          </m:sub>
        </m:sSub>
        <m:r>
          <w:rPr>
            <w:rFonts w:ascii="Cambria Math" w:hAnsi="Cambria Math" w:cs="Arial"/>
            <w:sz w:val="22"/>
            <w:lang w:val="en-US"/>
          </w:rPr>
          <m:t xml:space="preserve"> </m:t>
        </m:r>
      </m:oMath>
      <w:r w:rsidRPr="00C2514D">
        <w:rPr>
          <w:rFonts w:ascii="Arial" w:hAnsi="Arial" w:cs="Arial"/>
          <w:sz w:val="22"/>
          <w:lang w:val="en-US"/>
        </w:rPr>
        <w:t>is the error term</w:t>
      </w:r>
      <w:r w:rsidR="006677C4" w:rsidRPr="00C2514D">
        <w:rPr>
          <w:rFonts w:ascii="Arial" w:hAnsi="Arial" w:cs="Arial"/>
          <w:sz w:val="22"/>
          <w:lang w:val="en-US"/>
        </w:rPr>
        <w:t xml:space="preserve">. </w:t>
      </w:r>
      <w:r w:rsidRPr="00C2514D">
        <w:rPr>
          <w:rFonts w:ascii="Arial" w:hAnsi="Arial" w:cs="Arial"/>
          <w:sz w:val="22"/>
          <w:lang w:val="en-US"/>
        </w:rPr>
        <w:t>The treatment effect is captured by</w:t>
      </w:r>
      <w:r w:rsidR="006677C4" w:rsidRPr="00C2514D">
        <w:rPr>
          <w:rFonts w:ascii="Arial" w:hAnsi="Arial" w:cs="Arial"/>
          <w:sz w:val="22"/>
          <w:lang w:val="en-US"/>
        </w:rPr>
        <w:t xml:space="preserve"> </w:t>
      </w:r>
      <m:oMath>
        <m:r>
          <w:rPr>
            <w:rFonts w:ascii="Cambria Math" w:hAnsi="Cambria Math" w:cs="Arial"/>
            <w:sz w:val="22"/>
            <w:lang w:val="en-US"/>
          </w:rPr>
          <m:t>β</m:t>
        </m:r>
      </m:oMath>
      <w:r w:rsidR="006677C4" w:rsidRPr="00C2514D">
        <w:rPr>
          <w:rFonts w:ascii="Arial" w:hAnsi="Arial" w:cs="Arial"/>
          <w:sz w:val="22"/>
          <w:lang w:val="en-US"/>
        </w:rPr>
        <w:t>.</w:t>
      </w:r>
    </w:p>
    <w:p w:rsidR="006677C4" w:rsidRPr="00C2514D" w:rsidRDefault="006677C4" w:rsidP="006677C4">
      <w:pPr>
        <w:pStyle w:val="Paragraph"/>
        <w:numPr>
          <w:ilvl w:val="0"/>
          <w:numId w:val="0"/>
        </w:numPr>
        <w:suppressAutoHyphens/>
        <w:autoSpaceDN w:val="0"/>
        <w:spacing w:before="0" w:after="0"/>
        <w:ind w:firstLine="540"/>
        <w:textAlignment w:val="baseline"/>
        <w:rPr>
          <w:rFonts w:ascii="Arial" w:hAnsi="Arial" w:cs="Arial"/>
          <w:sz w:val="22"/>
          <w:lang w:val="en-US"/>
        </w:rPr>
      </w:pPr>
    </w:p>
    <w:p w:rsidR="006677C4" w:rsidRPr="00C2514D" w:rsidRDefault="006677C4" w:rsidP="006677C4">
      <w:pPr>
        <w:pStyle w:val="Paragraph"/>
        <w:numPr>
          <w:ilvl w:val="0"/>
          <w:numId w:val="0"/>
        </w:numPr>
        <w:suppressAutoHyphens/>
        <w:autoSpaceDN w:val="0"/>
        <w:spacing w:before="0" w:after="0"/>
        <w:ind w:firstLine="720"/>
        <w:textAlignment w:val="baseline"/>
        <w:rPr>
          <w:rFonts w:ascii="Arial" w:hAnsi="Arial" w:cs="Arial"/>
          <w:sz w:val="22"/>
          <w:lang w:val="en-US"/>
        </w:rPr>
      </w:pPr>
      <w:r w:rsidRPr="00C2514D">
        <w:rPr>
          <w:rFonts w:ascii="Arial" w:hAnsi="Arial" w:cs="Arial"/>
          <w:sz w:val="22"/>
          <w:lang w:val="en-US"/>
        </w:rPr>
        <w:t xml:space="preserve">DD </w:t>
      </w:r>
      <w:r w:rsidR="004C6036" w:rsidRPr="00C2514D">
        <w:rPr>
          <w:rFonts w:ascii="Arial" w:hAnsi="Arial" w:cs="Arial"/>
          <w:sz w:val="22"/>
          <w:lang w:val="en-US"/>
        </w:rPr>
        <w:t>can be strengthened when combined with matching methods</w:t>
      </w:r>
      <w:r w:rsidRPr="00C2514D">
        <w:rPr>
          <w:rFonts w:ascii="Arial" w:hAnsi="Arial" w:cs="Arial"/>
          <w:sz w:val="22"/>
          <w:lang w:val="en-US"/>
        </w:rPr>
        <w:t xml:space="preserve">. </w:t>
      </w:r>
      <w:r w:rsidR="00972EEC" w:rsidRPr="00C2514D">
        <w:rPr>
          <w:rFonts w:ascii="Arial" w:hAnsi="Arial" w:cs="Arial"/>
          <w:sz w:val="22"/>
          <w:lang w:val="en-US"/>
        </w:rPr>
        <w:t>DD model requires a common trend for treated and non-treated in the pretreatment situation.</w:t>
      </w:r>
      <w:r w:rsidRPr="00C2514D">
        <w:rPr>
          <w:rStyle w:val="FootnoteReference"/>
          <w:rFonts w:ascii="Arial" w:hAnsi="Arial" w:cs="Arial"/>
          <w:sz w:val="22"/>
          <w:lang w:val="en-US"/>
        </w:rPr>
        <w:footnoteReference w:id="6"/>
      </w:r>
      <w:r w:rsidRPr="00C2514D">
        <w:rPr>
          <w:rFonts w:ascii="Arial" w:hAnsi="Arial" w:cs="Arial"/>
          <w:sz w:val="22"/>
          <w:lang w:val="en-US"/>
        </w:rPr>
        <w:t xml:space="preserve">. </w:t>
      </w:r>
      <w:r w:rsidR="00972EEC" w:rsidRPr="00C2514D">
        <w:rPr>
          <w:rFonts w:ascii="Arial" w:hAnsi="Arial" w:cs="Arial"/>
          <w:sz w:val="22"/>
          <w:lang w:val="en-US"/>
        </w:rPr>
        <w:t>Even when this assumption cannot be tested, a common accepted practice to strengthen the credibility of th</w:t>
      </w:r>
      <w:r w:rsidR="00A104B7" w:rsidRPr="00C2514D">
        <w:rPr>
          <w:rFonts w:ascii="Arial" w:hAnsi="Arial" w:cs="Arial"/>
          <w:sz w:val="22"/>
          <w:lang w:val="en-US"/>
        </w:rPr>
        <w:t>e assumption is showing that these trends were the same before the treatment period.</w:t>
      </w:r>
      <w:r w:rsidRPr="00C2514D">
        <w:rPr>
          <w:rFonts w:ascii="Arial" w:hAnsi="Arial" w:cs="Arial"/>
          <w:sz w:val="22"/>
          <w:lang w:val="en-US"/>
        </w:rPr>
        <w:t xml:space="preserve"> </w:t>
      </w:r>
      <w:r w:rsidR="00A104B7" w:rsidRPr="00C2514D">
        <w:rPr>
          <w:rFonts w:ascii="Arial" w:hAnsi="Arial" w:cs="Arial"/>
          <w:sz w:val="22"/>
          <w:lang w:val="en-US"/>
        </w:rPr>
        <w:t>Matching is used for this reason, as to identify a non-treated group that is similar to the group that is exposed to treatment in all relevant pre-treatment variables, including if possible, pretreatment trends of the outcome variable.</w:t>
      </w:r>
      <w:r w:rsidRPr="00C2514D">
        <w:rPr>
          <w:rFonts w:ascii="Arial" w:hAnsi="Arial" w:cs="Arial"/>
          <w:sz w:val="22"/>
          <w:lang w:val="en-US"/>
        </w:rPr>
        <w:t xml:space="preserve"> </w:t>
      </w:r>
      <w:r w:rsidR="00A104B7" w:rsidRPr="00C2514D">
        <w:rPr>
          <w:rFonts w:ascii="Arial" w:hAnsi="Arial" w:cs="Arial"/>
          <w:sz w:val="22"/>
          <w:lang w:val="en-US"/>
        </w:rPr>
        <w:t xml:space="preserve">Then, for a specific cohort of beneficiaries </w:t>
      </w:r>
      <w:r w:rsidR="00B41216" w:rsidRPr="00C2514D">
        <w:rPr>
          <w:rFonts w:ascii="Arial" w:hAnsi="Arial" w:cs="Arial"/>
          <w:sz w:val="22"/>
          <w:lang w:val="en-US"/>
        </w:rPr>
        <w:t>the first pretreatment year will be used as baseline and for each potential beneficiary, the conditional probability of participation will be estimated using the following model</w:t>
      </w:r>
      <w:r w:rsidRPr="00C2514D">
        <w:rPr>
          <w:rFonts w:ascii="Arial" w:hAnsi="Arial" w:cs="Arial"/>
          <w:sz w:val="22"/>
          <w:lang w:val="en-US"/>
        </w:rPr>
        <w:t>:</w:t>
      </w:r>
    </w:p>
    <w:p w:rsidR="006677C4" w:rsidRPr="00C2514D" w:rsidRDefault="006677C4" w:rsidP="006677C4">
      <w:pPr>
        <w:pStyle w:val="ListParagraph"/>
        <w:ind w:left="540"/>
        <w:jc w:val="both"/>
        <w:textAlignment w:val="top"/>
        <w:rPr>
          <w:rFonts w:ascii="Arial" w:hAnsi="Arial" w:cs="Arial"/>
          <w:sz w:val="22"/>
          <w:szCs w:val="24"/>
          <w:lang w:val="en-US"/>
        </w:rPr>
      </w:pPr>
    </w:p>
    <w:p w:rsidR="006677C4" w:rsidRPr="00C2514D" w:rsidRDefault="006677C4" w:rsidP="006677C4">
      <w:pPr>
        <w:ind w:left="720"/>
        <w:jc w:val="right"/>
        <w:textAlignment w:val="top"/>
        <w:rPr>
          <w:rFonts w:ascii="Arial" w:hAnsi="Arial" w:cs="Arial"/>
          <w:sz w:val="22"/>
          <w:szCs w:val="24"/>
          <w:lang w:val="en-US"/>
        </w:rPr>
      </w:pPr>
      <m:oMath>
        <m:r>
          <w:rPr>
            <w:rFonts w:ascii="Cambria Math" w:hAnsi="Cambria Math" w:cs="Arial"/>
            <w:sz w:val="22"/>
            <w:szCs w:val="24"/>
            <w:lang w:val="en-US"/>
          </w:rPr>
          <m:t>P</m:t>
        </m:r>
        <m:d>
          <m:dPr>
            <m:ctrlPr>
              <w:rPr>
                <w:rFonts w:ascii="Cambria Math" w:hAnsi="Cambria Math" w:cs="Arial"/>
                <w:sz w:val="22"/>
                <w:szCs w:val="24"/>
                <w:lang w:val="en-US"/>
              </w:rPr>
            </m:ctrlPr>
          </m:dPr>
          <m:e>
            <m:sSub>
              <m:sSubPr>
                <m:ctrlPr>
                  <w:rPr>
                    <w:rFonts w:ascii="Cambria Math" w:hAnsi="Cambria Math" w:cs="Arial"/>
                    <w:sz w:val="22"/>
                    <w:szCs w:val="24"/>
                    <w:lang w:val="en-US"/>
                  </w:rPr>
                </m:ctrlPr>
              </m:sSubPr>
              <m:e>
                <m:r>
                  <w:rPr>
                    <w:rFonts w:ascii="Cambria Math" w:hAnsi="Cambria Math" w:cs="Arial"/>
                    <w:sz w:val="22"/>
                    <w:szCs w:val="24"/>
                    <w:lang w:val="en-US"/>
                  </w:rPr>
                  <m:t>T</m:t>
                </m:r>
              </m:e>
              <m:sub>
                <m:r>
                  <w:rPr>
                    <w:rFonts w:ascii="Cambria Math" w:hAnsi="Cambria Math" w:cs="Arial"/>
                    <w:sz w:val="22"/>
                    <w:szCs w:val="24"/>
                    <w:lang w:val="en-US"/>
                  </w:rPr>
                  <m:t>it</m:t>
                </m:r>
              </m:sub>
            </m:sSub>
            <m:r>
              <m:rPr>
                <m:sty m:val="p"/>
              </m:rPr>
              <w:rPr>
                <w:rFonts w:ascii="Cambria Math" w:hAnsi="Cambria Math" w:cs="Arial"/>
                <w:sz w:val="22"/>
                <w:szCs w:val="24"/>
                <w:lang w:val="en-US"/>
              </w:rPr>
              <m:t>=1|</m:t>
            </m:r>
            <m:sSub>
              <m:sSubPr>
                <m:ctrlPr>
                  <w:rPr>
                    <w:rFonts w:ascii="Cambria Math" w:hAnsi="Cambria Math" w:cs="Arial"/>
                    <w:sz w:val="22"/>
                    <w:szCs w:val="24"/>
                    <w:lang w:val="en-US"/>
                  </w:rPr>
                </m:ctrlPr>
              </m:sSubPr>
              <m:e>
                <m:r>
                  <w:rPr>
                    <w:rFonts w:ascii="Cambria Math" w:hAnsi="Cambria Math" w:cs="Arial"/>
                    <w:sz w:val="22"/>
                    <w:szCs w:val="24"/>
                    <w:lang w:val="en-US"/>
                  </w:rPr>
                  <m:t>Z</m:t>
                </m:r>
              </m:e>
              <m:sub>
                <m:r>
                  <w:rPr>
                    <w:rFonts w:ascii="Cambria Math" w:hAnsi="Cambria Math" w:cs="Arial"/>
                    <w:sz w:val="22"/>
                    <w:szCs w:val="24"/>
                    <w:lang w:val="en-US"/>
                  </w:rPr>
                  <m:t>it</m:t>
                </m:r>
              </m:sub>
            </m:sSub>
            <m:r>
              <m:rPr>
                <m:sty m:val="p"/>
              </m:rPr>
              <w:rPr>
                <w:rFonts w:ascii="Cambria Math" w:hAnsi="Cambria Math" w:cs="Arial"/>
                <w:sz w:val="22"/>
                <w:szCs w:val="24"/>
                <w:lang w:val="en-US"/>
              </w:rPr>
              <m:t>,</m:t>
            </m:r>
            <m:sSubSup>
              <m:sSubSupPr>
                <m:ctrlPr>
                  <w:rPr>
                    <w:rFonts w:ascii="Cambria Math" w:hAnsi="Cambria Math" w:cs="Arial"/>
                    <w:sz w:val="22"/>
                    <w:szCs w:val="24"/>
                    <w:lang w:val="en-US"/>
                  </w:rPr>
                </m:ctrlPr>
              </m:sSubSupPr>
              <m:e>
                <m:r>
                  <w:rPr>
                    <w:rFonts w:ascii="Cambria Math" w:hAnsi="Cambria Math" w:cs="Arial"/>
                    <w:sz w:val="22"/>
                    <w:szCs w:val="24"/>
                    <w:lang w:val="en-US"/>
                  </w:rPr>
                  <m:t>Y</m:t>
                </m:r>
              </m:e>
              <m:sub>
                <m:r>
                  <w:rPr>
                    <w:rFonts w:ascii="Cambria Math" w:hAnsi="Cambria Math" w:cs="Arial"/>
                    <w:sz w:val="22"/>
                    <w:szCs w:val="24"/>
                    <w:lang w:val="en-US"/>
                  </w:rPr>
                  <m:t>it</m:t>
                </m:r>
              </m:sub>
              <m:sup>
                <m:r>
                  <w:rPr>
                    <w:rFonts w:ascii="Cambria Math" w:hAnsi="Cambria Math" w:cs="Arial"/>
                    <w:sz w:val="22"/>
                    <w:szCs w:val="24"/>
                    <w:lang w:val="en-US"/>
                  </w:rPr>
                  <m:t>l</m:t>
                </m:r>
              </m:sup>
            </m:sSubSup>
          </m:e>
        </m:d>
        <m:r>
          <m:rPr>
            <m:sty m:val="p"/>
          </m:rPr>
          <w:rPr>
            <w:rFonts w:ascii="Cambria Math" w:hAnsi="Cambria Math" w:cs="Arial"/>
            <w:sz w:val="22"/>
            <w:szCs w:val="24"/>
            <w:lang w:val="en-US"/>
          </w:rPr>
          <m:t>=Φ</m:t>
        </m:r>
        <m:d>
          <m:dPr>
            <m:ctrlPr>
              <w:rPr>
                <w:rFonts w:ascii="Cambria Math" w:hAnsi="Cambria Math" w:cs="Arial"/>
                <w:sz w:val="22"/>
                <w:szCs w:val="24"/>
                <w:lang w:val="en-US"/>
              </w:rPr>
            </m:ctrlPr>
          </m:dPr>
          <m:e>
            <m:r>
              <w:rPr>
                <w:rFonts w:ascii="Cambria Math" w:hAnsi="Cambria Math" w:cs="Arial"/>
                <w:sz w:val="22"/>
                <w:szCs w:val="24"/>
                <w:lang w:val="en-US"/>
              </w:rPr>
              <m:t>θ</m:t>
            </m:r>
            <m:sSub>
              <m:sSubPr>
                <m:ctrlPr>
                  <w:rPr>
                    <w:rFonts w:ascii="Cambria Math" w:hAnsi="Cambria Math" w:cs="Arial"/>
                    <w:sz w:val="22"/>
                    <w:szCs w:val="24"/>
                    <w:lang w:val="en-US"/>
                  </w:rPr>
                </m:ctrlPr>
              </m:sSubPr>
              <m:e>
                <m:r>
                  <w:rPr>
                    <w:rFonts w:ascii="Cambria Math" w:hAnsi="Cambria Math" w:cs="Arial"/>
                    <w:sz w:val="22"/>
                    <w:szCs w:val="24"/>
                    <w:lang w:val="en-US"/>
                  </w:rPr>
                  <m:t>Z</m:t>
                </m:r>
              </m:e>
              <m:sub>
                <m:r>
                  <w:rPr>
                    <w:rFonts w:ascii="Cambria Math" w:hAnsi="Cambria Math" w:cs="Arial"/>
                    <w:sz w:val="22"/>
                    <w:szCs w:val="24"/>
                    <w:lang w:val="en-US"/>
                  </w:rPr>
                  <m:t>it</m:t>
                </m:r>
              </m:sub>
            </m:sSub>
            <m:r>
              <m:rPr>
                <m:sty m:val="p"/>
              </m:rPr>
              <w:rPr>
                <w:rFonts w:ascii="Cambria Math" w:hAnsi="Cambria Math" w:cs="Arial"/>
                <w:sz w:val="22"/>
                <w:szCs w:val="24"/>
                <w:lang w:val="en-US"/>
              </w:rPr>
              <m:t>+</m:t>
            </m:r>
            <m:r>
              <w:rPr>
                <w:rFonts w:ascii="Cambria Math" w:hAnsi="Cambria Math" w:cs="Arial"/>
                <w:sz w:val="22"/>
                <w:szCs w:val="24"/>
                <w:lang w:val="en-US"/>
              </w:rPr>
              <m:t>λ</m:t>
            </m:r>
            <m:sSubSup>
              <m:sSubSupPr>
                <m:ctrlPr>
                  <w:rPr>
                    <w:rFonts w:ascii="Cambria Math" w:hAnsi="Cambria Math" w:cs="Arial"/>
                    <w:sz w:val="22"/>
                    <w:szCs w:val="24"/>
                    <w:lang w:val="en-US"/>
                  </w:rPr>
                </m:ctrlPr>
              </m:sSubSupPr>
              <m:e>
                <m:r>
                  <w:rPr>
                    <w:rFonts w:ascii="Cambria Math" w:hAnsi="Cambria Math" w:cs="Arial"/>
                    <w:sz w:val="22"/>
                    <w:szCs w:val="24"/>
                    <w:lang w:val="en-US"/>
                  </w:rPr>
                  <m:t>Y</m:t>
                </m:r>
              </m:e>
              <m:sub>
                <m:r>
                  <w:rPr>
                    <w:rFonts w:ascii="Cambria Math" w:hAnsi="Cambria Math" w:cs="Arial"/>
                    <w:sz w:val="22"/>
                    <w:szCs w:val="24"/>
                    <w:lang w:val="en-US"/>
                  </w:rPr>
                  <m:t>it</m:t>
                </m:r>
              </m:sub>
              <m:sup>
                <m:r>
                  <w:rPr>
                    <w:rFonts w:ascii="Cambria Math" w:hAnsi="Cambria Math" w:cs="Arial"/>
                    <w:sz w:val="22"/>
                    <w:szCs w:val="24"/>
                    <w:lang w:val="en-US"/>
                  </w:rPr>
                  <m:t>l</m:t>
                </m:r>
              </m:sup>
            </m:sSubSup>
          </m:e>
        </m:d>
      </m:oMath>
      <w:r w:rsidRPr="00C2514D">
        <w:rPr>
          <w:rFonts w:ascii="Arial" w:hAnsi="Arial" w:cs="Arial"/>
          <w:sz w:val="22"/>
          <w:szCs w:val="24"/>
          <w:lang w:val="en-US"/>
        </w:rPr>
        <w:tab/>
      </w:r>
      <w:r w:rsidRPr="00C2514D">
        <w:rPr>
          <w:rFonts w:ascii="Arial" w:hAnsi="Arial" w:cs="Arial"/>
          <w:sz w:val="22"/>
          <w:szCs w:val="24"/>
          <w:lang w:val="en-US"/>
        </w:rPr>
        <w:tab/>
      </w:r>
      <w:r w:rsidRPr="00C2514D">
        <w:rPr>
          <w:rFonts w:ascii="Arial" w:hAnsi="Arial" w:cs="Arial"/>
          <w:sz w:val="22"/>
          <w:szCs w:val="24"/>
          <w:lang w:val="en-US"/>
        </w:rPr>
        <w:tab/>
        <w:t>(</w:t>
      </w:r>
      <w:r w:rsidR="00663554" w:rsidRPr="00C2514D">
        <w:rPr>
          <w:rFonts w:ascii="Arial" w:hAnsi="Arial" w:cs="Arial"/>
          <w:sz w:val="22"/>
          <w:szCs w:val="24"/>
          <w:lang w:val="en-US"/>
        </w:rPr>
        <w:t>2</w:t>
      </w:r>
      <w:r w:rsidRPr="00C2514D">
        <w:rPr>
          <w:rFonts w:ascii="Arial" w:hAnsi="Arial" w:cs="Arial"/>
          <w:sz w:val="22"/>
          <w:szCs w:val="24"/>
          <w:lang w:val="en-US"/>
        </w:rPr>
        <w:t>)</w:t>
      </w:r>
      <w:r w:rsidRPr="00C2514D">
        <w:rPr>
          <w:rFonts w:ascii="Arial" w:hAnsi="Arial" w:cs="Arial"/>
          <w:sz w:val="22"/>
          <w:szCs w:val="24"/>
          <w:lang w:val="en-US"/>
        </w:rPr>
        <w:tab/>
      </w:r>
      <w:r w:rsidRPr="00C2514D">
        <w:rPr>
          <w:rFonts w:ascii="Arial" w:hAnsi="Arial" w:cs="Arial"/>
          <w:sz w:val="22"/>
          <w:szCs w:val="24"/>
          <w:lang w:val="en-US"/>
        </w:rPr>
        <w:tab/>
      </w:r>
    </w:p>
    <w:p w:rsidR="006677C4" w:rsidRPr="00C2514D" w:rsidRDefault="006677C4" w:rsidP="006677C4">
      <w:pPr>
        <w:jc w:val="both"/>
        <w:rPr>
          <w:rFonts w:ascii="Arial" w:hAnsi="Arial" w:cs="Arial"/>
          <w:sz w:val="22"/>
          <w:szCs w:val="24"/>
          <w:lang w:val="en-US"/>
        </w:rPr>
      </w:pPr>
    </w:p>
    <w:p w:rsidR="006677C4" w:rsidRPr="00C2514D" w:rsidRDefault="00B41216" w:rsidP="006677C4">
      <w:pPr>
        <w:pStyle w:val="Paragraph"/>
        <w:numPr>
          <w:ilvl w:val="0"/>
          <w:numId w:val="0"/>
        </w:numPr>
        <w:suppressAutoHyphens/>
        <w:autoSpaceDN w:val="0"/>
        <w:spacing w:before="0" w:after="0"/>
        <w:ind w:firstLine="720"/>
        <w:textAlignment w:val="baseline"/>
        <w:rPr>
          <w:rFonts w:ascii="Arial" w:hAnsi="Arial" w:cs="Arial"/>
          <w:sz w:val="22"/>
          <w:lang w:val="en-US"/>
        </w:rPr>
      </w:pPr>
      <w:r w:rsidRPr="00C2514D">
        <w:rPr>
          <w:rFonts w:ascii="Arial" w:hAnsi="Arial" w:cs="Arial"/>
          <w:sz w:val="22"/>
          <w:lang w:val="en-US"/>
        </w:rPr>
        <w:t>where</w:t>
      </w:r>
      <w:r w:rsidR="006677C4" w:rsidRPr="00C2514D">
        <w:rPr>
          <w:rFonts w:ascii="Arial" w:hAnsi="Arial" w:cs="Arial"/>
          <w:sz w:val="22"/>
          <w:lang w:val="en-US"/>
        </w:rPr>
        <w:t xml:space="preserve"> Z </w:t>
      </w:r>
      <w:r w:rsidR="007F3577" w:rsidRPr="00C2514D">
        <w:rPr>
          <w:rFonts w:ascii="Arial" w:hAnsi="Arial" w:cs="Arial"/>
          <w:sz w:val="22"/>
          <w:lang w:val="en-US"/>
        </w:rPr>
        <w:t>is</w:t>
      </w:r>
      <w:r w:rsidRPr="00C2514D">
        <w:rPr>
          <w:rFonts w:ascii="Arial" w:hAnsi="Arial" w:cs="Arial"/>
          <w:sz w:val="22"/>
          <w:lang w:val="en-US"/>
        </w:rPr>
        <w:t xml:space="preserve"> a </w:t>
      </w:r>
      <w:r w:rsidR="006677C4" w:rsidRPr="00C2514D">
        <w:rPr>
          <w:rFonts w:ascii="Arial" w:hAnsi="Arial" w:cs="Arial"/>
          <w:sz w:val="22"/>
          <w:lang w:val="en-US"/>
        </w:rPr>
        <w:t xml:space="preserve">vector </w:t>
      </w:r>
      <w:r w:rsidRPr="00C2514D">
        <w:rPr>
          <w:rFonts w:ascii="Arial" w:hAnsi="Arial" w:cs="Arial"/>
          <w:sz w:val="22"/>
          <w:lang w:val="en-US"/>
        </w:rPr>
        <w:t>of</w:t>
      </w:r>
      <w:r w:rsidR="006677C4" w:rsidRPr="00C2514D">
        <w:rPr>
          <w:rFonts w:ascii="Arial" w:hAnsi="Arial" w:cs="Arial"/>
          <w:sz w:val="22"/>
          <w:lang w:val="en-US"/>
        </w:rPr>
        <w:t xml:space="preserve"> control</w:t>
      </w:r>
      <w:r w:rsidRPr="00C2514D">
        <w:rPr>
          <w:rFonts w:ascii="Arial" w:hAnsi="Arial" w:cs="Arial"/>
          <w:sz w:val="22"/>
          <w:lang w:val="en-US"/>
        </w:rPr>
        <w:t xml:space="preserve"> variables</w:t>
      </w:r>
      <w:r w:rsidR="00DF76B7">
        <w:rPr>
          <w:rStyle w:val="FootnoteReference"/>
          <w:rFonts w:ascii="Arial" w:hAnsi="Arial" w:cs="Arial"/>
          <w:sz w:val="22"/>
          <w:lang w:val="en-US"/>
        </w:rPr>
        <w:footnoteReference w:id="7"/>
      </w:r>
      <w:r w:rsidR="006677C4" w:rsidRPr="00C2514D">
        <w:rPr>
          <w:rFonts w:ascii="Arial" w:hAnsi="Arial" w:cs="Arial"/>
          <w:sz w:val="22"/>
          <w:lang w:val="en-US"/>
        </w:rPr>
        <w:t xml:space="preserve">; </w:t>
      </w:r>
      <m:oMath>
        <m:sSup>
          <m:sSupPr>
            <m:ctrlPr>
              <w:rPr>
                <w:rFonts w:ascii="Cambria Math" w:hAnsi="Cambria Math" w:cs="Arial"/>
                <w:i/>
                <w:sz w:val="22"/>
                <w:lang w:val="en-US"/>
              </w:rPr>
            </m:ctrlPr>
          </m:sSupPr>
          <m:e>
            <m:r>
              <w:rPr>
                <w:rFonts w:ascii="Cambria Math" w:hAnsi="Cambria Math" w:cs="Arial"/>
                <w:sz w:val="22"/>
                <w:lang w:val="en-US"/>
              </w:rPr>
              <m:t>Y</m:t>
            </m:r>
          </m:e>
          <m:sup>
            <m:r>
              <w:rPr>
                <w:rFonts w:ascii="Cambria Math" w:hAnsi="Cambria Math" w:cs="Arial"/>
                <w:sz w:val="22"/>
                <w:lang w:val="en-US"/>
              </w:rPr>
              <m:t>l</m:t>
            </m:r>
          </m:sup>
        </m:sSup>
      </m:oMath>
      <w:r w:rsidR="006677C4" w:rsidRPr="00C2514D">
        <w:rPr>
          <w:rFonts w:ascii="Arial" w:hAnsi="Arial" w:cs="Arial"/>
          <w:sz w:val="22"/>
          <w:lang w:val="en-US"/>
        </w:rPr>
        <w:t xml:space="preserve"> </w:t>
      </w:r>
      <w:r w:rsidR="004E0D18" w:rsidRPr="00C2514D">
        <w:rPr>
          <w:rFonts w:ascii="Arial" w:hAnsi="Arial" w:cs="Arial"/>
          <w:sz w:val="22"/>
          <w:lang w:val="en-US"/>
        </w:rPr>
        <w:t>is a</w:t>
      </w:r>
      <w:r w:rsidR="006677C4" w:rsidRPr="00C2514D">
        <w:rPr>
          <w:rFonts w:ascii="Arial" w:hAnsi="Arial" w:cs="Arial"/>
          <w:sz w:val="22"/>
          <w:lang w:val="en-US"/>
        </w:rPr>
        <w:t xml:space="preserve"> vector </w:t>
      </w:r>
      <w:r w:rsidR="004E0D18" w:rsidRPr="00C2514D">
        <w:rPr>
          <w:rFonts w:ascii="Arial" w:hAnsi="Arial" w:cs="Arial"/>
          <w:sz w:val="22"/>
          <w:lang w:val="en-US"/>
        </w:rPr>
        <w:t>of</w:t>
      </w:r>
      <w:r w:rsidR="006677C4" w:rsidRPr="00C2514D">
        <w:rPr>
          <w:rFonts w:ascii="Arial" w:hAnsi="Arial" w:cs="Arial"/>
          <w:sz w:val="22"/>
          <w:lang w:val="en-US"/>
        </w:rPr>
        <w:t xml:space="preserve"> </w:t>
      </w:r>
      <w:r w:rsidR="006677C4" w:rsidRPr="00C2514D">
        <w:rPr>
          <w:rFonts w:ascii="Arial" w:hAnsi="Arial" w:cs="Arial"/>
          <w:i/>
          <w:sz w:val="22"/>
          <w:lang w:val="en-US"/>
        </w:rPr>
        <w:t>k</w:t>
      </w:r>
      <w:r w:rsidR="006677C4" w:rsidRPr="00C2514D">
        <w:rPr>
          <w:rFonts w:ascii="Arial" w:hAnsi="Arial" w:cs="Arial"/>
          <w:sz w:val="22"/>
          <w:lang w:val="en-US"/>
        </w:rPr>
        <w:t xml:space="preserve"> </w:t>
      </w:r>
      <w:r w:rsidR="004E0D18" w:rsidRPr="00C2514D">
        <w:rPr>
          <w:rFonts w:ascii="Arial" w:hAnsi="Arial" w:cs="Arial"/>
          <w:sz w:val="22"/>
          <w:lang w:val="en-US"/>
        </w:rPr>
        <w:t>lags of the outcome variable</w:t>
      </w:r>
      <w:r w:rsidR="006677C4" w:rsidRPr="00C2514D">
        <w:rPr>
          <w:rFonts w:ascii="Arial" w:hAnsi="Arial" w:cs="Arial"/>
          <w:sz w:val="22"/>
          <w:lang w:val="en-US"/>
        </w:rPr>
        <w:t xml:space="preserve">, </w:t>
      </w:r>
      <m:oMath>
        <m:d>
          <m:dPr>
            <m:ctrlPr>
              <w:rPr>
                <w:rFonts w:ascii="Cambria Math" w:hAnsi="Cambria Math" w:cs="Arial"/>
                <w:i/>
                <w:sz w:val="22"/>
                <w:lang w:val="en-US"/>
              </w:rPr>
            </m:ctrlPr>
          </m:dPr>
          <m:e>
            <m:sSub>
              <m:sSubPr>
                <m:ctrlPr>
                  <w:rPr>
                    <w:rFonts w:ascii="Cambria Math" w:hAnsi="Cambria Math" w:cs="Arial"/>
                    <w:i/>
                    <w:sz w:val="22"/>
                    <w:lang w:val="en-US"/>
                  </w:rPr>
                </m:ctrlPr>
              </m:sSubPr>
              <m:e>
                <m:r>
                  <w:rPr>
                    <w:rFonts w:ascii="Cambria Math" w:hAnsi="Cambria Math" w:cs="Arial"/>
                    <w:sz w:val="22"/>
                    <w:lang w:val="en-US"/>
                  </w:rPr>
                  <m:t>Y</m:t>
                </m:r>
              </m:e>
              <m:sub>
                <m:r>
                  <w:rPr>
                    <w:rFonts w:ascii="Cambria Math" w:hAnsi="Cambria Math" w:cs="Arial"/>
                    <w:sz w:val="22"/>
                    <w:lang w:val="en-US"/>
                  </w:rPr>
                  <m:t>it-1</m:t>
                </m:r>
              </m:sub>
            </m:sSub>
            <m:r>
              <w:rPr>
                <w:rFonts w:ascii="Cambria Math" w:hAnsi="Cambria Math" w:cs="Arial"/>
                <w:sz w:val="22"/>
                <w:lang w:val="en-US"/>
              </w:rPr>
              <m:t>,</m:t>
            </m:r>
            <m:sSub>
              <m:sSubPr>
                <m:ctrlPr>
                  <w:rPr>
                    <w:rFonts w:ascii="Cambria Math" w:hAnsi="Cambria Math" w:cs="Arial"/>
                    <w:i/>
                    <w:sz w:val="22"/>
                    <w:lang w:val="en-US"/>
                  </w:rPr>
                </m:ctrlPr>
              </m:sSubPr>
              <m:e>
                <m:r>
                  <w:rPr>
                    <w:rFonts w:ascii="Cambria Math" w:hAnsi="Cambria Math" w:cs="Arial"/>
                    <w:sz w:val="22"/>
                    <w:lang w:val="en-US"/>
                  </w:rPr>
                  <m:t>Y</m:t>
                </m:r>
              </m:e>
              <m:sub>
                <m:r>
                  <w:rPr>
                    <w:rFonts w:ascii="Cambria Math" w:hAnsi="Cambria Math" w:cs="Arial"/>
                    <w:sz w:val="22"/>
                    <w:lang w:val="en-US"/>
                  </w:rPr>
                  <m:t>it-k</m:t>
                </m:r>
              </m:sub>
            </m:sSub>
          </m:e>
        </m:d>
      </m:oMath>
      <w:r w:rsidR="004E0D18" w:rsidRPr="00C2514D">
        <w:rPr>
          <w:rFonts w:ascii="Arial" w:hAnsi="Arial" w:cs="Arial"/>
          <w:sz w:val="22"/>
          <w:lang w:val="en-US"/>
        </w:rPr>
        <w:t>, and</w:t>
      </w:r>
      <w:r w:rsidR="006677C4" w:rsidRPr="00C2514D">
        <w:rPr>
          <w:rFonts w:ascii="Arial" w:hAnsi="Arial" w:cs="Arial"/>
          <w:sz w:val="22"/>
          <w:lang w:val="en-US"/>
        </w:rPr>
        <w:t xml:space="preserve"> </w:t>
      </w:r>
      <m:oMath>
        <m:r>
          <m:rPr>
            <m:sty m:val="p"/>
          </m:rPr>
          <w:rPr>
            <w:rFonts w:ascii="Cambria Math" w:hAnsi="Cambria Math" w:cs="Arial"/>
            <w:sz w:val="22"/>
            <w:lang w:val="en-US"/>
          </w:rPr>
          <m:t>Φ</m:t>
        </m:r>
      </m:oMath>
      <w:r w:rsidR="006677C4" w:rsidRPr="00C2514D">
        <w:rPr>
          <w:rFonts w:ascii="Arial" w:hAnsi="Arial" w:cs="Arial"/>
          <w:sz w:val="22"/>
          <w:lang w:val="en-US"/>
        </w:rPr>
        <w:t xml:space="preserve"> </w:t>
      </w:r>
      <w:r w:rsidR="004E0D18" w:rsidRPr="00C2514D">
        <w:rPr>
          <w:rFonts w:ascii="Arial" w:hAnsi="Arial" w:cs="Arial"/>
          <w:sz w:val="22"/>
          <w:lang w:val="en-US"/>
        </w:rPr>
        <w:t>is the Normal cumulative distribution function</w:t>
      </w:r>
      <w:r w:rsidR="006677C4" w:rsidRPr="00C2514D">
        <w:rPr>
          <w:rFonts w:ascii="Arial" w:hAnsi="Arial" w:cs="Arial"/>
          <w:sz w:val="22"/>
          <w:lang w:val="en-US"/>
        </w:rPr>
        <w:t xml:space="preserve">. </w:t>
      </w:r>
      <w:r w:rsidR="004E0D18" w:rsidRPr="00C2514D">
        <w:rPr>
          <w:rFonts w:ascii="Arial" w:hAnsi="Arial" w:cs="Arial"/>
          <w:sz w:val="22"/>
          <w:lang w:val="en-US"/>
        </w:rPr>
        <w:t xml:space="preserve">Then, a matching algorithm will be used to identify the most similar control group based upon the </w:t>
      </w:r>
      <w:r w:rsidR="004E0D18" w:rsidRPr="00C2514D">
        <w:rPr>
          <w:rFonts w:ascii="Arial" w:hAnsi="Arial" w:cs="Arial"/>
          <w:sz w:val="22"/>
          <w:lang w:val="en-US"/>
        </w:rPr>
        <w:lastRenderedPageBreak/>
        <w:t>estimated propensity score</w:t>
      </w:r>
      <w:r w:rsidR="006677C4" w:rsidRPr="00C2514D">
        <w:rPr>
          <w:rFonts w:ascii="Arial" w:hAnsi="Arial" w:cs="Arial"/>
          <w:sz w:val="22"/>
          <w:lang w:val="en-US"/>
        </w:rPr>
        <w:t xml:space="preserve">. </w:t>
      </w:r>
      <w:r w:rsidR="004E0D18" w:rsidRPr="00C2514D">
        <w:rPr>
          <w:rFonts w:ascii="Arial" w:hAnsi="Arial" w:cs="Arial"/>
          <w:sz w:val="22"/>
          <w:lang w:val="en-US"/>
        </w:rPr>
        <w:t xml:space="preserve">Finally equation </w:t>
      </w:r>
      <w:r w:rsidR="00663554" w:rsidRPr="00C2514D">
        <w:rPr>
          <w:rFonts w:ascii="Arial" w:hAnsi="Arial" w:cs="Arial"/>
          <w:sz w:val="22"/>
          <w:lang w:val="en-US"/>
        </w:rPr>
        <w:t>1</w:t>
      </w:r>
      <w:r w:rsidR="004E0D18" w:rsidRPr="00C2514D">
        <w:rPr>
          <w:rFonts w:ascii="Arial" w:hAnsi="Arial" w:cs="Arial"/>
          <w:sz w:val="22"/>
          <w:lang w:val="en-US"/>
        </w:rPr>
        <w:t xml:space="preserve"> will be estimated again, using the beneficiaries and their controls (identified as a result of the propensity score matching)</w:t>
      </w:r>
      <w:r w:rsidR="006677C4" w:rsidRPr="00C2514D">
        <w:rPr>
          <w:rFonts w:ascii="Arial" w:hAnsi="Arial" w:cs="Arial"/>
          <w:sz w:val="22"/>
          <w:lang w:val="en-US"/>
        </w:rPr>
        <w:t>.</w:t>
      </w:r>
    </w:p>
    <w:p w:rsidR="004E0D18" w:rsidRPr="00C2514D" w:rsidRDefault="004E0D18" w:rsidP="006677C4">
      <w:pPr>
        <w:pStyle w:val="Paragraph"/>
        <w:numPr>
          <w:ilvl w:val="0"/>
          <w:numId w:val="0"/>
        </w:numPr>
        <w:suppressAutoHyphens/>
        <w:autoSpaceDN w:val="0"/>
        <w:spacing w:before="0" w:after="0"/>
        <w:ind w:firstLine="720"/>
        <w:textAlignment w:val="baseline"/>
        <w:rPr>
          <w:rFonts w:ascii="Arial" w:hAnsi="Arial" w:cs="Arial"/>
          <w:sz w:val="22"/>
          <w:lang w:val="en-US"/>
        </w:rPr>
      </w:pPr>
    </w:p>
    <w:p w:rsidR="004E0D18" w:rsidRPr="00C2514D" w:rsidRDefault="004E0D18" w:rsidP="006677C4">
      <w:pPr>
        <w:pStyle w:val="Paragraph"/>
        <w:numPr>
          <w:ilvl w:val="0"/>
          <w:numId w:val="0"/>
        </w:numPr>
        <w:suppressAutoHyphens/>
        <w:autoSpaceDN w:val="0"/>
        <w:spacing w:before="0" w:after="0"/>
        <w:ind w:firstLine="720"/>
        <w:textAlignment w:val="baseline"/>
        <w:rPr>
          <w:rFonts w:ascii="Arial" w:hAnsi="Arial" w:cs="Arial"/>
          <w:sz w:val="22"/>
          <w:lang w:val="en-US"/>
        </w:rPr>
      </w:pPr>
    </w:p>
    <w:p w:rsidR="00883AA7" w:rsidRPr="00C2514D" w:rsidRDefault="00F42A95" w:rsidP="00DC2139">
      <w:pPr>
        <w:pStyle w:val="FirstHeading"/>
        <w:ind w:left="720"/>
        <w:rPr>
          <w:rFonts w:ascii="Arial" w:hAnsi="Arial" w:cs="Arial"/>
          <w:sz w:val="22"/>
          <w:szCs w:val="22"/>
          <w:lang w:val="en-US"/>
        </w:rPr>
      </w:pPr>
      <w:bookmarkStart w:id="10" w:name="_Toc449703284"/>
      <w:r w:rsidRPr="00C2514D">
        <w:rPr>
          <w:rFonts w:ascii="Arial" w:hAnsi="Arial" w:cs="Arial"/>
          <w:sz w:val="22"/>
          <w:szCs w:val="22"/>
          <w:lang w:val="en-US"/>
        </w:rPr>
        <w:t>E.</w:t>
      </w:r>
      <w:r w:rsidRPr="00C2514D">
        <w:rPr>
          <w:rFonts w:ascii="Arial" w:hAnsi="Arial" w:cs="Arial"/>
          <w:sz w:val="22"/>
          <w:szCs w:val="22"/>
          <w:lang w:val="en-US"/>
        </w:rPr>
        <w:tab/>
      </w:r>
      <w:bookmarkEnd w:id="10"/>
      <w:r w:rsidR="00D6582C" w:rsidRPr="00C2514D">
        <w:rPr>
          <w:rFonts w:ascii="Arial" w:hAnsi="Arial" w:cs="Arial"/>
          <w:sz w:val="22"/>
          <w:szCs w:val="22"/>
          <w:lang w:val="en-US"/>
        </w:rPr>
        <w:t>Technical Aspects</w:t>
      </w:r>
    </w:p>
    <w:p w:rsidR="00B24E47" w:rsidRDefault="00D6582C" w:rsidP="00F42A95">
      <w:pPr>
        <w:rPr>
          <w:rFonts w:ascii="Arial" w:hAnsi="Arial" w:cs="Arial"/>
          <w:sz w:val="22"/>
          <w:szCs w:val="22"/>
          <w:u w:val="single"/>
          <w:lang w:val="en-US"/>
        </w:rPr>
      </w:pPr>
      <w:r w:rsidRPr="00C2514D">
        <w:rPr>
          <w:rFonts w:ascii="Arial" w:hAnsi="Arial" w:cs="Arial"/>
          <w:sz w:val="22"/>
          <w:szCs w:val="22"/>
          <w:u w:val="single"/>
          <w:lang w:val="en-US"/>
        </w:rPr>
        <w:t>Treatment and Control Groups</w:t>
      </w:r>
    </w:p>
    <w:p w:rsidR="00E9522E" w:rsidRPr="00C2514D" w:rsidRDefault="00E9522E" w:rsidP="00F42A95">
      <w:pPr>
        <w:rPr>
          <w:rFonts w:ascii="Arial" w:hAnsi="Arial" w:cs="Arial"/>
          <w:sz w:val="22"/>
          <w:szCs w:val="22"/>
          <w:u w:val="single"/>
          <w:lang w:val="en-US"/>
        </w:rPr>
      </w:pPr>
    </w:p>
    <w:p w:rsidR="00646128" w:rsidRDefault="00584EAC" w:rsidP="00507B7D">
      <w:pPr>
        <w:pStyle w:val="Paragraph"/>
        <w:tabs>
          <w:tab w:val="clear" w:pos="1296"/>
          <w:tab w:val="num" w:pos="720"/>
        </w:tabs>
        <w:ind w:left="720" w:hanging="720"/>
        <w:rPr>
          <w:rFonts w:ascii="Arial" w:hAnsi="Arial" w:cs="Arial"/>
          <w:sz w:val="22"/>
          <w:lang w:val="en-US"/>
        </w:rPr>
      </w:pPr>
      <w:r w:rsidRPr="00C2514D">
        <w:rPr>
          <w:rFonts w:ascii="Arial" w:hAnsi="Arial" w:cs="Arial"/>
          <w:sz w:val="22"/>
          <w:lang w:val="en-US"/>
        </w:rPr>
        <w:t>The unit of analysis will be the final beneficiary (non-traditional exporter).</w:t>
      </w:r>
      <w:r w:rsidR="00E26BD2">
        <w:rPr>
          <w:rFonts w:ascii="Arial" w:hAnsi="Arial" w:cs="Arial"/>
          <w:sz w:val="22"/>
          <w:lang w:val="en-US"/>
        </w:rPr>
        <w:t xml:space="preserve"> </w:t>
      </w:r>
      <w:r w:rsidR="00646128" w:rsidRPr="00C2514D">
        <w:rPr>
          <w:rFonts w:ascii="Arial" w:hAnsi="Arial" w:cs="Arial"/>
          <w:sz w:val="22"/>
          <w:lang w:val="en-US"/>
        </w:rPr>
        <w:t xml:space="preserve">The program will assure </w:t>
      </w:r>
      <w:r w:rsidR="00646128">
        <w:rPr>
          <w:rFonts w:ascii="Arial" w:hAnsi="Arial" w:cs="Arial"/>
          <w:sz w:val="22"/>
          <w:lang w:val="en-US"/>
        </w:rPr>
        <w:t xml:space="preserve">outreach to </w:t>
      </w:r>
      <w:r w:rsidR="00646128" w:rsidRPr="00C2514D">
        <w:rPr>
          <w:rFonts w:ascii="Arial" w:hAnsi="Arial" w:cs="Arial"/>
          <w:sz w:val="22"/>
          <w:lang w:val="en-US"/>
        </w:rPr>
        <w:t>the targeted final beneficiaries as</w:t>
      </w:r>
      <w:r w:rsidR="00646128">
        <w:rPr>
          <w:rFonts w:ascii="Arial" w:hAnsi="Arial" w:cs="Arial"/>
          <w:sz w:val="22"/>
          <w:lang w:val="en-US"/>
        </w:rPr>
        <w:t xml:space="preserve"> all</w:t>
      </w:r>
      <w:r w:rsidR="00646128" w:rsidRPr="00C2514D">
        <w:rPr>
          <w:rFonts w:ascii="Arial" w:hAnsi="Arial" w:cs="Arial"/>
          <w:sz w:val="22"/>
          <w:lang w:val="en-US"/>
        </w:rPr>
        <w:t xml:space="preserve"> laboratories serving specific targeted industries will be treated.</w:t>
      </w:r>
      <w:r w:rsidR="00646128">
        <w:rPr>
          <w:rFonts w:ascii="Arial" w:hAnsi="Arial" w:cs="Arial"/>
          <w:sz w:val="22"/>
          <w:lang w:val="en-US"/>
        </w:rPr>
        <w:t xml:space="preserve"> The program will also conduct awareness campaigns among the potential final beneficiaries (population of actual exporters using the services of international labs) in order to promote the use of local benefited labs</w:t>
      </w:r>
      <w:r w:rsidR="00646128">
        <w:rPr>
          <w:rStyle w:val="FootnoteReference"/>
          <w:rFonts w:ascii="Arial" w:hAnsi="Arial" w:cs="Arial"/>
          <w:sz w:val="22"/>
          <w:lang w:val="en-US"/>
        </w:rPr>
        <w:footnoteReference w:id="8"/>
      </w:r>
      <w:r w:rsidR="00646128">
        <w:rPr>
          <w:rFonts w:ascii="Arial" w:hAnsi="Arial" w:cs="Arial"/>
          <w:sz w:val="22"/>
          <w:lang w:val="en-US"/>
        </w:rPr>
        <w:t>. It is important to emphasize that the program will also deliver accreditation of local laboratories. This will guarantee a fully equivalent certification to that currently only accessible through international providers (</w:t>
      </w:r>
      <w:r w:rsidR="00D214A3">
        <w:rPr>
          <w:rFonts w:ascii="Arial" w:hAnsi="Arial" w:cs="Arial"/>
          <w:sz w:val="22"/>
          <w:lang w:val="en-US"/>
        </w:rPr>
        <w:t xml:space="preserve">currently, </w:t>
      </w:r>
      <w:r w:rsidR="00646128">
        <w:rPr>
          <w:rFonts w:ascii="Arial" w:hAnsi="Arial" w:cs="Arial"/>
          <w:sz w:val="22"/>
          <w:lang w:val="en-US"/>
        </w:rPr>
        <w:t xml:space="preserve">local labs provide local certification only for export of rice), and given the high expenses implied in the packaging and shipment of samples, the substitution of export certificates issued abroad by those locally issued </w:t>
      </w:r>
      <w:r w:rsidR="00D214A3">
        <w:rPr>
          <w:rFonts w:ascii="Arial" w:hAnsi="Arial" w:cs="Arial"/>
          <w:sz w:val="22"/>
          <w:lang w:val="en-US"/>
        </w:rPr>
        <w:t>thanks</w:t>
      </w:r>
      <w:r w:rsidR="00646128">
        <w:rPr>
          <w:rFonts w:ascii="Arial" w:hAnsi="Arial" w:cs="Arial"/>
          <w:sz w:val="22"/>
          <w:lang w:val="en-US"/>
        </w:rPr>
        <w:t xml:space="preserve"> to the project is quite likely. Homogeneous certificates to those issued abroad, lower costs of local certificates and aggressive promotion among potential beneficiaries should yield a substantial interest and procurement of the treatment.</w:t>
      </w:r>
    </w:p>
    <w:p w:rsidR="00646128" w:rsidRDefault="00646128" w:rsidP="00507B7D">
      <w:pPr>
        <w:pStyle w:val="Paragraph"/>
        <w:tabs>
          <w:tab w:val="clear" w:pos="1296"/>
          <w:tab w:val="num" w:pos="720"/>
        </w:tabs>
        <w:ind w:left="720" w:hanging="720"/>
        <w:rPr>
          <w:rFonts w:ascii="Arial" w:hAnsi="Arial" w:cs="Arial"/>
          <w:sz w:val="22"/>
          <w:lang w:val="en-US"/>
        </w:rPr>
      </w:pPr>
      <w:r>
        <w:rPr>
          <w:rFonts w:ascii="Arial" w:hAnsi="Arial" w:cs="Arial"/>
          <w:sz w:val="22"/>
          <w:lang w:val="en-US"/>
        </w:rPr>
        <w:t xml:space="preserve">Therefore, the treatment category will be assigned to those firms that used the Guyanese treated labs to get certification for exports </w:t>
      </w:r>
      <w:r w:rsidR="00E261CF">
        <w:rPr>
          <w:rFonts w:ascii="Arial" w:hAnsi="Arial" w:cs="Arial"/>
          <w:sz w:val="22"/>
          <w:lang w:val="en-US"/>
        </w:rPr>
        <w:t>and</w:t>
      </w:r>
      <w:r>
        <w:rPr>
          <w:rFonts w:ascii="Arial" w:hAnsi="Arial" w:cs="Arial"/>
          <w:sz w:val="22"/>
          <w:lang w:val="en-US"/>
        </w:rPr>
        <w:t xml:space="preserve"> exported </w:t>
      </w:r>
      <w:r w:rsidR="00E261CF">
        <w:rPr>
          <w:rFonts w:ascii="Arial" w:hAnsi="Arial" w:cs="Arial"/>
          <w:sz w:val="22"/>
          <w:lang w:val="en-US"/>
        </w:rPr>
        <w:t xml:space="preserve">non-traditional products </w:t>
      </w:r>
      <w:r>
        <w:rPr>
          <w:rFonts w:ascii="Arial" w:hAnsi="Arial" w:cs="Arial"/>
          <w:sz w:val="22"/>
          <w:lang w:val="en-US"/>
        </w:rPr>
        <w:t xml:space="preserve">during a specific year. </w:t>
      </w:r>
      <w:r w:rsidR="00E261CF">
        <w:rPr>
          <w:rFonts w:ascii="Arial" w:hAnsi="Arial" w:cs="Arial"/>
          <w:sz w:val="22"/>
          <w:lang w:val="en-US"/>
        </w:rPr>
        <w:t>In turn, t</w:t>
      </w:r>
      <w:r>
        <w:rPr>
          <w:rFonts w:ascii="Arial" w:hAnsi="Arial" w:cs="Arial"/>
          <w:sz w:val="22"/>
          <w:lang w:val="en-US"/>
        </w:rPr>
        <w:t xml:space="preserve">he category of non-treatment will be assigned to comparable firms </w:t>
      </w:r>
      <w:r w:rsidR="00E261CF">
        <w:rPr>
          <w:rFonts w:ascii="Arial" w:hAnsi="Arial" w:cs="Arial"/>
          <w:sz w:val="22"/>
          <w:lang w:val="en-US"/>
        </w:rPr>
        <w:t xml:space="preserve">(i.e. matched trough observable relevant characteristics) </w:t>
      </w:r>
      <w:r>
        <w:rPr>
          <w:rFonts w:ascii="Arial" w:hAnsi="Arial" w:cs="Arial"/>
          <w:sz w:val="22"/>
          <w:lang w:val="en-US"/>
        </w:rPr>
        <w:t>that did not use the services of certification of local labs and still exported during a specific year.</w:t>
      </w:r>
      <w:r w:rsidR="00E261CF">
        <w:rPr>
          <w:rFonts w:ascii="Arial" w:hAnsi="Arial" w:cs="Arial"/>
          <w:sz w:val="22"/>
          <w:lang w:val="en-US"/>
        </w:rPr>
        <w:t xml:space="preserve"> Administrative records disclose transactional events of exports for every single occurrence of outgoing trade from the country and therefore they will be used as data source for monitoring and evaluation purposes. For those outcomes not recorded by the GRA, ad hoc surveys funded by GY-T1129 will be conducted.</w:t>
      </w:r>
    </w:p>
    <w:p w:rsidR="00CC516B" w:rsidRDefault="00E261CF" w:rsidP="00E26BD2">
      <w:pPr>
        <w:pStyle w:val="Paragraph"/>
        <w:tabs>
          <w:tab w:val="clear" w:pos="1296"/>
          <w:tab w:val="num" w:pos="720"/>
        </w:tabs>
        <w:ind w:left="720" w:hanging="720"/>
        <w:rPr>
          <w:rFonts w:ascii="Arial" w:hAnsi="Arial" w:cs="Arial"/>
          <w:sz w:val="22"/>
          <w:szCs w:val="22"/>
          <w:lang w:val="en-US"/>
        </w:rPr>
      </w:pPr>
      <w:r>
        <w:rPr>
          <w:rFonts w:ascii="Arial" w:hAnsi="Arial" w:cs="Arial"/>
          <w:sz w:val="22"/>
          <w:lang w:val="en-US"/>
        </w:rPr>
        <w:t xml:space="preserve">In order to document the population size of potential beneficiaries, </w:t>
      </w:r>
      <w:r w:rsidR="00157B3D" w:rsidRPr="00E9522E">
        <w:rPr>
          <w:rFonts w:ascii="Arial" w:hAnsi="Arial" w:cs="Arial"/>
          <w:sz w:val="22"/>
          <w:szCs w:val="22"/>
          <w:lang w:val="en-US"/>
        </w:rPr>
        <w:t xml:space="preserve">Table 5 reports the actual number of firms exporting different non-traditional products from 2011 to 2015. Around 500 to 600 firms per year record export activity per year (396, 424, 595, 602, 529 each year respectively). The table also reports that those firms complete about 3,800 transactions a year (4,037; 3,769; 3,966; 4,039; 3,235 respectively). In addition it is important to highlight that between 2012 and 2015 Guyana exported to about 20 identifiable destinations per year on average (21, 20, 22, 19 each year respectively). The list of destinations include Antigua and Barbuda, Saba, Aruba, Barbados, Belgium, Canada, Denmark, Dominica, Dominican Republic, France, United Kingdom, Grenada, Hong Kong, Jamaica, </w:t>
      </w:r>
      <w:r w:rsidR="00157B3D" w:rsidRPr="00E9522E">
        <w:rPr>
          <w:rFonts w:ascii="Arial" w:hAnsi="Arial" w:cs="Arial"/>
          <w:sz w:val="22"/>
          <w:szCs w:val="22"/>
          <w:lang w:val="en-US"/>
        </w:rPr>
        <w:lastRenderedPageBreak/>
        <w:t>Japan, Saint Kitts and Nevis, Cayman Islands, Saint Lucia, Montserrat, Mozambique, Netherlands, Netherlands Antilles, Curacao, St. Maarten, St. Martin, Suriname, Turks and Caicos islands, Trinidad and Tobago, Ukraine, United States, Minor Outlying Islands, United States,</w:t>
      </w:r>
      <w:r w:rsidR="00157B3D" w:rsidRPr="00E9522E">
        <w:rPr>
          <w:rFonts w:ascii="Arial" w:hAnsi="Arial" w:cs="Arial"/>
          <w:sz w:val="22"/>
          <w:szCs w:val="22"/>
          <w:lang w:val="en-US"/>
        </w:rPr>
        <w:tab/>
        <w:t xml:space="preserve"> Saint Vincent and the Grenadines, Venezuela, </w:t>
      </w:r>
      <w:r w:rsidR="004C74DF" w:rsidRPr="00E9522E">
        <w:rPr>
          <w:rFonts w:ascii="Arial" w:hAnsi="Arial" w:cs="Arial"/>
          <w:sz w:val="22"/>
          <w:szCs w:val="22"/>
          <w:lang w:val="en-US"/>
        </w:rPr>
        <w:t xml:space="preserve">British </w:t>
      </w:r>
      <w:r w:rsidR="004C74DF">
        <w:rPr>
          <w:rFonts w:ascii="Arial" w:hAnsi="Arial" w:cs="Arial"/>
          <w:sz w:val="22"/>
          <w:szCs w:val="22"/>
          <w:lang w:val="en-US"/>
        </w:rPr>
        <w:t>Virgin Islands and</w:t>
      </w:r>
      <w:r w:rsidR="00157B3D" w:rsidRPr="00E9522E">
        <w:rPr>
          <w:rFonts w:ascii="Arial" w:hAnsi="Arial" w:cs="Arial"/>
          <w:sz w:val="22"/>
          <w:szCs w:val="22"/>
          <w:lang w:val="en-US"/>
        </w:rPr>
        <w:t xml:space="preserve"> </w:t>
      </w:r>
      <w:r w:rsidR="004C74DF" w:rsidRPr="00E9522E">
        <w:rPr>
          <w:rFonts w:ascii="Arial" w:hAnsi="Arial" w:cs="Arial"/>
          <w:sz w:val="22"/>
          <w:szCs w:val="22"/>
          <w:lang w:val="en-US"/>
        </w:rPr>
        <w:t>U.S.</w:t>
      </w:r>
      <w:r w:rsidR="004C74DF">
        <w:rPr>
          <w:rFonts w:ascii="Arial" w:hAnsi="Arial" w:cs="Arial"/>
          <w:sz w:val="22"/>
          <w:szCs w:val="22"/>
          <w:lang w:val="en-US"/>
        </w:rPr>
        <w:t xml:space="preserve"> Virgin Islands</w:t>
      </w:r>
      <w:r w:rsidR="00157B3D" w:rsidRPr="00E9522E">
        <w:rPr>
          <w:rFonts w:ascii="Arial" w:hAnsi="Arial" w:cs="Arial"/>
          <w:sz w:val="22"/>
          <w:szCs w:val="22"/>
          <w:lang w:val="en-US"/>
        </w:rPr>
        <w:t xml:space="preserve">. These margins are relevant as each </w:t>
      </w:r>
      <w:r w:rsidR="00646128">
        <w:rPr>
          <w:rFonts w:ascii="Arial" w:hAnsi="Arial" w:cs="Arial"/>
          <w:sz w:val="22"/>
          <w:szCs w:val="22"/>
          <w:lang w:val="en-US"/>
        </w:rPr>
        <w:t xml:space="preserve">one </w:t>
      </w:r>
      <w:r w:rsidR="00157B3D" w:rsidRPr="00E9522E">
        <w:rPr>
          <w:rFonts w:ascii="Arial" w:hAnsi="Arial" w:cs="Arial"/>
          <w:sz w:val="22"/>
          <w:szCs w:val="22"/>
          <w:lang w:val="en-US"/>
        </w:rPr>
        <w:t>generates new opportunities to treat to the potential beneficiaries: each time a firm export</w:t>
      </w:r>
      <w:r w:rsidR="00646128">
        <w:rPr>
          <w:rFonts w:ascii="Arial" w:hAnsi="Arial" w:cs="Arial"/>
          <w:sz w:val="22"/>
          <w:szCs w:val="22"/>
          <w:lang w:val="en-US"/>
        </w:rPr>
        <w:t>,</w:t>
      </w:r>
      <w:r w:rsidR="00157B3D" w:rsidRPr="00E9522E">
        <w:rPr>
          <w:rFonts w:ascii="Arial" w:hAnsi="Arial" w:cs="Arial"/>
          <w:sz w:val="22"/>
          <w:szCs w:val="22"/>
          <w:lang w:val="en-US"/>
        </w:rPr>
        <w:t xml:space="preserve"> its shipment has to comply </w:t>
      </w:r>
      <w:r w:rsidR="004C74DF">
        <w:rPr>
          <w:rFonts w:ascii="Arial" w:hAnsi="Arial" w:cs="Arial"/>
          <w:sz w:val="22"/>
          <w:szCs w:val="22"/>
          <w:lang w:val="en-US"/>
        </w:rPr>
        <w:t xml:space="preserve">with </w:t>
      </w:r>
      <w:r w:rsidR="00157B3D" w:rsidRPr="00E9522E">
        <w:rPr>
          <w:rFonts w:ascii="Arial" w:hAnsi="Arial" w:cs="Arial"/>
          <w:sz w:val="22"/>
          <w:szCs w:val="22"/>
          <w:lang w:val="en-US"/>
        </w:rPr>
        <w:t>imports requirements at the destination country. As requirements to export vary by destination</w:t>
      </w:r>
      <w:r w:rsidR="00252086">
        <w:rPr>
          <w:rFonts w:ascii="Arial" w:hAnsi="Arial" w:cs="Arial"/>
          <w:sz w:val="22"/>
          <w:szCs w:val="22"/>
          <w:lang w:val="en-US"/>
        </w:rPr>
        <w:t xml:space="preserve"> and by product</w:t>
      </w:r>
      <w:r w:rsidR="008D5956">
        <w:rPr>
          <w:rFonts w:ascii="Arial" w:hAnsi="Arial" w:cs="Arial"/>
          <w:sz w:val="22"/>
          <w:szCs w:val="22"/>
          <w:lang w:val="en-US"/>
        </w:rPr>
        <w:t>,</w:t>
      </w:r>
      <w:r w:rsidR="00157B3D" w:rsidRPr="00E9522E">
        <w:rPr>
          <w:rFonts w:ascii="Arial" w:hAnsi="Arial" w:cs="Arial"/>
          <w:sz w:val="22"/>
          <w:szCs w:val="22"/>
          <w:lang w:val="en-US"/>
        </w:rPr>
        <w:t xml:space="preserve"> and each destination requires compliance for each transaction, an exporter –</w:t>
      </w:r>
      <w:r w:rsidR="008D5956">
        <w:rPr>
          <w:rFonts w:ascii="Arial" w:hAnsi="Arial" w:cs="Arial"/>
          <w:sz w:val="22"/>
          <w:szCs w:val="22"/>
          <w:lang w:val="en-US"/>
        </w:rPr>
        <w:t>either user of local or international labs</w:t>
      </w:r>
      <w:r w:rsidR="00646128">
        <w:rPr>
          <w:rFonts w:ascii="Arial" w:hAnsi="Arial" w:cs="Arial"/>
          <w:sz w:val="22"/>
          <w:szCs w:val="22"/>
          <w:lang w:val="en-US"/>
        </w:rPr>
        <w:t xml:space="preserve">- will generate </w:t>
      </w:r>
      <w:r w:rsidR="00646128" w:rsidRPr="008D5956">
        <w:rPr>
          <w:rFonts w:ascii="Arial" w:hAnsi="Arial" w:cs="Arial"/>
          <w:sz w:val="22"/>
          <w:szCs w:val="22"/>
          <w:lang w:val="en-US"/>
        </w:rPr>
        <w:t xml:space="preserve">new events </w:t>
      </w:r>
      <w:r w:rsidR="00157B3D" w:rsidRPr="00E9522E">
        <w:rPr>
          <w:rFonts w:ascii="Arial" w:hAnsi="Arial" w:cs="Arial"/>
          <w:sz w:val="22"/>
          <w:szCs w:val="22"/>
          <w:lang w:val="en-US"/>
        </w:rPr>
        <w:t>each time she/he attempts to (i) export a new shipment</w:t>
      </w:r>
      <w:r w:rsidR="00252086">
        <w:rPr>
          <w:rFonts w:ascii="Arial" w:hAnsi="Arial" w:cs="Arial"/>
          <w:sz w:val="22"/>
          <w:szCs w:val="22"/>
          <w:lang w:val="en-US"/>
        </w:rPr>
        <w:t>;</w:t>
      </w:r>
      <w:r w:rsidR="00157B3D" w:rsidRPr="00E9522E">
        <w:rPr>
          <w:rFonts w:ascii="Arial" w:hAnsi="Arial" w:cs="Arial"/>
          <w:sz w:val="22"/>
          <w:szCs w:val="22"/>
          <w:lang w:val="en-US"/>
        </w:rPr>
        <w:t xml:space="preserve"> (ii) access to a new market</w:t>
      </w:r>
      <w:r w:rsidR="00252086">
        <w:rPr>
          <w:rFonts w:ascii="Arial" w:hAnsi="Arial" w:cs="Arial"/>
          <w:sz w:val="22"/>
          <w:szCs w:val="22"/>
          <w:lang w:val="en-US"/>
        </w:rPr>
        <w:t>; (iii) export a different non-traditional product</w:t>
      </w:r>
      <w:r w:rsidR="00CC516B" w:rsidRPr="00E9522E">
        <w:rPr>
          <w:rFonts w:ascii="Arial" w:hAnsi="Arial" w:cs="Arial"/>
          <w:sz w:val="22"/>
          <w:szCs w:val="22"/>
          <w:lang w:val="en-US"/>
        </w:rPr>
        <w:t>.</w:t>
      </w:r>
      <w:r w:rsidR="00646128">
        <w:rPr>
          <w:rFonts w:ascii="Arial" w:hAnsi="Arial" w:cs="Arial"/>
          <w:sz w:val="22"/>
          <w:szCs w:val="22"/>
          <w:lang w:val="en-US"/>
        </w:rPr>
        <w:t xml:space="preserve"> </w:t>
      </w:r>
      <w:r w:rsidR="00252086">
        <w:rPr>
          <w:rFonts w:ascii="Arial" w:hAnsi="Arial" w:cs="Arial"/>
          <w:sz w:val="22"/>
          <w:szCs w:val="22"/>
          <w:lang w:val="en-US"/>
        </w:rPr>
        <w:t>Data permitting, t</w:t>
      </w:r>
      <w:r w:rsidR="00646128">
        <w:rPr>
          <w:rFonts w:ascii="Arial" w:hAnsi="Arial" w:cs="Arial"/>
          <w:sz w:val="22"/>
          <w:szCs w:val="22"/>
          <w:lang w:val="en-US"/>
        </w:rPr>
        <w:t>his would allow to test for effects of intensity of treatment</w:t>
      </w:r>
      <w:r w:rsidR="00252086">
        <w:rPr>
          <w:rFonts w:ascii="Arial" w:hAnsi="Arial" w:cs="Arial"/>
          <w:sz w:val="22"/>
          <w:szCs w:val="22"/>
          <w:lang w:val="en-US"/>
        </w:rPr>
        <w:t xml:space="preserve"> </w:t>
      </w:r>
      <w:r w:rsidR="008D5956">
        <w:rPr>
          <w:rFonts w:ascii="Arial" w:hAnsi="Arial" w:cs="Arial"/>
          <w:sz w:val="22"/>
          <w:szCs w:val="22"/>
          <w:lang w:val="en-US"/>
        </w:rPr>
        <w:t>within</w:t>
      </w:r>
      <w:r w:rsidR="00252086">
        <w:rPr>
          <w:rFonts w:ascii="Arial" w:hAnsi="Arial" w:cs="Arial"/>
          <w:sz w:val="22"/>
          <w:szCs w:val="22"/>
          <w:lang w:val="en-US"/>
        </w:rPr>
        <w:t xml:space="preserve"> each margin and heterogeneity of impact </w:t>
      </w:r>
      <w:r w:rsidR="008D5956">
        <w:rPr>
          <w:rFonts w:ascii="Arial" w:hAnsi="Arial" w:cs="Arial"/>
          <w:sz w:val="22"/>
          <w:szCs w:val="22"/>
          <w:lang w:val="en-US"/>
        </w:rPr>
        <w:t xml:space="preserve">across </w:t>
      </w:r>
      <w:r w:rsidR="00252086">
        <w:rPr>
          <w:rFonts w:ascii="Arial" w:hAnsi="Arial" w:cs="Arial"/>
          <w:sz w:val="22"/>
          <w:szCs w:val="22"/>
          <w:lang w:val="en-US"/>
        </w:rPr>
        <w:t>each margin.</w:t>
      </w:r>
    </w:p>
    <w:p w:rsidR="00E261CF" w:rsidRPr="00E9522E" w:rsidRDefault="008D5956" w:rsidP="00E26BD2">
      <w:pPr>
        <w:pStyle w:val="Paragraph"/>
        <w:tabs>
          <w:tab w:val="clear" w:pos="1296"/>
          <w:tab w:val="num" w:pos="720"/>
        </w:tabs>
        <w:ind w:left="720" w:hanging="720"/>
        <w:rPr>
          <w:rFonts w:ascii="Arial" w:hAnsi="Arial" w:cs="Arial"/>
          <w:sz w:val="22"/>
          <w:szCs w:val="22"/>
          <w:lang w:val="en-US"/>
        </w:rPr>
      </w:pPr>
      <w:r>
        <w:rPr>
          <w:rFonts w:ascii="Arial" w:hAnsi="Arial" w:cs="Arial"/>
          <w:sz w:val="22"/>
          <w:szCs w:val="22"/>
          <w:lang w:val="en-US"/>
        </w:rPr>
        <w:t>With respect to the level at which the counterfactual will be approximated through the proposed control units, and g</w:t>
      </w:r>
      <w:r w:rsidR="00E261CF" w:rsidRPr="00C2514D">
        <w:rPr>
          <w:rFonts w:ascii="Arial" w:hAnsi="Arial" w:cs="Arial"/>
          <w:sz w:val="22"/>
          <w:szCs w:val="22"/>
          <w:lang w:val="en-US"/>
        </w:rPr>
        <w:t xml:space="preserve">iven that there are no laboratories providing in-land services of testing and certification for export purposes, there is no possible source of contamination of the control donor pool </w:t>
      </w:r>
      <w:r>
        <w:rPr>
          <w:rFonts w:ascii="Arial" w:hAnsi="Arial" w:cs="Arial"/>
          <w:sz w:val="22"/>
          <w:szCs w:val="22"/>
          <w:lang w:val="en-US"/>
        </w:rPr>
        <w:t xml:space="preserve">through spill overs </w:t>
      </w:r>
      <w:r w:rsidR="00E261CF" w:rsidRPr="00C2514D">
        <w:rPr>
          <w:rFonts w:ascii="Arial" w:hAnsi="Arial" w:cs="Arial"/>
          <w:sz w:val="22"/>
          <w:szCs w:val="22"/>
          <w:lang w:val="en-US"/>
        </w:rPr>
        <w:t>as non-users of the national labs who manage to export will be users of laboratories abroad exclusively.</w:t>
      </w:r>
      <w:r w:rsidR="00E261CF">
        <w:rPr>
          <w:rFonts w:ascii="Arial" w:hAnsi="Arial" w:cs="Arial"/>
          <w:sz w:val="22"/>
          <w:szCs w:val="22"/>
          <w:lang w:val="en-US"/>
        </w:rPr>
        <w:t xml:space="preserve"> </w:t>
      </w:r>
      <w:r w:rsidR="00E261CF" w:rsidRPr="00C2514D">
        <w:rPr>
          <w:rFonts w:ascii="Arial" w:hAnsi="Arial" w:cs="Arial"/>
          <w:sz w:val="22"/>
          <w:szCs w:val="22"/>
          <w:lang w:val="en-US"/>
        </w:rPr>
        <w:t>Then the counterfactual scenario assumes that for the treated firm to export, access to some other service of testing, certification, etc. in absence of the project would be necessary. Control units to simulate this situation are then actual exporters using services of laboratories abroad. Attention will be put to entrants to the export market (both in the treated and non-treated groups) to differentiate their behavior and prevent distortions in the outcome measures.</w:t>
      </w:r>
      <w:r w:rsidR="00A27AA1">
        <w:rPr>
          <w:rFonts w:ascii="Arial" w:hAnsi="Arial" w:cs="Arial"/>
          <w:sz w:val="22"/>
          <w:szCs w:val="22"/>
          <w:lang w:val="en-US"/>
        </w:rPr>
        <w:t xml:space="preserve"> That said, the identification strategy relies mainly in the incumbents that will substitute international certification services for local certification provided by the labs treated by the program.</w:t>
      </w:r>
    </w:p>
    <w:p w:rsidR="00CC516B" w:rsidRPr="00C2514D" w:rsidRDefault="00CC516B" w:rsidP="00507B7D">
      <w:pPr>
        <w:pStyle w:val="AutoNumpara"/>
        <w:numPr>
          <w:ilvl w:val="0"/>
          <w:numId w:val="0"/>
        </w:numPr>
        <w:tabs>
          <w:tab w:val="num" w:pos="720"/>
        </w:tabs>
        <w:spacing w:before="0" w:after="0"/>
        <w:ind w:left="720" w:hanging="720"/>
        <w:rPr>
          <w:rFonts w:ascii="Arial" w:hAnsi="Arial" w:cs="Arial"/>
          <w:sz w:val="22"/>
          <w:szCs w:val="22"/>
          <w:lang w:val="en-US"/>
        </w:rPr>
      </w:pPr>
    </w:p>
    <w:p w:rsidR="00CC516B" w:rsidRDefault="00CC516B">
      <w:pPr>
        <w:spacing w:after="200" w:line="276" w:lineRule="auto"/>
        <w:rPr>
          <w:rFonts w:ascii="Arial" w:hAnsi="Arial" w:cs="Arial"/>
          <w:sz w:val="22"/>
          <w:szCs w:val="22"/>
          <w:u w:val="single"/>
          <w:lang w:val="en-US"/>
        </w:rPr>
      </w:pPr>
      <w:r>
        <w:rPr>
          <w:rFonts w:ascii="Arial" w:hAnsi="Arial" w:cs="Arial"/>
          <w:sz w:val="22"/>
          <w:szCs w:val="22"/>
          <w:u w:val="single"/>
          <w:lang w:val="en-US"/>
        </w:rPr>
        <w:br w:type="page"/>
      </w:r>
    </w:p>
    <w:p w:rsidR="00CC516B" w:rsidRPr="00C2514D" w:rsidRDefault="00CC516B" w:rsidP="00CC516B">
      <w:pPr>
        <w:pStyle w:val="NoSpacing"/>
        <w:suppressAutoHyphens/>
        <w:ind w:left="360"/>
        <w:jc w:val="center"/>
        <w:rPr>
          <w:rFonts w:ascii="Arial" w:hAnsi="Arial" w:cs="Arial"/>
          <w:b/>
          <w:sz w:val="22"/>
          <w:szCs w:val="18"/>
        </w:rPr>
      </w:pPr>
      <w:r w:rsidRPr="00851ECC">
        <w:rPr>
          <w:rFonts w:ascii="Arial" w:hAnsi="Arial" w:cs="Arial"/>
          <w:b/>
          <w:sz w:val="22"/>
          <w:szCs w:val="18"/>
        </w:rPr>
        <w:lastRenderedPageBreak/>
        <w:t xml:space="preserve">Table </w:t>
      </w:r>
      <w:r>
        <w:rPr>
          <w:rFonts w:ascii="Arial" w:hAnsi="Arial" w:cs="Arial"/>
          <w:b/>
          <w:sz w:val="22"/>
          <w:szCs w:val="18"/>
        </w:rPr>
        <w:t>5</w:t>
      </w:r>
      <w:r w:rsidRPr="00851ECC">
        <w:rPr>
          <w:rFonts w:ascii="Arial" w:hAnsi="Arial" w:cs="Arial"/>
          <w:b/>
          <w:sz w:val="22"/>
          <w:szCs w:val="18"/>
        </w:rPr>
        <w:t>. Number</w:t>
      </w:r>
      <w:r w:rsidRPr="00C2514D">
        <w:rPr>
          <w:rFonts w:ascii="Arial" w:hAnsi="Arial" w:cs="Arial"/>
          <w:b/>
          <w:sz w:val="22"/>
          <w:szCs w:val="18"/>
        </w:rPr>
        <w:t xml:space="preserve"> of exporters </w:t>
      </w:r>
      <w:r>
        <w:rPr>
          <w:rFonts w:ascii="Arial" w:hAnsi="Arial" w:cs="Arial"/>
          <w:b/>
          <w:sz w:val="22"/>
          <w:szCs w:val="18"/>
        </w:rPr>
        <w:t xml:space="preserve">and transactions </w:t>
      </w:r>
      <w:r w:rsidRPr="00C2514D">
        <w:rPr>
          <w:rFonts w:ascii="Arial" w:hAnsi="Arial" w:cs="Arial"/>
          <w:b/>
          <w:sz w:val="22"/>
          <w:szCs w:val="18"/>
        </w:rPr>
        <w:t>per non-traditional product</w:t>
      </w:r>
    </w:p>
    <w:tbl>
      <w:tblPr>
        <w:tblW w:w="910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594"/>
        <w:gridCol w:w="594"/>
        <w:gridCol w:w="595"/>
        <w:gridCol w:w="594"/>
        <w:gridCol w:w="594"/>
        <w:gridCol w:w="222"/>
        <w:gridCol w:w="572"/>
        <w:gridCol w:w="572"/>
        <w:gridCol w:w="572"/>
        <w:gridCol w:w="572"/>
        <w:gridCol w:w="572"/>
      </w:tblGrid>
      <w:tr w:rsidR="00CC516B" w:rsidRPr="00B21098" w:rsidTr="00E26BD2">
        <w:trPr>
          <w:trHeight w:val="278"/>
        </w:trPr>
        <w:tc>
          <w:tcPr>
            <w:tcW w:w="3058" w:type="dxa"/>
            <w:shd w:val="clear" w:color="auto" w:fill="auto"/>
            <w:noWrap/>
            <w:vAlign w:val="bottom"/>
          </w:tcPr>
          <w:p w:rsidR="00CC516B" w:rsidRPr="00312D54" w:rsidRDefault="00CC516B" w:rsidP="00E26BD2">
            <w:pPr>
              <w:jc w:val="center"/>
              <w:rPr>
                <w:rFonts w:ascii="Arial" w:hAnsi="Arial" w:cs="Arial"/>
                <w:color w:val="000000"/>
                <w:spacing w:val="0"/>
                <w:sz w:val="16"/>
                <w:szCs w:val="18"/>
                <w:lang w:val="en-US"/>
              </w:rPr>
            </w:pPr>
            <w:r w:rsidRPr="00312D54">
              <w:rPr>
                <w:rFonts w:ascii="Arial" w:hAnsi="Arial" w:cs="Arial"/>
                <w:color w:val="000000"/>
                <w:spacing w:val="0"/>
                <w:sz w:val="16"/>
                <w:szCs w:val="18"/>
                <w:lang w:val="en-US"/>
              </w:rPr>
              <w:t>Product</w:t>
            </w:r>
          </w:p>
        </w:tc>
        <w:tc>
          <w:tcPr>
            <w:tcW w:w="2973" w:type="dxa"/>
            <w:gridSpan w:val="5"/>
            <w:shd w:val="clear" w:color="auto" w:fill="auto"/>
            <w:noWrap/>
            <w:vAlign w:val="bottom"/>
          </w:tcPr>
          <w:p w:rsidR="00CC516B" w:rsidRPr="00312D54" w:rsidRDefault="00CC516B" w:rsidP="00E26BD2">
            <w:pPr>
              <w:jc w:val="center"/>
              <w:rPr>
                <w:rFonts w:ascii="Arial" w:hAnsi="Arial" w:cs="Arial"/>
                <w:color w:val="000000"/>
                <w:spacing w:val="0"/>
                <w:sz w:val="16"/>
                <w:szCs w:val="18"/>
                <w:lang w:val="en-US"/>
              </w:rPr>
            </w:pPr>
            <w:r w:rsidRPr="00312D54">
              <w:rPr>
                <w:rFonts w:ascii="Arial" w:hAnsi="Arial" w:cs="Arial"/>
                <w:color w:val="000000"/>
                <w:spacing w:val="0"/>
                <w:sz w:val="16"/>
                <w:szCs w:val="18"/>
                <w:lang w:val="en-US"/>
              </w:rPr>
              <w:t>Exporters</w:t>
            </w:r>
          </w:p>
        </w:tc>
        <w:tc>
          <w:tcPr>
            <w:tcW w:w="236" w:type="dxa"/>
          </w:tcPr>
          <w:p w:rsidR="00CC516B" w:rsidRPr="00B21098" w:rsidRDefault="00CC516B" w:rsidP="00E26BD2">
            <w:pPr>
              <w:jc w:val="center"/>
              <w:rPr>
                <w:rFonts w:ascii="Arial" w:hAnsi="Arial" w:cs="Arial"/>
                <w:color w:val="000000"/>
                <w:spacing w:val="0"/>
                <w:sz w:val="16"/>
                <w:szCs w:val="18"/>
                <w:lang w:val="en-US"/>
              </w:rPr>
            </w:pPr>
          </w:p>
        </w:tc>
        <w:tc>
          <w:tcPr>
            <w:tcW w:w="2841" w:type="dxa"/>
            <w:gridSpan w:val="5"/>
            <w:vAlign w:val="bottom"/>
          </w:tcPr>
          <w:p w:rsidR="00CC516B" w:rsidRPr="00312D54" w:rsidRDefault="00CC516B" w:rsidP="00E26BD2">
            <w:pPr>
              <w:jc w:val="center"/>
              <w:rPr>
                <w:rFonts w:ascii="Arial" w:hAnsi="Arial" w:cs="Arial"/>
                <w:color w:val="000000"/>
                <w:spacing w:val="0"/>
                <w:sz w:val="16"/>
                <w:szCs w:val="18"/>
                <w:lang w:val="en-US"/>
              </w:rPr>
            </w:pPr>
            <w:r w:rsidRPr="00312D54">
              <w:rPr>
                <w:rFonts w:ascii="Arial" w:hAnsi="Arial" w:cs="Arial"/>
                <w:color w:val="000000"/>
                <w:spacing w:val="0"/>
                <w:sz w:val="16"/>
                <w:szCs w:val="18"/>
                <w:lang w:val="en-US"/>
              </w:rPr>
              <w:t>Transactions</w:t>
            </w:r>
          </w:p>
        </w:tc>
      </w:tr>
      <w:tr w:rsidR="00CC516B" w:rsidRPr="00B21098" w:rsidTr="00E26BD2">
        <w:trPr>
          <w:trHeight w:val="300"/>
        </w:trPr>
        <w:tc>
          <w:tcPr>
            <w:tcW w:w="3058" w:type="dxa"/>
            <w:shd w:val="clear" w:color="auto" w:fill="auto"/>
            <w:noWrap/>
            <w:vAlign w:val="bottom"/>
          </w:tcPr>
          <w:p w:rsidR="00CC516B" w:rsidRPr="00312D54" w:rsidRDefault="00CC516B" w:rsidP="00E26BD2">
            <w:pPr>
              <w:jc w:val="center"/>
              <w:rPr>
                <w:rFonts w:ascii="Arial" w:hAnsi="Arial" w:cs="Arial"/>
                <w:color w:val="000000"/>
                <w:spacing w:val="0"/>
                <w:sz w:val="16"/>
                <w:szCs w:val="18"/>
                <w:lang w:val="en-US"/>
              </w:rPr>
            </w:pPr>
          </w:p>
        </w:tc>
        <w:tc>
          <w:tcPr>
            <w:tcW w:w="595" w:type="dxa"/>
            <w:shd w:val="clear" w:color="auto" w:fill="auto"/>
            <w:noWrap/>
            <w:vAlign w:val="bottom"/>
          </w:tcPr>
          <w:p w:rsidR="00CC516B" w:rsidRPr="00312D54" w:rsidRDefault="00CC516B" w:rsidP="00E26BD2">
            <w:pPr>
              <w:jc w:val="center"/>
              <w:rPr>
                <w:rFonts w:ascii="Arial" w:hAnsi="Arial" w:cs="Arial"/>
                <w:color w:val="000000"/>
                <w:spacing w:val="0"/>
                <w:sz w:val="16"/>
                <w:szCs w:val="18"/>
                <w:lang w:val="en-US"/>
              </w:rPr>
            </w:pPr>
            <w:r w:rsidRPr="00312D54">
              <w:rPr>
                <w:rFonts w:ascii="Arial" w:hAnsi="Arial" w:cs="Arial"/>
                <w:color w:val="000000"/>
                <w:spacing w:val="0"/>
                <w:sz w:val="16"/>
                <w:szCs w:val="18"/>
                <w:lang w:val="en-US"/>
              </w:rPr>
              <w:t>2011</w:t>
            </w:r>
          </w:p>
        </w:tc>
        <w:tc>
          <w:tcPr>
            <w:tcW w:w="595" w:type="dxa"/>
            <w:shd w:val="clear" w:color="auto" w:fill="auto"/>
            <w:noWrap/>
            <w:vAlign w:val="bottom"/>
          </w:tcPr>
          <w:p w:rsidR="00CC516B" w:rsidRPr="00312D54" w:rsidRDefault="00CC516B" w:rsidP="00E26BD2">
            <w:pPr>
              <w:jc w:val="center"/>
              <w:rPr>
                <w:rFonts w:ascii="Arial" w:hAnsi="Arial" w:cs="Arial"/>
                <w:color w:val="000000"/>
                <w:spacing w:val="0"/>
                <w:sz w:val="16"/>
                <w:szCs w:val="18"/>
                <w:lang w:val="en-US"/>
              </w:rPr>
            </w:pPr>
            <w:r w:rsidRPr="00312D54">
              <w:rPr>
                <w:rFonts w:ascii="Arial" w:hAnsi="Arial" w:cs="Arial"/>
                <w:color w:val="000000"/>
                <w:spacing w:val="0"/>
                <w:sz w:val="16"/>
                <w:szCs w:val="18"/>
                <w:lang w:val="en-US"/>
              </w:rPr>
              <w:t>2012</w:t>
            </w:r>
          </w:p>
        </w:tc>
        <w:tc>
          <w:tcPr>
            <w:tcW w:w="595" w:type="dxa"/>
            <w:shd w:val="clear" w:color="auto" w:fill="auto"/>
            <w:noWrap/>
            <w:vAlign w:val="bottom"/>
          </w:tcPr>
          <w:p w:rsidR="00CC516B" w:rsidRPr="00312D54" w:rsidRDefault="00CC516B" w:rsidP="00E26BD2">
            <w:pPr>
              <w:jc w:val="center"/>
              <w:rPr>
                <w:rFonts w:ascii="Arial" w:hAnsi="Arial" w:cs="Arial"/>
                <w:color w:val="000000"/>
                <w:spacing w:val="0"/>
                <w:sz w:val="16"/>
                <w:szCs w:val="18"/>
                <w:lang w:val="en-US"/>
              </w:rPr>
            </w:pPr>
            <w:r w:rsidRPr="00312D54">
              <w:rPr>
                <w:rFonts w:ascii="Arial" w:hAnsi="Arial" w:cs="Arial"/>
                <w:color w:val="000000"/>
                <w:spacing w:val="0"/>
                <w:sz w:val="16"/>
                <w:szCs w:val="18"/>
                <w:lang w:val="en-US"/>
              </w:rPr>
              <w:t>2013</w:t>
            </w:r>
          </w:p>
        </w:tc>
        <w:tc>
          <w:tcPr>
            <w:tcW w:w="594" w:type="dxa"/>
            <w:shd w:val="clear" w:color="auto" w:fill="auto"/>
            <w:noWrap/>
            <w:vAlign w:val="bottom"/>
          </w:tcPr>
          <w:p w:rsidR="00CC516B" w:rsidRPr="00312D54" w:rsidRDefault="00CC516B" w:rsidP="00E26BD2">
            <w:pPr>
              <w:jc w:val="center"/>
              <w:rPr>
                <w:rFonts w:ascii="Arial" w:hAnsi="Arial" w:cs="Arial"/>
                <w:color w:val="000000"/>
                <w:spacing w:val="0"/>
                <w:sz w:val="16"/>
                <w:szCs w:val="18"/>
                <w:lang w:val="en-US"/>
              </w:rPr>
            </w:pPr>
            <w:r w:rsidRPr="00312D54">
              <w:rPr>
                <w:rFonts w:ascii="Arial" w:hAnsi="Arial" w:cs="Arial"/>
                <w:color w:val="000000"/>
                <w:spacing w:val="0"/>
                <w:sz w:val="16"/>
                <w:szCs w:val="18"/>
                <w:lang w:val="en-US"/>
              </w:rPr>
              <w:t>2014</w:t>
            </w:r>
          </w:p>
        </w:tc>
        <w:tc>
          <w:tcPr>
            <w:tcW w:w="594" w:type="dxa"/>
            <w:shd w:val="clear" w:color="auto" w:fill="auto"/>
            <w:noWrap/>
            <w:vAlign w:val="bottom"/>
          </w:tcPr>
          <w:p w:rsidR="00CC516B" w:rsidRPr="00312D54" w:rsidRDefault="00CC516B" w:rsidP="00E26BD2">
            <w:pPr>
              <w:jc w:val="center"/>
              <w:rPr>
                <w:rFonts w:ascii="Arial" w:hAnsi="Arial" w:cs="Arial"/>
                <w:color w:val="000000"/>
                <w:spacing w:val="0"/>
                <w:sz w:val="16"/>
                <w:szCs w:val="18"/>
                <w:lang w:val="en-US"/>
              </w:rPr>
            </w:pPr>
            <w:r w:rsidRPr="00312D54">
              <w:rPr>
                <w:rFonts w:ascii="Arial" w:hAnsi="Arial" w:cs="Arial"/>
                <w:color w:val="000000"/>
                <w:spacing w:val="0"/>
                <w:sz w:val="16"/>
                <w:szCs w:val="18"/>
                <w:lang w:val="en-US"/>
              </w:rPr>
              <w:t>2015</w:t>
            </w:r>
          </w:p>
        </w:tc>
        <w:tc>
          <w:tcPr>
            <w:tcW w:w="236" w:type="dxa"/>
          </w:tcPr>
          <w:p w:rsidR="00CC516B" w:rsidRPr="00B21098" w:rsidRDefault="00CC516B" w:rsidP="00E26BD2">
            <w:pPr>
              <w:jc w:val="center"/>
              <w:rPr>
                <w:rFonts w:ascii="Arial" w:hAnsi="Arial" w:cs="Arial"/>
                <w:color w:val="000000"/>
                <w:spacing w:val="0"/>
                <w:sz w:val="16"/>
                <w:szCs w:val="18"/>
                <w:lang w:val="en-US"/>
              </w:rPr>
            </w:pPr>
          </w:p>
        </w:tc>
        <w:tc>
          <w:tcPr>
            <w:tcW w:w="557" w:type="dxa"/>
            <w:vAlign w:val="bottom"/>
          </w:tcPr>
          <w:p w:rsidR="00CC516B" w:rsidRPr="00312D54" w:rsidRDefault="00CC516B" w:rsidP="00E26BD2">
            <w:pPr>
              <w:jc w:val="center"/>
              <w:rPr>
                <w:rFonts w:ascii="Arial" w:hAnsi="Arial" w:cs="Arial"/>
                <w:color w:val="000000"/>
                <w:spacing w:val="0"/>
                <w:sz w:val="16"/>
                <w:szCs w:val="18"/>
                <w:lang w:val="en-US"/>
              </w:rPr>
            </w:pPr>
            <w:r w:rsidRPr="00312D54">
              <w:rPr>
                <w:rFonts w:ascii="Arial" w:hAnsi="Arial" w:cs="Arial"/>
                <w:color w:val="000000"/>
                <w:spacing w:val="0"/>
                <w:sz w:val="16"/>
                <w:szCs w:val="18"/>
                <w:lang w:val="en-US"/>
              </w:rPr>
              <w:t>2011</w:t>
            </w:r>
          </w:p>
        </w:tc>
        <w:tc>
          <w:tcPr>
            <w:tcW w:w="571" w:type="dxa"/>
            <w:vAlign w:val="bottom"/>
          </w:tcPr>
          <w:p w:rsidR="00CC516B" w:rsidRPr="00312D54" w:rsidRDefault="00CC516B" w:rsidP="00E26BD2">
            <w:pPr>
              <w:jc w:val="center"/>
              <w:rPr>
                <w:rFonts w:ascii="Arial" w:hAnsi="Arial" w:cs="Arial"/>
                <w:color w:val="000000"/>
                <w:spacing w:val="0"/>
                <w:sz w:val="16"/>
                <w:szCs w:val="18"/>
                <w:lang w:val="en-US"/>
              </w:rPr>
            </w:pPr>
            <w:r w:rsidRPr="00312D54">
              <w:rPr>
                <w:rFonts w:ascii="Arial" w:hAnsi="Arial" w:cs="Arial"/>
                <w:color w:val="000000"/>
                <w:spacing w:val="0"/>
                <w:sz w:val="16"/>
                <w:szCs w:val="18"/>
                <w:lang w:val="en-US"/>
              </w:rPr>
              <w:t>2012</w:t>
            </w:r>
          </w:p>
        </w:tc>
        <w:tc>
          <w:tcPr>
            <w:tcW w:w="571" w:type="dxa"/>
            <w:vAlign w:val="bottom"/>
          </w:tcPr>
          <w:p w:rsidR="00CC516B" w:rsidRPr="00312D54" w:rsidRDefault="00CC516B" w:rsidP="00E26BD2">
            <w:pPr>
              <w:jc w:val="center"/>
              <w:rPr>
                <w:rFonts w:ascii="Arial" w:hAnsi="Arial" w:cs="Arial"/>
                <w:color w:val="000000"/>
                <w:spacing w:val="0"/>
                <w:sz w:val="16"/>
                <w:szCs w:val="18"/>
                <w:lang w:val="en-US"/>
              </w:rPr>
            </w:pPr>
            <w:r w:rsidRPr="00312D54">
              <w:rPr>
                <w:rFonts w:ascii="Arial" w:hAnsi="Arial" w:cs="Arial"/>
                <w:color w:val="000000"/>
                <w:spacing w:val="0"/>
                <w:sz w:val="16"/>
                <w:szCs w:val="18"/>
                <w:lang w:val="en-US"/>
              </w:rPr>
              <w:t>2013</w:t>
            </w:r>
          </w:p>
        </w:tc>
        <w:tc>
          <w:tcPr>
            <w:tcW w:w="571" w:type="dxa"/>
            <w:vAlign w:val="bottom"/>
          </w:tcPr>
          <w:p w:rsidR="00CC516B" w:rsidRPr="00312D54" w:rsidRDefault="00CC516B" w:rsidP="00E26BD2">
            <w:pPr>
              <w:jc w:val="center"/>
              <w:rPr>
                <w:rFonts w:ascii="Arial" w:hAnsi="Arial" w:cs="Arial"/>
                <w:color w:val="000000"/>
                <w:spacing w:val="0"/>
                <w:sz w:val="16"/>
                <w:szCs w:val="18"/>
                <w:lang w:val="en-US"/>
              </w:rPr>
            </w:pPr>
            <w:r w:rsidRPr="00312D54">
              <w:rPr>
                <w:rFonts w:ascii="Arial" w:hAnsi="Arial" w:cs="Arial"/>
                <w:color w:val="000000"/>
                <w:spacing w:val="0"/>
                <w:sz w:val="16"/>
                <w:szCs w:val="18"/>
                <w:lang w:val="en-US"/>
              </w:rPr>
              <w:t>2014</w:t>
            </w:r>
          </w:p>
        </w:tc>
        <w:tc>
          <w:tcPr>
            <w:tcW w:w="571" w:type="dxa"/>
            <w:vAlign w:val="bottom"/>
          </w:tcPr>
          <w:p w:rsidR="00CC516B" w:rsidRPr="00312D54" w:rsidRDefault="00CC516B" w:rsidP="00E26BD2">
            <w:pPr>
              <w:jc w:val="center"/>
              <w:rPr>
                <w:rFonts w:ascii="Arial" w:hAnsi="Arial" w:cs="Arial"/>
                <w:color w:val="000000"/>
                <w:spacing w:val="0"/>
                <w:sz w:val="16"/>
                <w:szCs w:val="18"/>
                <w:lang w:val="en-US"/>
              </w:rPr>
            </w:pPr>
            <w:r w:rsidRPr="00312D54">
              <w:rPr>
                <w:rFonts w:ascii="Arial" w:hAnsi="Arial" w:cs="Arial"/>
                <w:color w:val="000000"/>
                <w:spacing w:val="0"/>
                <w:sz w:val="16"/>
                <w:szCs w:val="18"/>
                <w:lang w:val="en-US"/>
              </w:rPr>
              <w:t>2015</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Achar, kuchela and similar preparations</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19</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23</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28</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36</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30</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60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68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79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72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93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Bora (bodi) beans (Vigna spp.) fresh or chilled</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30</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37</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57</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41</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36</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536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503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499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398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370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Casreep</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16</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25</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47</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43</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47</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22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74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120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145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108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Coconuts, desiccated</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9</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5</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7</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25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11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7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9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Coconuts, in shell</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32</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36</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37</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42</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35</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511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428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373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439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245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Copra</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5</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6</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6</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5</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31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42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26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18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19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Eddoes</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43</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49</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72</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70</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60</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448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355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387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438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326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Flour and meals of copra</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2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Grapefruit, fresh or dried</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21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Guava jams and jellies</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7</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2</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5</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4</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11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2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6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Lemons, fresh or dried</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Limes, fresh or dried</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14</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9</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20</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24</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14</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97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48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64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109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69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Mangoes, fresh or dried</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18</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29</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34</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42</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34</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434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533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449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Pr>
                <w:rFonts w:ascii="Arial" w:hAnsi="Arial" w:cs="Arial"/>
                <w:color w:val="000000"/>
                <w:spacing w:val="0"/>
                <w:sz w:val="16"/>
                <w:szCs w:val="16"/>
                <w:lang w:val="en-US"/>
              </w:rPr>
              <w:t>417</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396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Oranges, fresh or dried</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7</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8</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15</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9</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9</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65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56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53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45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21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Ortaniques, fresh or dried</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4</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2</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8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7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2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Other citrus fruits, fresh or dried</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7</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2</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2</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5</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22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2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5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Other coconuts</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27</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41</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36</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46</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56</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317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302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314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342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355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Other fruits of genus Capsium or of genus Pimenta, dried or crushed</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5</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2</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2</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5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2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2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6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Other mandarins (incl. tangerines &amp; satsumas); clemintines etc</w:t>
            </w:r>
            <w:r w:rsidR="00330567">
              <w:rPr>
                <w:rFonts w:ascii="Arial" w:hAnsi="Arial" w:cs="Arial"/>
                <w:color w:val="000000"/>
                <w:spacing w:val="0"/>
                <w:sz w:val="16"/>
                <w:szCs w:val="18"/>
                <w:lang w:val="en-US"/>
              </w:rPr>
              <w:t>.</w:t>
            </w:r>
            <w:r w:rsidRPr="00312D54">
              <w:rPr>
                <w:rFonts w:ascii="Arial" w:hAnsi="Arial" w:cs="Arial"/>
                <w:color w:val="000000"/>
                <w:spacing w:val="0"/>
                <w:sz w:val="16"/>
                <w:szCs w:val="18"/>
                <w:lang w:val="en-US"/>
              </w:rPr>
              <w:t>, fresh or dried</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6</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4</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14</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5</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48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30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44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39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13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Paprika</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Pepper of the genus dried, neither crushed nor ground</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32</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39</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67</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58</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40</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495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513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646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584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428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Pepper, crushed or ground</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16</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14</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14</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17</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24</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48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28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41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56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90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Pimento (allspice)</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Pineapples</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11</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5</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4</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13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12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Pineapples, fresh or dried</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36</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41</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57</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64</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57</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398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410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444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474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394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Plantains, fresh</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16</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7</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16</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21</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15</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105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21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58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107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65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Pumpkins, fresh or chilled</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33</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39</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61</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61</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39</w:t>
            </w: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311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318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354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330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218 </w:t>
            </w: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color w:val="000000"/>
                <w:spacing w:val="0"/>
                <w:sz w:val="16"/>
                <w:szCs w:val="18"/>
                <w:lang w:val="en-US"/>
              </w:rPr>
            </w:pPr>
            <w:r w:rsidRPr="00312D54">
              <w:rPr>
                <w:rFonts w:ascii="Arial" w:hAnsi="Arial" w:cs="Arial"/>
                <w:color w:val="000000"/>
                <w:spacing w:val="0"/>
                <w:sz w:val="16"/>
                <w:szCs w:val="18"/>
                <w:lang w:val="en-US"/>
              </w:rPr>
              <w:t>Ugli fruit, fresh or dried</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2</w:t>
            </w: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5"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r w:rsidRPr="00312D54">
              <w:rPr>
                <w:rFonts w:ascii="Arial" w:hAnsi="Arial" w:cs="Arial"/>
                <w:color w:val="000000"/>
                <w:spacing w:val="0"/>
                <w:sz w:val="16"/>
                <w:szCs w:val="18"/>
                <w:lang w:val="en-US"/>
              </w:rPr>
              <w:t>1</w:t>
            </w:r>
          </w:p>
        </w:tc>
        <w:tc>
          <w:tcPr>
            <w:tcW w:w="594" w:type="dxa"/>
            <w:shd w:val="clear" w:color="auto" w:fill="auto"/>
            <w:noWrap/>
            <w:vAlign w:val="bottom"/>
            <w:hideMark/>
          </w:tcPr>
          <w:p w:rsidR="00CC516B" w:rsidRPr="00312D54" w:rsidRDefault="00CC516B" w:rsidP="00E26BD2">
            <w:pPr>
              <w:jc w:val="right"/>
              <w:rPr>
                <w:rFonts w:ascii="Arial" w:hAnsi="Arial" w:cs="Arial"/>
                <w:color w:val="000000"/>
                <w:spacing w:val="0"/>
                <w:sz w:val="16"/>
                <w:szCs w:val="18"/>
                <w:lang w:val="en-US"/>
              </w:rPr>
            </w:pPr>
          </w:p>
        </w:tc>
        <w:tc>
          <w:tcPr>
            <w:tcW w:w="236" w:type="dxa"/>
          </w:tcPr>
          <w:p w:rsidR="00CC516B" w:rsidRPr="00B21098" w:rsidRDefault="00CC516B" w:rsidP="00E26BD2">
            <w:pPr>
              <w:jc w:val="right"/>
              <w:rPr>
                <w:rFonts w:ascii="Arial" w:hAnsi="Arial" w:cs="Arial"/>
                <w:color w:val="000000"/>
                <w:spacing w:val="0"/>
                <w:sz w:val="16"/>
                <w:szCs w:val="16"/>
                <w:lang w:val="en-US"/>
              </w:rPr>
            </w:pPr>
          </w:p>
        </w:tc>
        <w:tc>
          <w:tcPr>
            <w:tcW w:w="557"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3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r w:rsidRPr="00312D54">
              <w:rPr>
                <w:rFonts w:ascii="Arial" w:hAnsi="Arial" w:cs="Arial"/>
                <w:color w:val="000000"/>
                <w:spacing w:val="0"/>
                <w:sz w:val="16"/>
                <w:szCs w:val="16"/>
                <w:lang w:val="en-US"/>
              </w:rPr>
              <w:t xml:space="preserve">                   1 </w:t>
            </w:r>
          </w:p>
        </w:tc>
        <w:tc>
          <w:tcPr>
            <w:tcW w:w="571" w:type="dxa"/>
            <w:vAlign w:val="bottom"/>
          </w:tcPr>
          <w:p w:rsidR="00CC516B" w:rsidRPr="00312D54" w:rsidRDefault="00CC516B" w:rsidP="00E26BD2">
            <w:pPr>
              <w:jc w:val="right"/>
              <w:rPr>
                <w:rFonts w:ascii="Arial" w:hAnsi="Arial" w:cs="Arial"/>
                <w:color w:val="000000"/>
                <w:spacing w:val="0"/>
                <w:sz w:val="16"/>
                <w:szCs w:val="16"/>
                <w:lang w:val="en-US"/>
              </w:rPr>
            </w:pPr>
          </w:p>
        </w:tc>
      </w:tr>
      <w:tr w:rsidR="00CC516B" w:rsidRPr="00B21098" w:rsidTr="00E26BD2">
        <w:trPr>
          <w:trHeight w:val="300"/>
        </w:trPr>
        <w:tc>
          <w:tcPr>
            <w:tcW w:w="3058" w:type="dxa"/>
            <w:shd w:val="clear" w:color="auto" w:fill="auto"/>
            <w:noWrap/>
            <w:vAlign w:val="bottom"/>
            <w:hideMark/>
          </w:tcPr>
          <w:p w:rsidR="00CC516B" w:rsidRPr="00312D54" w:rsidRDefault="00CC516B" w:rsidP="00E26BD2">
            <w:pPr>
              <w:rPr>
                <w:rFonts w:ascii="Arial" w:hAnsi="Arial" w:cs="Arial"/>
                <w:b/>
                <w:bCs/>
                <w:color w:val="000000"/>
                <w:spacing w:val="0"/>
                <w:sz w:val="14"/>
                <w:szCs w:val="18"/>
                <w:lang w:val="en-US"/>
              </w:rPr>
            </w:pPr>
            <w:r w:rsidRPr="00312D54">
              <w:rPr>
                <w:rFonts w:ascii="Arial" w:hAnsi="Arial" w:cs="Arial"/>
                <w:b/>
                <w:bCs/>
                <w:color w:val="000000"/>
                <w:spacing w:val="0"/>
                <w:sz w:val="14"/>
                <w:szCs w:val="18"/>
                <w:lang w:val="en-US"/>
              </w:rPr>
              <w:t>Grand Total</w:t>
            </w:r>
          </w:p>
        </w:tc>
        <w:tc>
          <w:tcPr>
            <w:tcW w:w="595" w:type="dxa"/>
            <w:shd w:val="clear" w:color="auto" w:fill="auto"/>
            <w:noWrap/>
            <w:vAlign w:val="bottom"/>
            <w:hideMark/>
          </w:tcPr>
          <w:p w:rsidR="00CC516B" w:rsidRPr="00312D54" w:rsidRDefault="00CC516B" w:rsidP="00E26BD2">
            <w:pPr>
              <w:jc w:val="right"/>
              <w:rPr>
                <w:rFonts w:ascii="Arial" w:hAnsi="Arial" w:cs="Arial"/>
                <w:b/>
                <w:bCs/>
                <w:color w:val="000000"/>
                <w:spacing w:val="0"/>
                <w:sz w:val="14"/>
                <w:szCs w:val="18"/>
                <w:lang w:val="en-US"/>
              </w:rPr>
            </w:pPr>
            <w:r w:rsidRPr="00312D54">
              <w:rPr>
                <w:rFonts w:ascii="Arial" w:hAnsi="Arial" w:cs="Arial"/>
                <w:b/>
                <w:bCs/>
                <w:color w:val="000000"/>
                <w:spacing w:val="0"/>
                <w:sz w:val="14"/>
                <w:szCs w:val="18"/>
                <w:lang w:val="en-US"/>
              </w:rPr>
              <w:t>396</w:t>
            </w:r>
          </w:p>
        </w:tc>
        <w:tc>
          <w:tcPr>
            <w:tcW w:w="595" w:type="dxa"/>
            <w:shd w:val="clear" w:color="auto" w:fill="auto"/>
            <w:noWrap/>
            <w:vAlign w:val="bottom"/>
            <w:hideMark/>
          </w:tcPr>
          <w:p w:rsidR="00CC516B" w:rsidRPr="00312D54" w:rsidRDefault="00CC516B" w:rsidP="00E26BD2">
            <w:pPr>
              <w:jc w:val="right"/>
              <w:rPr>
                <w:rFonts w:ascii="Arial" w:hAnsi="Arial" w:cs="Arial"/>
                <w:b/>
                <w:bCs/>
                <w:color w:val="000000"/>
                <w:spacing w:val="0"/>
                <w:sz w:val="14"/>
                <w:szCs w:val="18"/>
                <w:lang w:val="en-US"/>
              </w:rPr>
            </w:pPr>
            <w:r w:rsidRPr="00312D54">
              <w:rPr>
                <w:rFonts w:ascii="Arial" w:hAnsi="Arial" w:cs="Arial"/>
                <w:b/>
                <w:bCs/>
                <w:color w:val="000000"/>
                <w:spacing w:val="0"/>
                <w:sz w:val="14"/>
                <w:szCs w:val="18"/>
                <w:lang w:val="en-US"/>
              </w:rPr>
              <w:t>424</w:t>
            </w:r>
          </w:p>
        </w:tc>
        <w:tc>
          <w:tcPr>
            <w:tcW w:w="595" w:type="dxa"/>
            <w:shd w:val="clear" w:color="auto" w:fill="auto"/>
            <w:noWrap/>
            <w:vAlign w:val="bottom"/>
            <w:hideMark/>
          </w:tcPr>
          <w:p w:rsidR="00CC516B" w:rsidRPr="00312D54" w:rsidRDefault="00CC516B" w:rsidP="00E26BD2">
            <w:pPr>
              <w:jc w:val="right"/>
              <w:rPr>
                <w:rFonts w:ascii="Arial" w:hAnsi="Arial" w:cs="Arial"/>
                <w:b/>
                <w:bCs/>
                <w:color w:val="000000"/>
                <w:spacing w:val="0"/>
                <w:sz w:val="14"/>
                <w:szCs w:val="18"/>
                <w:lang w:val="en-US"/>
              </w:rPr>
            </w:pPr>
            <w:r w:rsidRPr="00312D54">
              <w:rPr>
                <w:rFonts w:ascii="Arial" w:hAnsi="Arial" w:cs="Arial"/>
                <w:b/>
                <w:bCs/>
                <w:color w:val="000000"/>
                <w:spacing w:val="0"/>
                <w:sz w:val="14"/>
                <w:szCs w:val="18"/>
                <w:lang w:val="en-US"/>
              </w:rPr>
              <w:t>595</w:t>
            </w:r>
          </w:p>
        </w:tc>
        <w:tc>
          <w:tcPr>
            <w:tcW w:w="594" w:type="dxa"/>
            <w:shd w:val="clear" w:color="auto" w:fill="auto"/>
            <w:noWrap/>
            <w:vAlign w:val="bottom"/>
            <w:hideMark/>
          </w:tcPr>
          <w:p w:rsidR="00CC516B" w:rsidRPr="00312D54" w:rsidRDefault="00CC516B" w:rsidP="00E26BD2">
            <w:pPr>
              <w:jc w:val="right"/>
              <w:rPr>
                <w:rFonts w:ascii="Arial" w:hAnsi="Arial" w:cs="Arial"/>
                <w:b/>
                <w:bCs/>
                <w:color w:val="000000"/>
                <w:spacing w:val="0"/>
                <w:sz w:val="14"/>
                <w:szCs w:val="18"/>
                <w:lang w:val="en-US"/>
              </w:rPr>
            </w:pPr>
            <w:r w:rsidRPr="00312D54">
              <w:rPr>
                <w:rFonts w:ascii="Arial" w:hAnsi="Arial" w:cs="Arial"/>
                <w:b/>
                <w:bCs/>
                <w:color w:val="000000"/>
                <w:spacing w:val="0"/>
                <w:sz w:val="14"/>
                <w:szCs w:val="18"/>
                <w:lang w:val="en-US"/>
              </w:rPr>
              <w:t>602</w:t>
            </w:r>
          </w:p>
        </w:tc>
        <w:tc>
          <w:tcPr>
            <w:tcW w:w="594" w:type="dxa"/>
            <w:shd w:val="clear" w:color="auto" w:fill="auto"/>
            <w:noWrap/>
            <w:vAlign w:val="bottom"/>
            <w:hideMark/>
          </w:tcPr>
          <w:p w:rsidR="00CC516B" w:rsidRPr="00312D54" w:rsidRDefault="00CC516B" w:rsidP="00E26BD2">
            <w:pPr>
              <w:jc w:val="right"/>
              <w:rPr>
                <w:rFonts w:ascii="Arial" w:hAnsi="Arial" w:cs="Arial"/>
                <w:b/>
                <w:bCs/>
                <w:color w:val="000000"/>
                <w:spacing w:val="0"/>
                <w:sz w:val="14"/>
                <w:szCs w:val="18"/>
                <w:lang w:val="en-US"/>
              </w:rPr>
            </w:pPr>
            <w:r w:rsidRPr="00312D54">
              <w:rPr>
                <w:rFonts w:ascii="Arial" w:hAnsi="Arial" w:cs="Arial"/>
                <w:b/>
                <w:bCs/>
                <w:color w:val="000000"/>
                <w:spacing w:val="0"/>
                <w:sz w:val="14"/>
                <w:szCs w:val="18"/>
                <w:lang w:val="en-US"/>
              </w:rPr>
              <w:t>529</w:t>
            </w:r>
          </w:p>
        </w:tc>
        <w:tc>
          <w:tcPr>
            <w:tcW w:w="236" w:type="dxa"/>
          </w:tcPr>
          <w:p w:rsidR="00CC516B" w:rsidRPr="00B21098" w:rsidRDefault="00CC516B" w:rsidP="00E26BD2">
            <w:pPr>
              <w:jc w:val="right"/>
              <w:rPr>
                <w:rFonts w:ascii="Arial" w:hAnsi="Arial" w:cs="Arial"/>
                <w:b/>
                <w:bCs/>
                <w:color w:val="000000"/>
                <w:spacing w:val="0"/>
                <w:sz w:val="14"/>
                <w:szCs w:val="16"/>
                <w:lang w:val="en-US"/>
              </w:rPr>
            </w:pPr>
          </w:p>
        </w:tc>
        <w:tc>
          <w:tcPr>
            <w:tcW w:w="557" w:type="dxa"/>
            <w:vAlign w:val="bottom"/>
          </w:tcPr>
          <w:p w:rsidR="00CC516B" w:rsidRPr="00312D54" w:rsidRDefault="00CC516B" w:rsidP="00E26BD2">
            <w:pPr>
              <w:jc w:val="right"/>
              <w:rPr>
                <w:rFonts w:ascii="Arial" w:hAnsi="Arial" w:cs="Arial"/>
                <w:b/>
                <w:bCs/>
                <w:color w:val="000000"/>
                <w:spacing w:val="0"/>
                <w:sz w:val="14"/>
                <w:szCs w:val="16"/>
                <w:lang w:val="en-US"/>
              </w:rPr>
            </w:pPr>
            <w:r w:rsidRPr="00312D54">
              <w:rPr>
                <w:rFonts w:ascii="Arial" w:hAnsi="Arial" w:cs="Arial"/>
                <w:b/>
                <w:bCs/>
                <w:color w:val="000000"/>
                <w:spacing w:val="0"/>
                <w:sz w:val="14"/>
                <w:szCs w:val="16"/>
                <w:lang w:val="en-US"/>
              </w:rPr>
              <w:t xml:space="preserve">                        4,037 </w:t>
            </w:r>
          </w:p>
        </w:tc>
        <w:tc>
          <w:tcPr>
            <w:tcW w:w="571" w:type="dxa"/>
            <w:vAlign w:val="bottom"/>
          </w:tcPr>
          <w:p w:rsidR="00CC516B" w:rsidRPr="00312D54" w:rsidRDefault="00CC516B" w:rsidP="00E26BD2">
            <w:pPr>
              <w:jc w:val="right"/>
              <w:rPr>
                <w:rFonts w:ascii="Arial" w:hAnsi="Arial" w:cs="Arial"/>
                <w:b/>
                <w:bCs/>
                <w:color w:val="000000"/>
                <w:spacing w:val="0"/>
                <w:sz w:val="14"/>
                <w:szCs w:val="16"/>
                <w:lang w:val="en-US"/>
              </w:rPr>
            </w:pPr>
            <w:r w:rsidRPr="00312D54">
              <w:rPr>
                <w:rFonts w:ascii="Arial" w:hAnsi="Arial" w:cs="Arial"/>
                <w:b/>
                <w:bCs/>
                <w:color w:val="000000"/>
                <w:spacing w:val="0"/>
                <w:sz w:val="14"/>
                <w:szCs w:val="16"/>
                <w:lang w:val="en-US"/>
              </w:rPr>
              <w:t xml:space="preserve">           3,769 </w:t>
            </w:r>
          </w:p>
        </w:tc>
        <w:tc>
          <w:tcPr>
            <w:tcW w:w="571" w:type="dxa"/>
            <w:vAlign w:val="bottom"/>
          </w:tcPr>
          <w:p w:rsidR="00CC516B" w:rsidRPr="00312D54" w:rsidRDefault="00CC516B" w:rsidP="00E26BD2">
            <w:pPr>
              <w:jc w:val="right"/>
              <w:rPr>
                <w:rFonts w:ascii="Arial" w:hAnsi="Arial" w:cs="Arial"/>
                <w:b/>
                <w:bCs/>
                <w:color w:val="000000"/>
                <w:spacing w:val="0"/>
                <w:sz w:val="14"/>
                <w:szCs w:val="16"/>
                <w:lang w:val="en-US"/>
              </w:rPr>
            </w:pPr>
            <w:r w:rsidRPr="00312D54">
              <w:rPr>
                <w:rFonts w:ascii="Arial" w:hAnsi="Arial" w:cs="Arial"/>
                <w:b/>
                <w:bCs/>
                <w:color w:val="000000"/>
                <w:spacing w:val="0"/>
                <w:sz w:val="14"/>
                <w:szCs w:val="16"/>
                <w:lang w:val="en-US"/>
              </w:rPr>
              <w:t xml:space="preserve">           3,966 </w:t>
            </w:r>
          </w:p>
        </w:tc>
        <w:tc>
          <w:tcPr>
            <w:tcW w:w="571" w:type="dxa"/>
            <w:vAlign w:val="bottom"/>
          </w:tcPr>
          <w:p w:rsidR="00CC516B" w:rsidRPr="00312D54" w:rsidRDefault="00CC516B" w:rsidP="00E26BD2">
            <w:pPr>
              <w:jc w:val="right"/>
              <w:rPr>
                <w:rFonts w:ascii="Arial" w:hAnsi="Arial" w:cs="Arial"/>
                <w:b/>
                <w:bCs/>
                <w:color w:val="000000"/>
                <w:spacing w:val="0"/>
                <w:sz w:val="14"/>
                <w:szCs w:val="16"/>
                <w:lang w:val="en-US"/>
              </w:rPr>
            </w:pPr>
            <w:r w:rsidRPr="00312D54">
              <w:rPr>
                <w:rFonts w:ascii="Arial" w:hAnsi="Arial" w:cs="Arial"/>
                <w:b/>
                <w:bCs/>
                <w:color w:val="000000"/>
                <w:spacing w:val="0"/>
                <w:sz w:val="14"/>
                <w:szCs w:val="16"/>
                <w:lang w:val="en-US"/>
              </w:rPr>
              <w:t xml:space="preserve">           4,039 </w:t>
            </w:r>
          </w:p>
        </w:tc>
        <w:tc>
          <w:tcPr>
            <w:tcW w:w="571" w:type="dxa"/>
            <w:vAlign w:val="bottom"/>
          </w:tcPr>
          <w:p w:rsidR="00CC516B" w:rsidRPr="00312D54" w:rsidRDefault="00CC516B" w:rsidP="00E26BD2">
            <w:pPr>
              <w:jc w:val="right"/>
              <w:rPr>
                <w:rFonts w:ascii="Arial" w:hAnsi="Arial" w:cs="Arial"/>
                <w:b/>
                <w:bCs/>
                <w:color w:val="000000"/>
                <w:spacing w:val="0"/>
                <w:sz w:val="14"/>
                <w:szCs w:val="16"/>
                <w:lang w:val="en-US"/>
              </w:rPr>
            </w:pPr>
            <w:r w:rsidRPr="00312D54">
              <w:rPr>
                <w:rFonts w:ascii="Arial" w:hAnsi="Arial" w:cs="Arial"/>
                <w:b/>
                <w:bCs/>
                <w:color w:val="000000"/>
                <w:spacing w:val="0"/>
                <w:sz w:val="14"/>
                <w:szCs w:val="16"/>
                <w:lang w:val="en-US"/>
              </w:rPr>
              <w:t xml:space="preserve">           3,235 </w:t>
            </w:r>
          </w:p>
        </w:tc>
      </w:tr>
    </w:tbl>
    <w:p w:rsidR="00CC516B" w:rsidRPr="00C2514D" w:rsidRDefault="00CC516B" w:rsidP="00CC516B">
      <w:pPr>
        <w:pStyle w:val="NoSpacing"/>
        <w:suppressAutoHyphens/>
        <w:ind w:left="360"/>
        <w:jc w:val="left"/>
        <w:rPr>
          <w:rFonts w:ascii="Arial" w:hAnsi="Arial" w:cs="Arial"/>
          <w:sz w:val="18"/>
          <w:szCs w:val="18"/>
        </w:rPr>
      </w:pPr>
      <w:r w:rsidRPr="00C2514D">
        <w:rPr>
          <w:rFonts w:ascii="Arial" w:hAnsi="Arial" w:cs="Arial"/>
          <w:sz w:val="18"/>
          <w:szCs w:val="18"/>
        </w:rPr>
        <w:t>Source: Customs records GRA</w:t>
      </w:r>
    </w:p>
    <w:p w:rsidR="00CC516B" w:rsidRDefault="00CC516B">
      <w:pPr>
        <w:spacing w:after="200" w:line="276" w:lineRule="auto"/>
        <w:rPr>
          <w:rFonts w:ascii="Arial" w:hAnsi="Arial" w:cs="Arial"/>
          <w:sz w:val="22"/>
          <w:szCs w:val="22"/>
          <w:u w:val="single"/>
          <w:lang w:val="en-US"/>
        </w:rPr>
      </w:pPr>
    </w:p>
    <w:p w:rsidR="00CC516B" w:rsidRDefault="00CC516B">
      <w:pPr>
        <w:spacing w:after="200" w:line="276" w:lineRule="auto"/>
        <w:rPr>
          <w:rFonts w:ascii="Arial" w:hAnsi="Arial" w:cs="Arial"/>
          <w:sz w:val="22"/>
          <w:szCs w:val="22"/>
          <w:u w:val="single"/>
          <w:lang w:val="en-US"/>
        </w:rPr>
      </w:pPr>
      <w:r>
        <w:rPr>
          <w:rFonts w:ascii="Arial" w:hAnsi="Arial" w:cs="Arial"/>
          <w:sz w:val="22"/>
          <w:szCs w:val="22"/>
          <w:u w:val="single"/>
          <w:lang w:val="en-US"/>
        </w:rPr>
        <w:br w:type="page"/>
      </w:r>
    </w:p>
    <w:p w:rsidR="00B24E47" w:rsidRDefault="00D6582C" w:rsidP="00507B7D">
      <w:pPr>
        <w:pStyle w:val="Paragraph"/>
        <w:numPr>
          <w:ilvl w:val="0"/>
          <w:numId w:val="0"/>
        </w:numPr>
        <w:tabs>
          <w:tab w:val="num" w:pos="720"/>
        </w:tabs>
        <w:suppressAutoHyphens/>
        <w:autoSpaceDN w:val="0"/>
        <w:spacing w:before="0" w:after="0"/>
        <w:ind w:left="720" w:hanging="720"/>
        <w:textAlignment w:val="baseline"/>
        <w:rPr>
          <w:rFonts w:ascii="Arial" w:hAnsi="Arial" w:cs="Arial"/>
          <w:sz w:val="22"/>
          <w:szCs w:val="22"/>
          <w:u w:val="single"/>
          <w:lang w:val="en-US"/>
        </w:rPr>
      </w:pPr>
      <w:r w:rsidRPr="00C2514D">
        <w:rPr>
          <w:rFonts w:ascii="Arial" w:hAnsi="Arial" w:cs="Arial"/>
          <w:sz w:val="22"/>
          <w:szCs w:val="22"/>
          <w:u w:val="single"/>
          <w:lang w:val="en-US"/>
        </w:rPr>
        <w:lastRenderedPageBreak/>
        <w:t>Data sources</w:t>
      </w:r>
      <w:r w:rsidR="00462C29" w:rsidRPr="00C2514D">
        <w:rPr>
          <w:rFonts w:ascii="Arial" w:hAnsi="Arial" w:cs="Arial"/>
          <w:sz w:val="22"/>
          <w:szCs w:val="22"/>
          <w:u w:val="single"/>
          <w:lang w:val="en-US"/>
        </w:rPr>
        <w:t xml:space="preserve"> (the same as in the Monitoring section)</w:t>
      </w:r>
    </w:p>
    <w:p w:rsidR="00CC516B" w:rsidRPr="00C2514D" w:rsidRDefault="00CC516B" w:rsidP="00507B7D">
      <w:pPr>
        <w:pStyle w:val="Paragraph"/>
        <w:numPr>
          <w:ilvl w:val="0"/>
          <w:numId w:val="0"/>
        </w:numPr>
        <w:tabs>
          <w:tab w:val="num" w:pos="720"/>
        </w:tabs>
        <w:suppressAutoHyphens/>
        <w:autoSpaceDN w:val="0"/>
        <w:spacing w:before="0" w:after="0"/>
        <w:ind w:left="720" w:hanging="720"/>
        <w:textAlignment w:val="baseline"/>
        <w:rPr>
          <w:rFonts w:ascii="Arial" w:hAnsi="Arial" w:cs="Arial"/>
          <w:sz w:val="22"/>
          <w:szCs w:val="22"/>
          <w:u w:val="single"/>
          <w:lang w:val="en-US"/>
        </w:rPr>
      </w:pPr>
    </w:p>
    <w:p w:rsidR="00FF0B31" w:rsidRPr="00C2514D" w:rsidRDefault="00B56728"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The main source of information to conduct the monitoring and evaluation of outcomes will be the customs administrative records collected by the Guyana Revenue Authority and processed by the National Bureau of Statistics. Both institutions have collaborated with aggregate information computed from information at the level of the firm with coverage of the universe of formal firms of the Guyanese economy. For the purposes of the project, an</w:t>
      </w:r>
      <w:r w:rsidR="0094514D" w:rsidRPr="00C2514D">
        <w:rPr>
          <w:rFonts w:ascii="Arial" w:hAnsi="Arial" w:cs="Arial"/>
          <w:sz w:val="22"/>
          <w:szCs w:val="22"/>
          <w:lang w:val="en-US"/>
        </w:rPr>
        <w:t>d</w:t>
      </w:r>
      <w:r w:rsidRPr="00C2514D">
        <w:rPr>
          <w:rFonts w:ascii="Arial" w:hAnsi="Arial" w:cs="Arial"/>
          <w:sz w:val="22"/>
          <w:szCs w:val="22"/>
          <w:lang w:val="en-US"/>
        </w:rPr>
        <w:t xml:space="preserve"> spite of the level of informality of the economy, the formal sector is the relevant target as it is virtually impossible for an informal firm</w:t>
      </w:r>
      <w:r w:rsidR="00D3148E" w:rsidRPr="00C2514D">
        <w:rPr>
          <w:rFonts w:ascii="Arial" w:hAnsi="Arial" w:cs="Arial"/>
          <w:sz w:val="22"/>
          <w:szCs w:val="22"/>
          <w:lang w:val="en-US"/>
        </w:rPr>
        <w:t xml:space="preserve"> to comply with all the requi</w:t>
      </w:r>
      <w:r w:rsidRPr="00C2514D">
        <w:rPr>
          <w:rFonts w:ascii="Arial" w:hAnsi="Arial" w:cs="Arial"/>
          <w:sz w:val="22"/>
          <w:szCs w:val="22"/>
          <w:lang w:val="en-US"/>
        </w:rPr>
        <w:t xml:space="preserve">sites </w:t>
      </w:r>
      <w:r w:rsidR="00842DDE" w:rsidRPr="00C2514D">
        <w:rPr>
          <w:rFonts w:ascii="Arial" w:hAnsi="Arial" w:cs="Arial"/>
          <w:sz w:val="22"/>
          <w:szCs w:val="22"/>
          <w:lang w:val="en-US"/>
        </w:rPr>
        <w:t>(metrology, sanitary, etc.) by importer countries.</w:t>
      </w:r>
    </w:p>
    <w:p w:rsidR="0094514D" w:rsidRPr="00C2514D" w:rsidRDefault="0094514D"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Outcome variables are measured systematically by GRA. Data is transactional and is recorded at the moment of each event of exports. The level of measure is by product by firm. GRA collects several variables (name of firm, product sold, volume sold, value of export, country of destination, number of workers</w:t>
      </w:r>
      <w:r w:rsidR="00851ECC">
        <w:rPr>
          <w:rFonts w:ascii="Arial" w:hAnsi="Arial" w:cs="Arial"/>
          <w:sz w:val="22"/>
          <w:szCs w:val="22"/>
          <w:lang w:val="en-US"/>
        </w:rPr>
        <w:t xml:space="preserve"> as a range value</w:t>
      </w:r>
      <w:r w:rsidRPr="00C2514D">
        <w:rPr>
          <w:rFonts w:ascii="Arial" w:hAnsi="Arial" w:cs="Arial"/>
          <w:sz w:val="22"/>
          <w:szCs w:val="22"/>
          <w:lang w:val="en-US"/>
        </w:rPr>
        <w:t>, etc.). All of these information allow to identify the outcomes of interest, for the types of exporter of interest, for the two groups of interest (treated and non-treated), for several periods, pre and post treatment. For M&amp;E purposes, data will be collapsed yearly for non-traditional producers and for treated and control groups. Contribution of aggregate measures made by GRA during the preparation of this document show that access to aggregate information coming from this sources is feasible and that the monitoring and evaluation activities will not be undermined by data access.</w:t>
      </w:r>
    </w:p>
    <w:p w:rsidR="00842DDE" w:rsidRPr="00C2514D" w:rsidRDefault="0094514D"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 xml:space="preserve">Two complimentary sources of information are also of interest. Annual reports of the Guyana Marketing Corporation and the Central Bank Statistics. Complementary aggregate data will be drawn from these sources (as for example aggregate level of exports). Data availability coming from these sources is also granted. Central Bank produces </w:t>
      </w:r>
      <w:r w:rsidR="00CF29C3" w:rsidRPr="00C2514D">
        <w:rPr>
          <w:rFonts w:ascii="Arial" w:hAnsi="Arial" w:cs="Arial"/>
          <w:sz w:val="22"/>
          <w:szCs w:val="22"/>
          <w:lang w:val="en-US"/>
        </w:rPr>
        <w:t xml:space="preserve">and publishes official aggregate </w:t>
      </w:r>
      <w:r w:rsidRPr="00C2514D">
        <w:rPr>
          <w:rFonts w:ascii="Arial" w:hAnsi="Arial" w:cs="Arial"/>
          <w:sz w:val="22"/>
          <w:szCs w:val="22"/>
          <w:lang w:val="en-US"/>
        </w:rPr>
        <w:t>data on a frequent basis</w:t>
      </w:r>
      <w:r w:rsidR="00CF29C3" w:rsidRPr="00C2514D">
        <w:rPr>
          <w:rFonts w:ascii="Arial" w:hAnsi="Arial" w:cs="Arial"/>
          <w:sz w:val="22"/>
          <w:szCs w:val="22"/>
          <w:lang w:val="en-US"/>
        </w:rPr>
        <w:t>. The Guyana Marketing Corporation Annual report also produces and publishes aggregate information related to non-traditional exports.</w:t>
      </w:r>
    </w:p>
    <w:p w:rsidR="00490356" w:rsidRPr="00C2514D" w:rsidRDefault="00046411" w:rsidP="00490356">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 xml:space="preserve">A third source of information </w:t>
      </w:r>
      <w:r w:rsidR="00D3148E" w:rsidRPr="00C2514D">
        <w:rPr>
          <w:rFonts w:ascii="Arial" w:hAnsi="Arial" w:cs="Arial"/>
          <w:sz w:val="22"/>
          <w:szCs w:val="22"/>
          <w:lang w:val="en-US"/>
        </w:rPr>
        <w:t>will</w:t>
      </w:r>
      <w:r w:rsidRPr="00C2514D">
        <w:rPr>
          <w:rFonts w:ascii="Arial" w:hAnsi="Arial" w:cs="Arial"/>
          <w:sz w:val="22"/>
          <w:szCs w:val="22"/>
          <w:lang w:val="en-US"/>
        </w:rPr>
        <w:t xml:space="preserve"> be</w:t>
      </w:r>
      <w:r w:rsidR="00682C00" w:rsidRPr="00C2514D">
        <w:rPr>
          <w:rFonts w:ascii="Arial" w:hAnsi="Arial" w:cs="Arial"/>
          <w:sz w:val="22"/>
          <w:szCs w:val="22"/>
          <w:lang w:val="en-US"/>
        </w:rPr>
        <w:t xml:space="preserve"> </w:t>
      </w:r>
      <w:r w:rsidRPr="00C2514D">
        <w:rPr>
          <w:rFonts w:ascii="Arial" w:hAnsi="Arial" w:cs="Arial"/>
          <w:sz w:val="22"/>
          <w:szCs w:val="22"/>
          <w:lang w:val="en-US"/>
        </w:rPr>
        <w:t xml:space="preserve">financed by </w:t>
      </w:r>
      <w:r w:rsidR="000F5FB7" w:rsidRPr="00C2514D">
        <w:rPr>
          <w:rFonts w:ascii="Arial" w:hAnsi="Arial" w:cs="Arial"/>
          <w:sz w:val="22"/>
          <w:szCs w:val="22"/>
          <w:lang w:val="en-US"/>
        </w:rPr>
        <w:t>GY</w:t>
      </w:r>
      <w:r w:rsidRPr="00C2514D">
        <w:rPr>
          <w:rFonts w:ascii="Arial" w:hAnsi="Arial" w:cs="Arial"/>
          <w:sz w:val="22"/>
          <w:szCs w:val="22"/>
          <w:lang w:val="en-US"/>
        </w:rPr>
        <w:t>-</w:t>
      </w:r>
      <w:r w:rsidR="000F5FB7" w:rsidRPr="00C2514D">
        <w:rPr>
          <w:rFonts w:ascii="Arial" w:hAnsi="Arial" w:cs="Arial"/>
          <w:sz w:val="22"/>
          <w:szCs w:val="22"/>
          <w:lang w:val="en-US"/>
        </w:rPr>
        <w:t>T</w:t>
      </w:r>
      <w:r w:rsidRPr="00C2514D">
        <w:rPr>
          <w:rFonts w:ascii="Arial" w:hAnsi="Arial" w:cs="Arial"/>
          <w:sz w:val="22"/>
          <w:szCs w:val="22"/>
          <w:lang w:val="en-US"/>
        </w:rPr>
        <w:t xml:space="preserve">1129. </w:t>
      </w:r>
      <w:r w:rsidR="000F5FB7" w:rsidRPr="00C2514D">
        <w:rPr>
          <w:rFonts w:ascii="Arial" w:hAnsi="Arial" w:cs="Arial"/>
          <w:sz w:val="22"/>
          <w:szCs w:val="22"/>
          <w:lang w:val="en-US"/>
        </w:rPr>
        <w:t>The TC will invest US$</w:t>
      </w:r>
      <w:r w:rsidRPr="00C2514D">
        <w:rPr>
          <w:rFonts w:ascii="Arial" w:hAnsi="Arial" w:cs="Arial"/>
          <w:sz w:val="22"/>
          <w:szCs w:val="22"/>
          <w:lang w:val="en-US"/>
        </w:rPr>
        <w:t>200 thousand in generating knowledge aimed at strengthening Guyana’s competitiveness</w:t>
      </w:r>
      <w:r w:rsidR="00524BED" w:rsidRPr="00C2514D">
        <w:rPr>
          <w:rFonts w:ascii="Arial" w:hAnsi="Arial" w:cs="Arial"/>
          <w:sz w:val="22"/>
          <w:szCs w:val="22"/>
          <w:lang w:val="en-US"/>
        </w:rPr>
        <w:t xml:space="preserve"> (the objective of this TC will be to enhance the capacity of the Ministry of Business by providing necessary data for informed decision making. The specific objectives will be to carry out a survey to gather information about the existing laboratories, survey to identify the needs and practices of exporters regarding quality and standards and to carry out facilitating workshops with stakeholders)</w:t>
      </w:r>
      <w:r w:rsidRPr="00C2514D">
        <w:rPr>
          <w:rFonts w:ascii="Arial" w:hAnsi="Arial" w:cs="Arial"/>
          <w:sz w:val="22"/>
          <w:szCs w:val="22"/>
          <w:lang w:val="en-US"/>
        </w:rPr>
        <w:t xml:space="preserve">. </w:t>
      </w:r>
      <w:r w:rsidR="000F5FB7" w:rsidRPr="00C2514D">
        <w:rPr>
          <w:rFonts w:ascii="Arial" w:hAnsi="Arial" w:cs="Arial"/>
          <w:sz w:val="22"/>
          <w:szCs w:val="22"/>
          <w:lang w:val="en-US"/>
        </w:rPr>
        <w:t>US$</w:t>
      </w:r>
      <w:r w:rsidRPr="00C2514D">
        <w:rPr>
          <w:rFonts w:ascii="Arial" w:hAnsi="Arial" w:cs="Arial"/>
          <w:sz w:val="22"/>
          <w:szCs w:val="22"/>
          <w:lang w:val="en-US"/>
        </w:rPr>
        <w:t>70 thousand are earmarked to data generation (survey to exporters) and US</w:t>
      </w:r>
      <w:r w:rsidR="000F5FB7" w:rsidRPr="00C2514D">
        <w:rPr>
          <w:rFonts w:ascii="Arial" w:hAnsi="Arial" w:cs="Arial"/>
          <w:sz w:val="22"/>
          <w:szCs w:val="22"/>
          <w:lang w:val="en-US"/>
        </w:rPr>
        <w:t>$</w:t>
      </w:r>
      <w:r w:rsidRPr="00C2514D">
        <w:rPr>
          <w:rFonts w:ascii="Arial" w:hAnsi="Arial" w:cs="Arial"/>
          <w:sz w:val="22"/>
          <w:szCs w:val="22"/>
          <w:lang w:val="en-US"/>
        </w:rPr>
        <w:t xml:space="preserve">40 are allocated </w:t>
      </w:r>
      <w:r w:rsidR="000F5FB7" w:rsidRPr="00C2514D">
        <w:rPr>
          <w:rFonts w:ascii="Arial" w:hAnsi="Arial" w:cs="Arial"/>
          <w:sz w:val="22"/>
          <w:szCs w:val="22"/>
          <w:lang w:val="en-US"/>
        </w:rPr>
        <w:t>for dissemination and US$</w:t>
      </w:r>
      <w:r w:rsidRPr="00C2514D">
        <w:rPr>
          <w:rFonts w:ascii="Arial" w:hAnsi="Arial" w:cs="Arial"/>
          <w:sz w:val="22"/>
          <w:szCs w:val="22"/>
          <w:lang w:val="en-US"/>
        </w:rPr>
        <w:t>10 for contingencies, all of which could be oriented to complement data collection activities if necessary. The survey will collect</w:t>
      </w:r>
      <w:r w:rsidR="00490356" w:rsidRPr="00C2514D">
        <w:rPr>
          <w:rFonts w:ascii="Arial" w:hAnsi="Arial" w:cs="Arial"/>
          <w:sz w:val="22"/>
          <w:szCs w:val="22"/>
          <w:lang w:val="en-US"/>
        </w:rPr>
        <w:t xml:space="preserve"> data about the cost of use of laboratories for all users of the local network of laboratories benefitted by the program and from exporters non-users of the services of the local network.</w:t>
      </w:r>
    </w:p>
    <w:p w:rsidR="00490356" w:rsidRPr="00C2514D" w:rsidRDefault="00490356" w:rsidP="00462C29">
      <w:pPr>
        <w:pStyle w:val="Paragraph"/>
        <w:numPr>
          <w:ilvl w:val="0"/>
          <w:numId w:val="0"/>
        </w:numPr>
        <w:spacing w:before="0" w:after="0"/>
        <w:ind w:left="720"/>
        <w:rPr>
          <w:rFonts w:ascii="Arial" w:hAnsi="Arial" w:cs="Arial"/>
          <w:sz w:val="22"/>
          <w:szCs w:val="22"/>
          <w:lang w:val="en-US"/>
        </w:rPr>
      </w:pPr>
    </w:p>
    <w:p w:rsidR="00CC516B" w:rsidRDefault="00CC516B">
      <w:pPr>
        <w:spacing w:after="200" w:line="276" w:lineRule="auto"/>
        <w:rPr>
          <w:rFonts w:ascii="Arial" w:hAnsi="Arial" w:cs="Arial"/>
          <w:sz w:val="22"/>
          <w:szCs w:val="22"/>
          <w:u w:val="single"/>
          <w:lang w:val="en-US"/>
        </w:rPr>
      </w:pPr>
      <w:r>
        <w:rPr>
          <w:rFonts w:ascii="Arial" w:hAnsi="Arial" w:cs="Arial"/>
          <w:sz w:val="22"/>
          <w:szCs w:val="22"/>
          <w:u w:val="single"/>
          <w:lang w:val="en-US"/>
        </w:rPr>
        <w:br w:type="page"/>
      </w:r>
    </w:p>
    <w:p w:rsidR="00B24E47" w:rsidRPr="00C2514D" w:rsidRDefault="00D6582C" w:rsidP="00507B7D">
      <w:pPr>
        <w:keepNext/>
        <w:tabs>
          <w:tab w:val="num" w:pos="720"/>
        </w:tabs>
        <w:ind w:left="720" w:hanging="720"/>
        <w:jc w:val="both"/>
        <w:rPr>
          <w:rFonts w:ascii="Arial" w:hAnsi="Arial" w:cs="Arial"/>
          <w:sz w:val="22"/>
          <w:szCs w:val="22"/>
          <w:u w:val="single"/>
          <w:lang w:val="en-US"/>
        </w:rPr>
      </w:pPr>
      <w:r w:rsidRPr="00C2514D">
        <w:rPr>
          <w:rFonts w:ascii="Arial" w:hAnsi="Arial" w:cs="Arial"/>
          <w:sz w:val="22"/>
          <w:szCs w:val="22"/>
          <w:u w:val="single"/>
          <w:lang w:val="en-US"/>
        </w:rPr>
        <w:lastRenderedPageBreak/>
        <w:t>Power calculations</w:t>
      </w:r>
    </w:p>
    <w:p w:rsidR="00637799" w:rsidRPr="00C2514D" w:rsidRDefault="006E3BC9" w:rsidP="007F7364">
      <w:pPr>
        <w:pStyle w:val="Paragraph"/>
        <w:tabs>
          <w:tab w:val="clear" w:pos="1296"/>
          <w:tab w:val="num" w:pos="720"/>
        </w:tabs>
        <w:ind w:left="720" w:hanging="720"/>
        <w:rPr>
          <w:rFonts w:ascii="Arial" w:hAnsi="Arial" w:cs="Arial"/>
          <w:sz w:val="22"/>
          <w:szCs w:val="22"/>
          <w:lang w:val="en-US"/>
        </w:rPr>
      </w:pPr>
      <w:r>
        <w:rPr>
          <w:rFonts w:ascii="Arial" w:hAnsi="Arial" w:cs="Arial"/>
          <w:sz w:val="22"/>
          <w:szCs w:val="22"/>
          <w:lang w:val="en-US"/>
        </w:rPr>
        <w:t xml:space="preserve">GRA provided aggregate processed information for a subsample of exports with identifiable country of destination. The sample included </w:t>
      </w:r>
      <w:r w:rsidR="008031F5">
        <w:rPr>
          <w:rFonts w:ascii="Arial" w:hAnsi="Arial" w:cs="Arial"/>
          <w:sz w:val="22"/>
          <w:szCs w:val="22"/>
          <w:lang w:val="en-US"/>
        </w:rPr>
        <w:t xml:space="preserve">actual </w:t>
      </w:r>
      <w:r>
        <w:rPr>
          <w:rFonts w:ascii="Arial" w:hAnsi="Arial" w:cs="Arial"/>
          <w:sz w:val="22"/>
          <w:szCs w:val="22"/>
          <w:lang w:val="en-US"/>
        </w:rPr>
        <w:t>mea</w:t>
      </w:r>
      <w:r w:rsidR="008031F5">
        <w:rPr>
          <w:rFonts w:ascii="Arial" w:hAnsi="Arial" w:cs="Arial"/>
          <w:sz w:val="22"/>
          <w:szCs w:val="22"/>
          <w:lang w:val="en-US"/>
        </w:rPr>
        <w:t>s</w:t>
      </w:r>
      <w:r>
        <w:rPr>
          <w:rFonts w:ascii="Arial" w:hAnsi="Arial" w:cs="Arial"/>
          <w:sz w:val="22"/>
          <w:szCs w:val="22"/>
          <w:lang w:val="en-US"/>
        </w:rPr>
        <w:t xml:space="preserve">ures of </w:t>
      </w:r>
      <w:r w:rsidR="00F00D92">
        <w:rPr>
          <w:rFonts w:ascii="Arial" w:hAnsi="Arial" w:cs="Arial"/>
          <w:sz w:val="22"/>
          <w:szCs w:val="22"/>
          <w:lang w:val="en-US"/>
        </w:rPr>
        <w:t xml:space="preserve">average and </w:t>
      </w:r>
      <w:r>
        <w:rPr>
          <w:rFonts w:ascii="Arial" w:hAnsi="Arial" w:cs="Arial"/>
          <w:sz w:val="22"/>
          <w:szCs w:val="22"/>
          <w:lang w:val="en-US"/>
        </w:rPr>
        <w:t>standard deviations of exports by exporter per destination country. Based upon such information, coefficients of variation were computed by year in order to approximate the standard deviation/mean ratio. The coefficient hovers around 0.7 for the 2012-2016 period. We assume that after matching</w:t>
      </w:r>
      <w:r w:rsidR="00CB31AE">
        <w:rPr>
          <w:rFonts w:ascii="Arial" w:hAnsi="Arial" w:cs="Arial"/>
          <w:sz w:val="22"/>
          <w:szCs w:val="22"/>
          <w:lang w:val="en-US"/>
        </w:rPr>
        <w:t xml:space="preserve"> the coefficient of variation could be reduced up to 0.5.</w:t>
      </w:r>
      <w:r>
        <w:rPr>
          <w:rFonts w:ascii="Arial" w:hAnsi="Arial" w:cs="Arial"/>
          <w:sz w:val="22"/>
          <w:szCs w:val="22"/>
          <w:lang w:val="en-US"/>
        </w:rPr>
        <w:t xml:space="preserve"> </w:t>
      </w:r>
      <w:r w:rsidR="00637799" w:rsidRPr="00851ECC">
        <w:rPr>
          <w:rFonts w:ascii="Arial" w:hAnsi="Arial" w:cs="Arial"/>
          <w:sz w:val="22"/>
          <w:szCs w:val="22"/>
          <w:lang w:val="en-US"/>
        </w:rPr>
        <w:t xml:space="preserve">Table </w:t>
      </w:r>
      <w:r w:rsidR="00CC516B">
        <w:rPr>
          <w:rFonts w:ascii="Arial" w:hAnsi="Arial" w:cs="Arial"/>
          <w:sz w:val="22"/>
          <w:szCs w:val="22"/>
          <w:lang w:val="en-US"/>
        </w:rPr>
        <w:t>6</w:t>
      </w:r>
      <w:r w:rsidR="00CC516B" w:rsidRPr="00851ECC">
        <w:rPr>
          <w:rFonts w:ascii="Arial" w:hAnsi="Arial" w:cs="Arial"/>
          <w:sz w:val="22"/>
          <w:szCs w:val="22"/>
          <w:lang w:val="en-US"/>
        </w:rPr>
        <w:t xml:space="preserve"> </w:t>
      </w:r>
      <w:r w:rsidR="00637799" w:rsidRPr="00851ECC">
        <w:rPr>
          <w:rFonts w:ascii="Arial" w:hAnsi="Arial" w:cs="Arial"/>
          <w:sz w:val="22"/>
          <w:szCs w:val="22"/>
          <w:lang w:val="en-US"/>
        </w:rPr>
        <w:t>reports the minimum sample required to detect effects of certain size</w:t>
      </w:r>
      <w:r>
        <w:rPr>
          <w:rFonts w:ascii="Arial" w:hAnsi="Arial" w:cs="Arial"/>
          <w:sz w:val="22"/>
          <w:szCs w:val="22"/>
          <w:lang w:val="en-US"/>
        </w:rPr>
        <w:t xml:space="preserve"> for two outcomes (value and volume of non-traditional exports per exporter)</w:t>
      </w:r>
      <w:r w:rsidR="00637799" w:rsidRPr="00851ECC">
        <w:rPr>
          <w:rFonts w:ascii="Arial" w:hAnsi="Arial" w:cs="Arial"/>
          <w:sz w:val="22"/>
          <w:szCs w:val="22"/>
          <w:lang w:val="en-US"/>
        </w:rPr>
        <w:t>. The Table simulates</w:t>
      </w:r>
      <w:r w:rsidR="00637799" w:rsidRPr="00C2514D">
        <w:rPr>
          <w:rFonts w:ascii="Arial" w:hAnsi="Arial" w:cs="Arial"/>
          <w:sz w:val="22"/>
          <w:szCs w:val="22"/>
          <w:lang w:val="en-US"/>
        </w:rPr>
        <w:t xml:space="preserve"> several scenarios for distinct parameter levels:</w:t>
      </w:r>
    </w:p>
    <w:p w:rsidR="00B24E47" w:rsidRPr="00C2514D" w:rsidRDefault="00637799" w:rsidP="00F979AB">
      <w:pPr>
        <w:pStyle w:val="Paragraph"/>
        <w:numPr>
          <w:ilvl w:val="0"/>
          <w:numId w:val="0"/>
        </w:numPr>
        <w:spacing w:before="0" w:after="0"/>
        <w:ind w:left="720"/>
        <w:rPr>
          <w:rFonts w:ascii="Arial" w:hAnsi="Arial" w:cs="Arial"/>
          <w:sz w:val="22"/>
          <w:szCs w:val="22"/>
          <w:lang w:val="en-US"/>
        </w:rPr>
      </w:pPr>
      <w:r w:rsidRPr="00C2514D">
        <w:rPr>
          <w:rFonts w:ascii="Arial" w:hAnsi="Arial" w:cs="Arial"/>
          <w:sz w:val="22"/>
          <w:szCs w:val="22"/>
          <w:lang w:val="en-US"/>
        </w:rPr>
        <w:t>significance (alpha) = .05</w:t>
      </w:r>
    </w:p>
    <w:p w:rsidR="00637799" w:rsidRPr="00C2514D" w:rsidRDefault="00F979AB" w:rsidP="00F979AB">
      <w:pPr>
        <w:pStyle w:val="Paragraph"/>
        <w:numPr>
          <w:ilvl w:val="0"/>
          <w:numId w:val="0"/>
        </w:numPr>
        <w:spacing w:before="0" w:after="0"/>
        <w:ind w:left="720"/>
        <w:rPr>
          <w:rFonts w:ascii="Arial" w:hAnsi="Arial" w:cs="Arial"/>
          <w:sz w:val="22"/>
          <w:szCs w:val="22"/>
          <w:lang w:val="en-US"/>
        </w:rPr>
      </w:pPr>
      <w:r w:rsidRPr="00C2514D">
        <w:rPr>
          <w:rFonts w:ascii="Arial" w:hAnsi="Arial" w:cs="Arial"/>
          <w:sz w:val="22"/>
          <w:szCs w:val="22"/>
          <w:lang w:val="en-US"/>
        </w:rPr>
        <w:t>power (beta) = 0.7, 0.8</w:t>
      </w:r>
    </w:p>
    <w:p w:rsidR="00F979AB" w:rsidRPr="00C2514D" w:rsidRDefault="00F979AB" w:rsidP="00F979AB">
      <w:pPr>
        <w:pStyle w:val="Paragraph"/>
        <w:numPr>
          <w:ilvl w:val="0"/>
          <w:numId w:val="0"/>
        </w:numPr>
        <w:spacing w:before="0" w:after="0"/>
        <w:ind w:left="720"/>
        <w:rPr>
          <w:rFonts w:ascii="Arial" w:hAnsi="Arial" w:cs="Arial"/>
          <w:sz w:val="22"/>
          <w:szCs w:val="22"/>
          <w:lang w:val="en-US"/>
        </w:rPr>
      </w:pPr>
      <w:r w:rsidRPr="00C2514D">
        <w:rPr>
          <w:rFonts w:ascii="Arial" w:hAnsi="Arial" w:cs="Arial"/>
          <w:sz w:val="22"/>
          <w:szCs w:val="22"/>
          <w:lang w:val="en-US"/>
        </w:rPr>
        <w:t>ratio number of control units/number of treated units = 3</w:t>
      </w:r>
    </w:p>
    <w:p w:rsidR="00F979AB" w:rsidRPr="00C2514D" w:rsidRDefault="00F979AB" w:rsidP="00F979AB">
      <w:pPr>
        <w:pStyle w:val="Paragraph"/>
        <w:numPr>
          <w:ilvl w:val="0"/>
          <w:numId w:val="0"/>
        </w:numPr>
        <w:spacing w:before="0" w:after="0"/>
        <w:ind w:left="720"/>
        <w:rPr>
          <w:rFonts w:ascii="Arial" w:hAnsi="Arial" w:cs="Arial"/>
          <w:sz w:val="22"/>
          <w:szCs w:val="22"/>
          <w:lang w:val="en-US"/>
        </w:rPr>
      </w:pPr>
      <w:r w:rsidRPr="00C2514D">
        <w:rPr>
          <w:rFonts w:ascii="Arial" w:hAnsi="Arial" w:cs="Arial"/>
          <w:sz w:val="22"/>
          <w:szCs w:val="22"/>
          <w:lang w:val="en-US"/>
        </w:rPr>
        <w:t>delta = different increment levels of the outcome</w:t>
      </w:r>
    </w:p>
    <w:p w:rsidR="00F979AB" w:rsidRPr="00C2514D" w:rsidRDefault="00F979AB" w:rsidP="00F979AB">
      <w:pPr>
        <w:pStyle w:val="Paragraph"/>
        <w:numPr>
          <w:ilvl w:val="0"/>
          <w:numId w:val="0"/>
        </w:numPr>
        <w:spacing w:before="0" w:after="0"/>
        <w:ind w:left="720"/>
        <w:rPr>
          <w:rFonts w:ascii="Arial" w:hAnsi="Arial" w:cs="Arial"/>
          <w:sz w:val="22"/>
          <w:szCs w:val="22"/>
          <w:lang w:val="en-US"/>
        </w:rPr>
      </w:pPr>
      <w:r w:rsidRPr="00C2514D">
        <w:rPr>
          <w:rFonts w:ascii="Arial" w:hAnsi="Arial" w:cs="Arial"/>
          <w:sz w:val="22"/>
          <w:szCs w:val="22"/>
          <w:lang w:val="en-US"/>
        </w:rPr>
        <w:t>sd = 0.</w:t>
      </w:r>
      <w:r w:rsidR="004F193F">
        <w:rPr>
          <w:rFonts w:ascii="Arial" w:hAnsi="Arial" w:cs="Arial"/>
          <w:sz w:val="22"/>
          <w:szCs w:val="22"/>
          <w:lang w:val="en-US"/>
        </w:rPr>
        <w:t>7</w:t>
      </w:r>
      <w:r w:rsidRPr="00C2514D">
        <w:rPr>
          <w:rFonts w:ascii="Arial" w:hAnsi="Arial" w:cs="Arial"/>
          <w:sz w:val="22"/>
          <w:szCs w:val="22"/>
          <w:lang w:val="en-US"/>
        </w:rPr>
        <w:t xml:space="preserve">*m1, </w:t>
      </w:r>
      <w:r w:rsidR="004F193F">
        <w:rPr>
          <w:rFonts w:ascii="Arial" w:hAnsi="Arial" w:cs="Arial"/>
          <w:sz w:val="22"/>
          <w:szCs w:val="22"/>
          <w:lang w:val="en-US"/>
        </w:rPr>
        <w:t>0.6*</w:t>
      </w:r>
      <w:r w:rsidRPr="00C2514D">
        <w:rPr>
          <w:rFonts w:ascii="Arial" w:hAnsi="Arial" w:cs="Arial"/>
          <w:sz w:val="22"/>
          <w:szCs w:val="22"/>
          <w:lang w:val="en-US"/>
        </w:rPr>
        <w:t xml:space="preserve">m1 and </w:t>
      </w:r>
      <w:r w:rsidR="004F193F">
        <w:rPr>
          <w:rFonts w:ascii="Arial" w:hAnsi="Arial" w:cs="Arial"/>
          <w:sz w:val="22"/>
          <w:szCs w:val="22"/>
          <w:lang w:val="en-US"/>
        </w:rPr>
        <w:t>0.5</w:t>
      </w:r>
      <w:r w:rsidRPr="00C2514D">
        <w:rPr>
          <w:rFonts w:ascii="Arial" w:hAnsi="Arial" w:cs="Arial"/>
          <w:sz w:val="22"/>
          <w:szCs w:val="22"/>
          <w:lang w:val="en-US"/>
        </w:rPr>
        <w:t>*m1</w:t>
      </w:r>
    </w:p>
    <w:p w:rsidR="00F979AB" w:rsidRPr="00C2514D" w:rsidRDefault="00F979AB" w:rsidP="00F979AB">
      <w:pPr>
        <w:pStyle w:val="Paragraph"/>
        <w:numPr>
          <w:ilvl w:val="0"/>
          <w:numId w:val="0"/>
        </w:numPr>
        <w:spacing w:before="0" w:after="0"/>
        <w:ind w:left="720"/>
        <w:rPr>
          <w:rFonts w:ascii="Arial" w:hAnsi="Arial" w:cs="Arial"/>
          <w:sz w:val="22"/>
          <w:szCs w:val="22"/>
          <w:lang w:val="en-US"/>
        </w:rPr>
      </w:pPr>
      <w:r w:rsidRPr="00C2514D">
        <w:rPr>
          <w:rFonts w:ascii="Arial" w:hAnsi="Arial" w:cs="Arial"/>
          <w:sz w:val="22"/>
          <w:szCs w:val="22"/>
          <w:lang w:val="en-US"/>
        </w:rPr>
        <w:t>m1: average value of the outcome at the baseline</w:t>
      </w:r>
    </w:p>
    <w:p w:rsidR="00F979AB" w:rsidRDefault="00F979AB" w:rsidP="00F979AB">
      <w:pPr>
        <w:pStyle w:val="Paragraph"/>
        <w:numPr>
          <w:ilvl w:val="0"/>
          <w:numId w:val="0"/>
        </w:numPr>
        <w:spacing w:before="0" w:after="0"/>
        <w:ind w:left="720"/>
        <w:rPr>
          <w:rFonts w:ascii="Arial" w:hAnsi="Arial" w:cs="Arial"/>
          <w:sz w:val="22"/>
          <w:szCs w:val="22"/>
          <w:lang w:val="en-US"/>
        </w:rPr>
      </w:pPr>
      <w:r w:rsidRPr="00C2514D">
        <w:rPr>
          <w:rFonts w:ascii="Arial" w:hAnsi="Arial" w:cs="Arial"/>
          <w:sz w:val="22"/>
          <w:szCs w:val="22"/>
          <w:lang w:val="en-US"/>
        </w:rPr>
        <w:t>m2: expected value of the outcome for treated at endline</w:t>
      </w:r>
      <w:r w:rsidR="003808F5">
        <w:rPr>
          <w:rFonts w:ascii="Arial" w:hAnsi="Arial" w:cs="Arial"/>
          <w:sz w:val="22"/>
          <w:szCs w:val="22"/>
          <w:lang w:val="en-US"/>
        </w:rPr>
        <w:t xml:space="preserve"> (in line with the target values of the Results Matrix)</w:t>
      </w:r>
    </w:p>
    <w:p w:rsidR="00CC516B" w:rsidRPr="00C2514D" w:rsidRDefault="00CC516B" w:rsidP="00F979AB">
      <w:pPr>
        <w:pStyle w:val="Paragraph"/>
        <w:numPr>
          <w:ilvl w:val="0"/>
          <w:numId w:val="0"/>
        </w:numPr>
        <w:spacing w:before="0" w:after="0"/>
        <w:ind w:left="720"/>
        <w:rPr>
          <w:rFonts w:ascii="Arial" w:hAnsi="Arial" w:cs="Arial"/>
          <w:sz w:val="22"/>
          <w:szCs w:val="22"/>
          <w:lang w:val="en-US"/>
        </w:rPr>
      </w:pPr>
    </w:p>
    <w:p w:rsidR="00637799" w:rsidRPr="00C2514D" w:rsidRDefault="00F979AB" w:rsidP="00E26BD2">
      <w:pPr>
        <w:pStyle w:val="Paragraph"/>
        <w:numPr>
          <w:ilvl w:val="0"/>
          <w:numId w:val="0"/>
        </w:numPr>
        <w:ind w:left="720"/>
        <w:rPr>
          <w:rFonts w:ascii="Arial" w:hAnsi="Arial" w:cs="Arial"/>
          <w:sz w:val="22"/>
          <w:lang w:val="en-US"/>
        </w:rPr>
      </w:pPr>
      <w:r w:rsidRPr="00C2514D">
        <w:rPr>
          <w:rFonts w:ascii="Arial" w:hAnsi="Arial" w:cs="Arial"/>
          <w:sz w:val="22"/>
          <w:lang w:val="en-US"/>
        </w:rPr>
        <w:t xml:space="preserve">Table </w:t>
      </w:r>
      <w:r w:rsidR="00CC516B">
        <w:rPr>
          <w:rFonts w:ascii="Arial" w:hAnsi="Arial" w:cs="Arial"/>
          <w:sz w:val="22"/>
          <w:lang w:val="en-US"/>
        </w:rPr>
        <w:t>6</w:t>
      </w:r>
      <w:r w:rsidRPr="00C2514D">
        <w:rPr>
          <w:rFonts w:ascii="Arial" w:hAnsi="Arial" w:cs="Arial"/>
          <w:sz w:val="22"/>
          <w:lang w:val="en-US"/>
        </w:rPr>
        <w:t xml:space="preserve"> </w:t>
      </w:r>
      <w:r w:rsidR="003808F5">
        <w:rPr>
          <w:rFonts w:ascii="Arial" w:hAnsi="Arial" w:cs="Arial"/>
          <w:sz w:val="22"/>
          <w:lang w:val="en-US"/>
        </w:rPr>
        <w:t>reports sample sizes</w:t>
      </w:r>
      <w:r w:rsidR="005C51F0" w:rsidRPr="00C2514D">
        <w:rPr>
          <w:rFonts w:ascii="Arial" w:hAnsi="Arial" w:cs="Arial"/>
          <w:sz w:val="22"/>
          <w:lang w:val="en-US"/>
        </w:rPr>
        <w:t xml:space="preserve"> </w:t>
      </w:r>
      <w:r w:rsidR="003808F5">
        <w:rPr>
          <w:rFonts w:ascii="Arial" w:hAnsi="Arial" w:cs="Arial"/>
          <w:sz w:val="22"/>
          <w:lang w:val="en-US"/>
        </w:rPr>
        <w:t>necessary</w:t>
      </w:r>
      <w:r w:rsidR="005C51F0" w:rsidRPr="00C2514D">
        <w:rPr>
          <w:rFonts w:ascii="Arial" w:hAnsi="Arial" w:cs="Arial"/>
          <w:sz w:val="22"/>
          <w:lang w:val="en-US"/>
        </w:rPr>
        <w:t xml:space="preserve"> to detect minimum effects</w:t>
      </w:r>
      <w:r w:rsidR="003808F5">
        <w:rPr>
          <w:rFonts w:ascii="Arial" w:hAnsi="Arial" w:cs="Arial"/>
          <w:sz w:val="22"/>
          <w:lang w:val="en-US"/>
        </w:rPr>
        <w:t xml:space="preserve"> for different scenarios of parameters</w:t>
      </w:r>
      <w:r w:rsidR="005C51F0">
        <w:rPr>
          <w:rFonts w:ascii="Arial" w:hAnsi="Arial" w:cs="Arial"/>
          <w:sz w:val="22"/>
          <w:lang w:val="en-US"/>
        </w:rPr>
        <w:t xml:space="preserve">. The Table suggests </w:t>
      </w:r>
      <w:r w:rsidRPr="00C2514D">
        <w:rPr>
          <w:rFonts w:ascii="Arial" w:hAnsi="Arial" w:cs="Arial"/>
          <w:sz w:val="22"/>
          <w:lang w:val="en-US"/>
        </w:rPr>
        <w:t xml:space="preserve">up to about </w:t>
      </w:r>
      <w:r w:rsidR="00CB31AE">
        <w:rPr>
          <w:rFonts w:ascii="Arial" w:hAnsi="Arial" w:cs="Arial"/>
          <w:sz w:val="22"/>
          <w:lang w:val="en-US"/>
        </w:rPr>
        <w:t>500</w:t>
      </w:r>
      <w:r w:rsidR="005C51F0">
        <w:rPr>
          <w:rFonts w:ascii="Arial" w:hAnsi="Arial" w:cs="Arial"/>
          <w:sz w:val="22"/>
          <w:lang w:val="en-US"/>
        </w:rPr>
        <w:t xml:space="preserve"> total observations (roughly the average total number of non-traditional exporters per year</w:t>
      </w:r>
      <w:r w:rsidR="003808F5">
        <w:rPr>
          <w:rFonts w:ascii="Arial" w:hAnsi="Arial" w:cs="Arial"/>
          <w:sz w:val="22"/>
          <w:lang w:val="en-US"/>
        </w:rPr>
        <w:t xml:space="preserve"> observed in the last five years</w:t>
      </w:r>
      <w:r w:rsidR="005C51F0">
        <w:rPr>
          <w:rFonts w:ascii="Arial" w:hAnsi="Arial" w:cs="Arial"/>
          <w:sz w:val="22"/>
          <w:lang w:val="en-US"/>
        </w:rPr>
        <w:t xml:space="preserve">), </w:t>
      </w:r>
      <w:r w:rsidR="00CB31AE">
        <w:rPr>
          <w:rFonts w:ascii="Arial" w:hAnsi="Arial" w:cs="Arial"/>
          <w:sz w:val="22"/>
          <w:lang w:val="en-US"/>
        </w:rPr>
        <w:t>from which between 60 and 150 would need to be treated units</w:t>
      </w:r>
      <w:r w:rsidR="005C51F0">
        <w:rPr>
          <w:rFonts w:ascii="Arial" w:hAnsi="Arial" w:cs="Arial"/>
          <w:sz w:val="22"/>
          <w:lang w:val="en-US"/>
        </w:rPr>
        <w:t>.</w:t>
      </w:r>
      <w:r w:rsidR="00CB31AE" w:rsidRPr="00C2514D">
        <w:rPr>
          <w:rFonts w:ascii="Arial" w:hAnsi="Arial" w:cs="Arial"/>
          <w:sz w:val="22"/>
          <w:lang w:val="en-US"/>
        </w:rPr>
        <w:t xml:space="preserve"> </w:t>
      </w:r>
    </w:p>
    <w:p w:rsidR="00967404" w:rsidRPr="00C734EE" w:rsidRDefault="00967404" w:rsidP="000B0588">
      <w:pPr>
        <w:spacing w:after="200" w:line="276" w:lineRule="auto"/>
        <w:rPr>
          <w:rFonts w:ascii="Arial" w:hAnsi="Arial" w:cs="Arial"/>
          <w:b/>
          <w:sz w:val="22"/>
          <w:szCs w:val="22"/>
          <w:lang w:val="en-US"/>
        </w:rPr>
      </w:pPr>
    </w:p>
    <w:p w:rsidR="00211C9E" w:rsidRPr="00C734EE" w:rsidRDefault="001E2A63" w:rsidP="000B0588">
      <w:pPr>
        <w:spacing w:after="200" w:line="276" w:lineRule="auto"/>
        <w:jc w:val="center"/>
        <w:rPr>
          <w:rFonts w:ascii="Arial" w:hAnsi="Arial" w:cs="Arial"/>
          <w:b/>
          <w:sz w:val="22"/>
          <w:szCs w:val="22"/>
          <w:lang w:val="en-US"/>
        </w:rPr>
      </w:pPr>
      <w:r w:rsidRPr="00C734EE">
        <w:rPr>
          <w:rFonts w:ascii="Arial" w:hAnsi="Arial" w:cs="Arial"/>
          <w:b/>
          <w:sz w:val="22"/>
          <w:szCs w:val="22"/>
          <w:lang w:val="en-US"/>
        </w:rPr>
        <w:t>Table</w:t>
      </w:r>
      <w:r w:rsidR="00DE3464" w:rsidRPr="00C734EE">
        <w:rPr>
          <w:rFonts w:ascii="Arial" w:hAnsi="Arial" w:cs="Arial"/>
          <w:b/>
          <w:sz w:val="22"/>
          <w:szCs w:val="22"/>
          <w:lang w:val="en-US"/>
        </w:rPr>
        <w:t xml:space="preserve"> </w:t>
      </w:r>
      <w:r w:rsidR="00CC516B" w:rsidRPr="00C734EE">
        <w:rPr>
          <w:rFonts w:ascii="Arial" w:hAnsi="Arial" w:cs="Arial"/>
          <w:b/>
          <w:sz w:val="22"/>
          <w:szCs w:val="22"/>
          <w:lang w:val="en-US"/>
        </w:rPr>
        <w:t>6</w:t>
      </w:r>
      <w:r w:rsidR="00B24E47" w:rsidRPr="00C734EE">
        <w:rPr>
          <w:rFonts w:ascii="Arial" w:hAnsi="Arial" w:cs="Arial"/>
          <w:b/>
          <w:sz w:val="22"/>
          <w:szCs w:val="22"/>
          <w:lang w:val="en-US"/>
        </w:rPr>
        <w:t xml:space="preserve">. </w:t>
      </w:r>
      <w:r w:rsidR="003D4D82" w:rsidRPr="00C734EE">
        <w:rPr>
          <w:rFonts w:ascii="Arial" w:hAnsi="Arial" w:cs="Arial"/>
          <w:b/>
          <w:sz w:val="22"/>
          <w:szCs w:val="22"/>
          <w:lang w:val="en-US"/>
        </w:rPr>
        <w:t>Sample size to detect effects of size delta</w:t>
      </w:r>
    </w:p>
    <w:p w:rsidR="00BE60CF" w:rsidRPr="00C2514D" w:rsidRDefault="002E2878" w:rsidP="00BE60CF">
      <w:pPr>
        <w:pStyle w:val="NoSpacing"/>
        <w:suppressAutoHyphens/>
        <w:ind w:left="360"/>
        <w:jc w:val="center"/>
        <w:rPr>
          <w:rFonts w:ascii="Arial" w:hAnsi="Arial" w:cs="Arial"/>
          <w:sz w:val="22"/>
          <w:szCs w:val="22"/>
        </w:rPr>
      </w:pPr>
      <w:r w:rsidRPr="00C2514D">
        <w:rPr>
          <w:rFonts w:ascii="Arial" w:hAnsi="Arial" w:cs="Arial"/>
          <w:sz w:val="22"/>
          <w:szCs w:val="22"/>
        </w:rPr>
        <w:t>a</w:t>
      </w:r>
      <w:r w:rsidR="00BE60CF" w:rsidRPr="00C2514D">
        <w:rPr>
          <w:rFonts w:ascii="Arial" w:hAnsi="Arial" w:cs="Arial"/>
          <w:sz w:val="22"/>
          <w:szCs w:val="22"/>
        </w:rPr>
        <w:t xml:space="preserve">. </w:t>
      </w:r>
      <w:r w:rsidR="00DF550F" w:rsidRPr="00C2514D">
        <w:rPr>
          <w:rFonts w:ascii="Arial" w:hAnsi="Arial" w:cs="Arial"/>
          <w:sz w:val="22"/>
          <w:szCs w:val="22"/>
        </w:rPr>
        <w:t>Value of non-traditional exports</w:t>
      </w:r>
    </w:p>
    <w:tbl>
      <w:tblPr>
        <w:tblW w:w="874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756"/>
        <w:gridCol w:w="987"/>
        <w:gridCol w:w="885"/>
        <w:gridCol w:w="987"/>
        <w:gridCol w:w="720"/>
        <w:gridCol w:w="772"/>
        <w:gridCol w:w="888"/>
        <w:gridCol w:w="888"/>
        <w:gridCol w:w="978"/>
      </w:tblGrid>
      <w:tr w:rsidR="003E2471" w:rsidRPr="00C2514D" w:rsidTr="000B0588">
        <w:trPr>
          <w:trHeight w:val="300"/>
          <w:jc w:val="center"/>
        </w:trPr>
        <w:tc>
          <w:tcPr>
            <w:tcW w:w="887" w:type="dxa"/>
            <w:shd w:val="clear" w:color="auto" w:fill="auto"/>
            <w:noWrap/>
            <w:vAlign w:val="bottom"/>
            <w:hideMark/>
          </w:tcPr>
          <w:p w:rsidR="00DF550F" w:rsidRPr="00C2514D" w:rsidRDefault="00DF550F" w:rsidP="002828DA">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alpha</w:t>
            </w:r>
          </w:p>
        </w:tc>
        <w:tc>
          <w:tcPr>
            <w:tcW w:w="756" w:type="dxa"/>
            <w:shd w:val="clear" w:color="auto" w:fill="auto"/>
            <w:noWrap/>
            <w:vAlign w:val="bottom"/>
            <w:hideMark/>
          </w:tcPr>
          <w:p w:rsidR="00DF550F" w:rsidRPr="00C2514D" w:rsidRDefault="00DF550F" w:rsidP="002828DA">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power</w:t>
            </w:r>
          </w:p>
        </w:tc>
        <w:tc>
          <w:tcPr>
            <w:tcW w:w="987" w:type="dxa"/>
            <w:shd w:val="clear" w:color="auto" w:fill="auto"/>
            <w:noWrap/>
            <w:vAlign w:val="bottom"/>
            <w:hideMark/>
          </w:tcPr>
          <w:p w:rsidR="00DF550F" w:rsidRPr="00C2514D" w:rsidRDefault="00DF550F" w:rsidP="002828DA">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N</w:t>
            </w:r>
          </w:p>
        </w:tc>
        <w:tc>
          <w:tcPr>
            <w:tcW w:w="885" w:type="dxa"/>
            <w:shd w:val="clear" w:color="auto" w:fill="auto"/>
            <w:noWrap/>
            <w:vAlign w:val="bottom"/>
            <w:hideMark/>
          </w:tcPr>
          <w:p w:rsidR="00DF550F" w:rsidRPr="00C2514D" w:rsidRDefault="00DF550F" w:rsidP="002828DA">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N1</w:t>
            </w:r>
          </w:p>
        </w:tc>
        <w:tc>
          <w:tcPr>
            <w:tcW w:w="987" w:type="dxa"/>
            <w:shd w:val="clear" w:color="auto" w:fill="auto"/>
            <w:noWrap/>
            <w:vAlign w:val="bottom"/>
            <w:hideMark/>
          </w:tcPr>
          <w:p w:rsidR="00DF550F" w:rsidRPr="00C2514D" w:rsidRDefault="00DF550F" w:rsidP="002828DA">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N2</w:t>
            </w:r>
          </w:p>
        </w:tc>
        <w:tc>
          <w:tcPr>
            <w:tcW w:w="720" w:type="dxa"/>
            <w:shd w:val="clear" w:color="auto" w:fill="auto"/>
            <w:noWrap/>
            <w:vAlign w:val="bottom"/>
            <w:hideMark/>
          </w:tcPr>
          <w:p w:rsidR="00DF550F" w:rsidRPr="00C2514D" w:rsidRDefault="00DF550F" w:rsidP="002828DA">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nratio</w:t>
            </w:r>
          </w:p>
        </w:tc>
        <w:tc>
          <w:tcPr>
            <w:tcW w:w="772" w:type="dxa"/>
            <w:shd w:val="clear" w:color="auto" w:fill="auto"/>
            <w:noWrap/>
            <w:vAlign w:val="bottom"/>
            <w:hideMark/>
          </w:tcPr>
          <w:p w:rsidR="00DF550F" w:rsidRPr="00C2514D" w:rsidRDefault="00DF550F" w:rsidP="002828DA">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delta</w:t>
            </w:r>
          </w:p>
        </w:tc>
        <w:tc>
          <w:tcPr>
            <w:tcW w:w="888" w:type="dxa"/>
            <w:shd w:val="clear" w:color="auto" w:fill="auto"/>
            <w:noWrap/>
            <w:vAlign w:val="bottom"/>
            <w:hideMark/>
          </w:tcPr>
          <w:p w:rsidR="00DF550F" w:rsidRPr="00C2514D" w:rsidRDefault="00DF550F" w:rsidP="002828DA">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m1</w:t>
            </w:r>
          </w:p>
        </w:tc>
        <w:tc>
          <w:tcPr>
            <w:tcW w:w="888" w:type="dxa"/>
            <w:shd w:val="clear" w:color="auto" w:fill="auto"/>
            <w:noWrap/>
            <w:vAlign w:val="bottom"/>
            <w:hideMark/>
          </w:tcPr>
          <w:p w:rsidR="00DF550F" w:rsidRPr="00C2514D" w:rsidRDefault="00DF550F" w:rsidP="002828DA">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m2</w:t>
            </w:r>
          </w:p>
        </w:tc>
        <w:tc>
          <w:tcPr>
            <w:tcW w:w="978" w:type="dxa"/>
            <w:shd w:val="clear" w:color="auto" w:fill="auto"/>
            <w:noWrap/>
            <w:vAlign w:val="bottom"/>
            <w:hideMark/>
          </w:tcPr>
          <w:p w:rsidR="00DF550F" w:rsidRPr="00C2514D" w:rsidRDefault="00DF550F" w:rsidP="002828DA">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sd</w:t>
            </w:r>
          </w:p>
        </w:tc>
      </w:tr>
      <w:tr w:rsidR="003808F5" w:rsidRPr="00C2514D" w:rsidTr="003808F5">
        <w:trPr>
          <w:trHeight w:val="300"/>
          <w:jc w:val="center"/>
        </w:trPr>
        <w:tc>
          <w:tcPr>
            <w:tcW w:w="8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0.05</w:t>
            </w:r>
          </w:p>
        </w:tc>
        <w:tc>
          <w:tcPr>
            <w:tcW w:w="756"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0.7</w:t>
            </w:r>
          </w:p>
        </w:tc>
        <w:tc>
          <w:tcPr>
            <w:tcW w:w="9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380</w:t>
            </w:r>
          </w:p>
        </w:tc>
        <w:tc>
          <w:tcPr>
            <w:tcW w:w="885"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95</w:t>
            </w:r>
          </w:p>
        </w:tc>
        <w:tc>
          <w:tcPr>
            <w:tcW w:w="9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285</w:t>
            </w:r>
          </w:p>
        </w:tc>
        <w:tc>
          <w:tcPr>
            <w:tcW w:w="720"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3</w:t>
            </w:r>
          </w:p>
        </w:tc>
        <w:tc>
          <w:tcPr>
            <w:tcW w:w="772"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2.4</w:t>
            </w:r>
          </w:p>
        </w:tc>
        <w:tc>
          <w:tcPr>
            <w:tcW w:w="88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11.6</w:t>
            </w:r>
          </w:p>
        </w:tc>
        <w:tc>
          <w:tcPr>
            <w:tcW w:w="88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14</w:t>
            </w:r>
          </w:p>
        </w:tc>
        <w:tc>
          <w:tcPr>
            <w:tcW w:w="97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8.12</w:t>
            </w:r>
          </w:p>
        </w:tc>
      </w:tr>
      <w:tr w:rsidR="003808F5" w:rsidRPr="00C2514D" w:rsidTr="003808F5">
        <w:trPr>
          <w:trHeight w:val="300"/>
          <w:jc w:val="center"/>
        </w:trPr>
        <w:tc>
          <w:tcPr>
            <w:tcW w:w="887" w:type="dxa"/>
            <w:shd w:val="clear" w:color="auto" w:fill="auto"/>
            <w:noWrap/>
            <w:vAlign w:val="bottom"/>
          </w:tcPr>
          <w:p w:rsidR="006756BB" w:rsidRPr="006756BB" w:rsidRDefault="00F00D92" w:rsidP="002828DA">
            <w:pPr>
              <w:jc w:val="center"/>
              <w:rPr>
                <w:rFonts w:ascii="Arial" w:hAnsi="Arial" w:cs="Arial"/>
                <w:color w:val="000000"/>
                <w:sz w:val="18"/>
                <w:szCs w:val="18"/>
                <w:lang w:val="en-US"/>
              </w:rPr>
            </w:pPr>
            <w:r>
              <w:rPr>
                <w:rFonts w:ascii="Calibri" w:hAnsi="Calibri"/>
                <w:color w:val="000000"/>
                <w:sz w:val="22"/>
                <w:szCs w:val="22"/>
              </w:rPr>
              <w:t xml:space="preserve"> </w:t>
            </w:r>
            <w:r w:rsidR="006756BB" w:rsidRPr="006756BB">
              <w:rPr>
                <w:rFonts w:ascii="Calibri" w:hAnsi="Calibri"/>
                <w:color w:val="000000"/>
                <w:sz w:val="22"/>
                <w:szCs w:val="22"/>
              </w:rPr>
              <w:t>0.05</w:t>
            </w:r>
          </w:p>
        </w:tc>
        <w:tc>
          <w:tcPr>
            <w:tcW w:w="756"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0.7</w:t>
            </w:r>
          </w:p>
        </w:tc>
        <w:tc>
          <w:tcPr>
            <w:tcW w:w="9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280</w:t>
            </w:r>
          </w:p>
        </w:tc>
        <w:tc>
          <w:tcPr>
            <w:tcW w:w="885"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70</w:t>
            </w:r>
          </w:p>
        </w:tc>
        <w:tc>
          <w:tcPr>
            <w:tcW w:w="9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210</w:t>
            </w:r>
          </w:p>
        </w:tc>
        <w:tc>
          <w:tcPr>
            <w:tcW w:w="720"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3</w:t>
            </w:r>
          </w:p>
        </w:tc>
        <w:tc>
          <w:tcPr>
            <w:tcW w:w="772"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2.4</w:t>
            </w:r>
          </w:p>
        </w:tc>
        <w:tc>
          <w:tcPr>
            <w:tcW w:w="88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11.6</w:t>
            </w:r>
          </w:p>
        </w:tc>
        <w:tc>
          <w:tcPr>
            <w:tcW w:w="88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14</w:t>
            </w:r>
          </w:p>
        </w:tc>
        <w:tc>
          <w:tcPr>
            <w:tcW w:w="97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6.96</w:t>
            </w:r>
          </w:p>
        </w:tc>
      </w:tr>
      <w:tr w:rsidR="003808F5" w:rsidRPr="00C2514D" w:rsidTr="003808F5">
        <w:trPr>
          <w:trHeight w:val="300"/>
          <w:jc w:val="center"/>
        </w:trPr>
        <w:tc>
          <w:tcPr>
            <w:tcW w:w="8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0.05</w:t>
            </w:r>
          </w:p>
        </w:tc>
        <w:tc>
          <w:tcPr>
            <w:tcW w:w="756"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0.7</w:t>
            </w:r>
          </w:p>
        </w:tc>
        <w:tc>
          <w:tcPr>
            <w:tcW w:w="9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196</w:t>
            </w:r>
          </w:p>
        </w:tc>
        <w:tc>
          <w:tcPr>
            <w:tcW w:w="885"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49</w:t>
            </w:r>
          </w:p>
        </w:tc>
        <w:tc>
          <w:tcPr>
            <w:tcW w:w="9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147</w:t>
            </w:r>
          </w:p>
        </w:tc>
        <w:tc>
          <w:tcPr>
            <w:tcW w:w="720"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3</w:t>
            </w:r>
          </w:p>
        </w:tc>
        <w:tc>
          <w:tcPr>
            <w:tcW w:w="772"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2.4</w:t>
            </w:r>
          </w:p>
        </w:tc>
        <w:tc>
          <w:tcPr>
            <w:tcW w:w="88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11.6</w:t>
            </w:r>
          </w:p>
        </w:tc>
        <w:tc>
          <w:tcPr>
            <w:tcW w:w="88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14</w:t>
            </w:r>
          </w:p>
        </w:tc>
        <w:tc>
          <w:tcPr>
            <w:tcW w:w="97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5.8</w:t>
            </w:r>
          </w:p>
        </w:tc>
      </w:tr>
      <w:tr w:rsidR="003808F5" w:rsidRPr="00C2514D" w:rsidTr="003808F5">
        <w:trPr>
          <w:trHeight w:val="300"/>
          <w:jc w:val="center"/>
        </w:trPr>
        <w:tc>
          <w:tcPr>
            <w:tcW w:w="8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0.05</w:t>
            </w:r>
          </w:p>
        </w:tc>
        <w:tc>
          <w:tcPr>
            <w:tcW w:w="756"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0.8</w:t>
            </w:r>
          </w:p>
        </w:tc>
        <w:tc>
          <w:tcPr>
            <w:tcW w:w="9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484</w:t>
            </w:r>
          </w:p>
        </w:tc>
        <w:tc>
          <w:tcPr>
            <w:tcW w:w="885"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121</w:t>
            </w:r>
          </w:p>
        </w:tc>
        <w:tc>
          <w:tcPr>
            <w:tcW w:w="9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363</w:t>
            </w:r>
          </w:p>
        </w:tc>
        <w:tc>
          <w:tcPr>
            <w:tcW w:w="720"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3</w:t>
            </w:r>
          </w:p>
        </w:tc>
        <w:tc>
          <w:tcPr>
            <w:tcW w:w="772"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2.4</w:t>
            </w:r>
          </w:p>
        </w:tc>
        <w:tc>
          <w:tcPr>
            <w:tcW w:w="88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11.6</w:t>
            </w:r>
          </w:p>
        </w:tc>
        <w:tc>
          <w:tcPr>
            <w:tcW w:w="88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14</w:t>
            </w:r>
          </w:p>
        </w:tc>
        <w:tc>
          <w:tcPr>
            <w:tcW w:w="97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8.12</w:t>
            </w:r>
          </w:p>
        </w:tc>
      </w:tr>
      <w:tr w:rsidR="003808F5" w:rsidRPr="00C2514D" w:rsidTr="003808F5">
        <w:trPr>
          <w:trHeight w:val="300"/>
          <w:jc w:val="center"/>
        </w:trPr>
        <w:tc>
          <w:tcPr>
            <w:tcW w:w="8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0.05</w:t>
            </w:r>
          </w:p>
        </w:tc>
        <w:tc>
          <w:tcPr>
            <w:tcW w:w="756"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0.8</w:t>
            </w:r>
          </w:p>
        </w:tc>
        <w:tc>
          <w:tcPr>
            <w:tcW w:w="9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356</w:t>
            </w:r>
          </w:p>
        </w:tc>
        <w:tc>
          <w:tcPr>
            <w:tcW w:w="885"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89</w:t>
            </w:r>
          </w:p>
        </w:tc>
        <w:tc>
          <w:tcPr>
            <w:tcW w:w="9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267</w:t>
            </w:r>
          </w:p>
        </w:tc>
        <w:tc>
          <w:tcPr>
            <w:tcW w:w="720"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3</w:t>
            </w:r>
          </w:p>
        </w:tc>
        <w:tc>
          <w:tcPr>
            <w:tcW w:w="772"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2.4</w:t>
            </w:r>
          </w:p>
        </w:tc>
        <w:tc>
          <w:tcPr>
            <w:tcW w:w="88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11.6</w:t>
            </w:r>
          </w:p>
        </w:tc>
        <w:tc>
          <w:tcPr>
            <w:tcW w:w="88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14</w:t>
            </w:r>
          </w:p>
        </w:tc>
        <w:tc>
          <w:tcPr>
            <w:tcW w:w="97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6.96</w:t>
            </w:r>
          </w:p>
        </w:tc>
      </w:tr>
      <w:tr w:rsidR="003808F5" w:rsidRPr="00C2514D" w:rsidTr="003808F5">
        <w:trPr>
          <w:trHeight w:val="300"/>
          <w:jc w:val="center"/>
        </w:trPr>
        <w:tc>
          <w:tcPr>
            <w:tcW w:w="8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0.05</w:t>
            </w:r>
          </w:p>
        </w:tc>
        <w:tc>
          <w:tcPr>
            <w:tcW w:w="756"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0.8</w:t>
            </w:r>
          </w:p>
        </w:tc>
        <w:tc>
          <w:tcPr>
            <w:tcW w:w="9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248</w:t>
            </w:r>
          </w:p>
        </w:tc>
        <w:tc>
          <w:tcPr>
            <w:tcW w:w="885"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62</w:t>
            </w:r>
          </w:p>
        </w:tc>
        <w:tc>
          <w:tcPr>
            <w:tcW w:w="987"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186</w:t>
            </w:r>
          </w:p>
        </w:tc>
        <w:tc>
          <w:tcPr>
            <w:tcW w:w="720"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3</w:t>
            </w:r>
          </w:p>
        </w:tc>
        <w:tc>
          <w:tcPr>
            <w:tcW w:w="772"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2.4</w:t>
            </w:r>
          </w:p>
        </w:tc>
        <w:tc>
          <w:tcPr>
            <w:tcW w:w="88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11.6</w:t>
            </w:r>
          </w:p>
        </w:tc>
        <w:tc>
          <w:tcPr>
            <w:tcW w:w="88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14</w:t>
            </w:r>
          </w:p>
        </w:tc>
        <w:tc>
          <w:tcPr>
            <w:tcW w:w="978" w:type="dxa"/>
            <w:shd w:val="clear" w:color="auto" w:fill="auto"/>
            <w:noWrap/>
            <w:vAlign w:val="bottom"/>
          </w:tcPr>
          <w:p w:rsidR="006756BB" w:rsidRPr="006756BB" w:rsidRDefault="006756BB" w:rsidP="002828DA">
            <w:pPr>
              <w:jc w:val="center"/>
              <w:rPr>
                <w:rFonts w:ascii="Arial" w:hAnsi="Arial" w:cs="Arial"/>
                <w:color w:val="000000"/>
                <w:sz w:val="18"/>
                <w:szCs w:val="18"/>
                <w:lang w:val="en-US"/>
              </w:rPr>
            </w:pPr>
            <w:r w:rsidRPr="006756BB">
              <w:rPr>
                <w:rFonts w:ascii="Calibri" w:hAnsi="Calibri"/>
                <w:color w:val="000000"/>
                <w:sz w:val="22"/>
                <w:szCs w:val="22"/>
              </w:rPr>
              <w:t>5.8</w:t>
            </w:r>
          </w:p>
        </w:tc>
      </w:tr>
    </w:tbl>
    <w:p w:rsidR="00DF550F" w:rsidRPr="00C2514D" w:rsidRDefault="00DF550F" w:rsidP="00DF550F">
      <w:pPr>
        <w:pStyle w:val="NoSpacing"/>
        <w:suppressAutoHyphens/>
        <w:ind w:left="360"/>
        <w:jc w:val="center"/>
        <w:rPr>
          <w:rFonts w:ascii="Arial" w:hAnsi="Arial" w:cs="Arial"/>
          <w:sz w:val="22"/>
          <w:szCs w:val="22"/>
        </w:rPr>
      </w:pPr>
      <w:r w:rsidRPr="00C2514D">
        <w:rPr>
          <w:rFonts w:ascii="Arial" w:hAnsi="Arial" w:cs="Arial"/>
          <w:sz w:val="22"/>
          <w:szCs w:val="22"/>
        </w:rPr>
        <w:t>b. Volume of non-traditional exports</w:t>
      </w:r>
    </w:p>
    <w:tbl>
      <w:tblPr>
        <w:tblW w:w="874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761"/>
        <w:gridCol w:w="1058"/>
        <w:gridCol w:w="969"/>
        <w:gridCol w:w="1058"/>
        <w:gridCol w:w="713"/>
        <w:gridCol w:w="760"/>
        <w:gridCol w:w="842"/>
        <w:gridCol w:w="842"/>
        <w:gridCol w:w="872"/>
      </w:tblGrid>
      <w:tr w:rsidR="002828DA" w:rsidRPr="00C2514D" w:rsidTr="000B0588">
        <w:trPr>
          <w:trHeight w:val="300"/>
          <w:jc w:val="center"/>
        </w:trPr>
        <w:tc>
          <w:tcPr>
            <w:tcW w:w="8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28DA" w:rsidRPr="00C2514D" w:rsidRDefault="002828DA" w:rsidP="000B0588">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alpha</w:t>
            </w:r>
          </w:p>
        </w:tc>
        <w:tc>
          <w:tcPr>
            <w:tcW w:w="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28DA" w:rsidRPr="00C2514D" w:rsidRDefault="002828DA" w:rsidP="000B0588">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power</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28DA" w:rsidRPr="00C2514D" w:rsidRDefault="002828DA" w:rsidP="000B0588">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N</w:t>
            </w:r>
          </w:p>
        </w:tc>
        <w:tc>
          <w:tcPr>
            <w:tcW w:w="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28DA" w:rsidRPr="00C2514D" w:rsidRDefault="002828DA" w:rsidP="000B0588">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N1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28DA" w:rsidRPr="00C2514D" w:rsidRDefault="002828DA" w:rsidP="000B0588">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N2</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28DA" w:rsidRPr="00C2514D" w:rsidRDefault="002828DA" w:rsidP="000B0588">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nratio</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28DA" w:rsidRPr="00C2514D" w:rsidRDefault="002828DA" w:rsidP="000B0588">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delta</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28DA" w:rsidRPr="00C2514D" w:rsidRDefault="002828DA" w:rsidP="000B0588">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m1</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28DA" w:rsidRPr="00C2514D" w:rsidRDefault="002828DA" w:rsidP="000B0588">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m2</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28DA" w:rsidRPr="00C2514D" w:rsidRDefault="002828DA" w:rsidP="000B0588">
            <w:pPr>
              <w:jc w:val="center"/>
              <w:rPr>
                <w:rFonts w:ascii="Arial" w:hAnsi="Arial" w:cs="Arial"/>
                <w:color w:val="000000"/>
                <w:spacing w:val="0"/>
                <w:sz w:val="18"/>
                <w:szCs w:val="18"/>
                <w:lang w:val="en-US"/>
              </w:rPr>
            </w:pPr>
            <w:r w:rsidRPr="00C2514D">
              <w:rPr>
                <w:rFonts w:ascii="Arial" w:hAnsi="Arial" w:cs="Arial"/>
                <w:color w:val="000000"/>
                <w:spacing w:val="0"/>
                <w:sz w:val="18"/>
                <w:szCs w:val="18"/>
                <w:lang w:val="en-US"/>
              </w:rPr>
              <w:t>sd</w:t>
            </w:r>
          </w:p>
        </w:tc>
      </w:tr>
      <w:tr w:rsidR="003808F5" w:rsidRPr="00C2514D" w:rsidTr="003808F5">
        <w:trPr>
          <w:trHeight w:val="300"/>
          <w:jc w:val="center"/>
        </w:trPr>
        <w:tc>
          <w:tcPr>
            <w:tcW w:w="87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0.05</w:t>
            </w:r>
          </w:p>
        </w:tc>
        <w:tc>
          <w:tcPr>
            <w:tcW w:w="7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0.7</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584</w:t>
            </w:r>
          </w:p>
        </w:tc>
        <w:tc>
          <w:tcPr>
            <w:tcW w:w="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146</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438</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3</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3</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18</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21</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12.6</w:t>
            </w:r>
          </w:p>
        </w:tc>
      </w:tr>
      <w:tr w:rsidR="003808F5" w:rsidRPr="00C2514D" w:rsidTr="003808F5">
        <w:trPr>
          <w:trHeight w:val="300"/>
          <w:jc w:val="center"/>
        </w:trPr>
        <w:tc>
          <w:tcPr>
            <w:tcW w:w="87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0.05</w:t>
            </w:r>
          </w:p>
        </w:tc>
        <w:tc>
          <w:tcPr>
            <w:tcW w:w="7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0.7</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432</w:t>
            </w:r>
          </w:p>
        </w:tc>
        <w:tc>
          <w:tcPr>
            <w:tcW w:w="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108</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324</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3</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3</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18</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21</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10.8</w:t>
            </w:r>
          </w:p>
        </w:tc>
      </w:tr>
      <w:tr w:rsidR="003808F5" w:rsidRPr="00C2514D" w:rsidTr="003808F5">
        <w:trPr>
          <w:trHeight w:val="300"/>
          <w:jc w:val="center"/>
        </w:trPr>
        <w:tc>
          <w:tcPr>
            <w:tcW w:w="87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0.05</w:t>
            </w:r>
          </w:p>
        </w:tc>
        <w:tc>
          <w:tcPr>
            <w:tcW w:w="7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0.7</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300</w:t>
            </w:r>
          </w:p>
        </w:tc>
        <w:tc>
          <w:tcPr>
            <w:tcW w:w="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75</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225</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3</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3</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18</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21</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9</w:t>
            </w:r>
          </w:p>
        </w:tc>
      </w:tr>
      <w:tr w:rsidR="006756BB" w:rsidRPr="00C2514D" w:rsidTr="000B0588">
        <w:trPr>
          <w:trHeight w:val="300"/>
          <w:jc w:val="center"/>
        </w:trPr>
        <w:tc>
          <w:tcPr>
            <w:tcW w:w="87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0.05</w:t>
            </w:r>
          </w:p>
        </w:tc>
        <w:tc>
          <w:tcPr>
            <w:tcW w:w="7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0.8</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744</w:t>
            </w:r>
          </w:p>
        </w:tc>
        <w:tc>
          <w:tcPr>
            <w:tcW w:w="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186</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558</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3</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3</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18</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21</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12.6</w:t>
            </w:r>
          </w:p>
        </w:tc>
      </w:tr>
      <w:tr w:rsidR="003808F5" w:rsidRPr="00C2514D" w:rsidTr="003808F5">
        <w:trPr>
          <w:trHeight w:val="300"/>
          <w:jc w:val="center"/>
        </w:trPr>
        <w:tc>
          <w:tcPr>
            <w:tcW w:w="87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0.05</w:t>
            </w:r>
          </w:p>
        </w:tc>
        <w:tc>
          <w:tcPr>
            <w:tcW w:w="7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0.8</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548</w:t>
            </w:r>
          </w:p>
        </w:tc>
        <w:tc>
          <w:tcPr>
            <w:tcW w:w="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137</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411</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3</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3</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18</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21</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10.8</w:t>
            </w:r>
          </w:p>
        </w:tc>
      </w:tr>
      <w:tr w:rsidR="003808F5" w:rsidRPr="00C2514D" w:rsidTr="003808F5">
        <w:trPr>
          <w:trHeight w:val="300"/>
          <w:jc w:val="center"/>
        </w:trPr>
        <w:tc>
          <w:tcPr>
            <w:tcW w:w="87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0.05</w:t>
            </w:r>
          </w:p>
        </w:tc>
        <w:tc>
          <w:tcPr>
            <w:tcW w:w="7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0.8</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380</w:t>
            </w:r>
          </w:p>
        </w:tc>
        <w:tc>
          <w:tcPr>
            <w:tcW w:w="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95</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285</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3</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3</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18</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21</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6BB" w:rsidRPr="00C2514D" w:rsidRDefault="006756BB" w:rsidP="002828DA">
            <w:pPr>
              <w:jc w:val="center"/>
              <w:rPr>
                <w:rFonts w:ascii="Arial" w:hAnsi="Arial" w:cs="Arial"/>
                <w:color w:val="000000"/>
                <w:sz w:val="18"/>
                <w:szCs w:val="18"/>
                <w:lang w:val="en-US"/>
              </w:rPr>
            </w:pPr>
            <w:r>
              <w:rPr>
                <w:rFonts w:ascii="Calibri" w:hAnsi="Calibri"/>
                <w:color w:val="000000"/>
                <w:sz w:val="22"/>
                <w:szCs w:val="22"/>
              </w:rPr>
              <w:t>9</w:t>
            </w:r>
          </w:p>
        </w:tc>
      </w:tr>
    </w:tbl>
    <w:p w:rsidR="00720D94" w:rsidRPr="00C2514D" w:rsidRDefault="009F6392" w:rsidP="009F6392">
      <w:pPr>
        <w:ind w:right="630"/>
        <w:jc w:val="both"/>
        <w:rPr>
          <w:rFonts w:ascii="Arial" w:eastAsia="Calibri" w:hAnsi="Arial" w:cs="Arial"/>
          <w:spacing w:val="0"/>
          <w:sz w:val="18"/>
          <w:szCs w:val="24"/>
          <w:lang w:val="en-US"/>
        </w:rPr>
      </w:pPr>
      <w:r w:rsidRPr="00C2514D">
        <w:rPr>
          <w:rFonts w:ascii="Arial" w:eastAsia="Calibri" w:hAnsi="Arial" w:cs="Arial"/>
          <w:spacing w:val="0"/>
          <w:sz w:val="18"/>
          <w:szCs w:val="24"/>
          <w:lang w:val="en-US"/>
        </w:rPr>
        <w:t xml:space="preserve">Source: Own computations (tests of mean comparisons) based on data from </w:t>
      </w:r>
      <w:r w:rsidR="00F979AB" w:rsidRPr="00C2514D">
        <w:rPr>
          <w:rFonts w:ascii="Arial" w:eastAsia="Calibri" w:hAnsi="Arial" w:cs="Arial"/>
          <w:spacing w:val="0"/>
          <w:sz w:val="18"/>
          <w:szCs w:val="24"/>
          <w:lang w:val="en-US"/>
        </w:rPr>
        <w:t>GRA</w:t>
      </w:r>
    </w:p>
    <w:p w:rsidR="00883AA7" w:rsidRPr="00C2514D" w:rsidRDefault="00B30CC9" w:rsidP="00DC2139">
      <w:pPr>
        <w:pStyle w:val="FirstHeading"/>
        <w:ind w:left="720"/>
        <w:rPr>
          <w:rFonts w:ascii="Arial" w:hAnsi="Arial" w:cs="Arial"/>
          <w:sz w:val="22"/>
          <w:szCs w:val="22"/>
          <w:lang w:val="en-US"/>
        </w:rPr>
      </w:pPr>
      <w:r w:rsidRPr="00C2514D">
        <w:rPr>
          <w:rFonts w:ascii="Arial" w:hAnsi="Arial" w:cs="Arial"/>
          <w:sz w:val="22"/>
          <w:szCs w:val="22"/>
          <w:lang w:val="en-US"/>
        </w:rPr>
        <w:lastRenderedPageBreak/>
        <w:t>H.</w:t>
      </w:r>
      <w:r w:rsidRPr="00C2514D">
        <w:rPr>
          <w:rFonts w:ascii="Arial" w:hAnsi="Arial" w:cs="Arial"/>
          <w:sz w:val="22"/>
          <w:szCs w:val="22"/>
          <w:lang w:val="en-US"/>
        </w:rPr>
        <w:tab/>
        <w:t xml:space="preserve"> </w:t>
      </w:r>
      <w:r w:rsidR="00D6582C" w:rsidRPr="00C2514D">
        <w:rPr>
          <w:rFonts w:ascii="Arial" w:hAnsi="Arial" w:cs="Arial"/>
          <w:sz w:val="22"/>
          <w:szCs w:val="22"/>
          <w:lang w:val="en-US"/>
        </w:rPr>
        <w:t>Reporting</w:t>
      </w:r>
    </w:p>
    <w:p w:rsidR="00731522" w:rsidRPr="00C2514D" w:rsidRDefault="00F1539F"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Documents to report the result</w:t>
      </w:r>
      <w:r w:rsidR="00CB0000" w:rsidRPr="00C2514D">
        <w:rPr>
          <w:rFonts w:ascii="Arial" w:hAnsi="Arial" w:cs="Arial"/>
          <w:sz w:val="22"/>
          <w:szCs w:val="22"/>
          <w:lang w:val="en-US"/>
        </w:rPr>
        <w:t xml:space="preserve">s of the impact evaluation during </w:t>
      </w:r>
      <w:r w:rsidRPr="00C2514D">
        <w:rPr>
          <w:rFonts w:ascii="Arial" w:hAnsi="Arial" w:cs="Arial"/>
          <w:sz w:val="22"/>
          <w:szCs w:val="22"/>
          <w:lang w:val="en-US"/>
        </w:rPr>
        <w:t xml:space="preserve">its different stages will be three: (i) Analysis at the baseline, where initial characteristics of control and treated groups will be </w:t>
      </w:r>
      <w:r w:rsidR="00CB0000" w:rsidRPr="00C2514D">
        <w:rPr>
          <w:rFonts w:ascii="Arial" w:hAnsi="Arial" w:cs="Arial"/>
          <w:sz w:val="22"/>
          <w:szCs w:val="22"/>
          <w:lang w:val="en-US"/>
        </w:rPr>
        <w:t xml:space="preserve">compared; (ii) Analysis of follow up line, where first effects of the program (three years after initial investments) will be measured. At this stage, effects will be very limited and the evaluation will serve as a tool to verify the effectiveness of monitoring tools, </w:t>
      </w:r>
      <w:r w:rsidR="00731522" w:rsidRPr="00C2514D">
        <w:rPr>
          <w:rFonts w:ascii="Arial" w:hAnsi="Arial" w:cs="Arial"/>
          <w:sz w:val="22"/>
          <w:szCs w:val="22"/>
          <w:lang w:val="en-US"/>
        </w:rPr>
        <w:t>to check for any</w:t>
      </w:r>
      <w:r w:rsidR="00CB0000" w:rsidRPr="00C2514D">
        <w:rPr>
          <w:rFonts w:ascii="Arial" w:hAnsi="Arial" w:cs="Arial"/>
          <w:sz w:val="22"/>
          <w:szCs w:val="22"/>
          <w:lang w:val="en-US"/>
        </w:rPr>
        <w:t xml:space="preserve"> attrition, and</w:t>
      </w:r>
      <w:r w:rsidR="00731522" w:rsidRPr="00C2514D">
        <w:rPr>
          <w:rFonts w:ascii="Arial" w:hAnsi="Arial" w:cs="Arial"/>
          <w:sz w:val="22"/>
          <w:szCs w:val="22"/>
          <w:lang w:val="en-US"/>
        </w:rPr>
        <w:t xml:space="preserve"> to</w:t>
      </w:r>
      <w:r w:rsidR="00CB0000" w:rsidRPr="00C2514D">
        <w:rPr>
          <w:rFonts w:ascii="Arial" w:hAnsi="Arial" w:cs="Arial"/>
          <w:sz w:val="22"/>
          <w:szCs w:val="22"/>
          <w:lang w:val="en-US"/>
        </w:rPr>
        <w:t xml:space="preserve"> </w:t>
      </w:r>
      <w:r w:rsidR="00731522" w:rsidRPr="00C2514D">
        <w:rPr>
          <w:rFonts w:ascii="Arial" w:hAnsi="Arial" w:cs="Arial"/>
          <w:sz w:val="22"/>
          <w:szCs w:val="22"/>
          <w:lang w:val="en-US"/>
        </w:rPr>
        <w:t xml:space="preserve">carry out </w:t>
      </w:r>
      <w:r w:rsidR="00CB0000" w:rsidRPr="00C2514D">
        <w:rPr>
          <w:rFonts w:ascii="Arial" w:hAnsi="Arial" w:cs="Arial"/>
          <w:sz w:val="22"/>
          <w:szCs w:val="22"/>
          <w:lang w:val="en-US"/>
        </w:rPr>
        <w:t>appropriate decisions to com</w:t>
      </w:r>
      <w:r w:rsidR="00731522" w:rsidRPr="00C2514D">
        <w:rPr>
          <w:rFonts w:ascii="Arial" w:hAnsi="Arial" w:cs="Arial"/>
          <w:sz w:val="22"/>
          <w:szCs w:val="22"/>
          <w:lang w:val="en-US"/>
        </w:rPr>
        <w:t>pensate potential small samples;</w:t>
      </w:r>
      <w:r w:rsidR="00CB0000" w:rsidRPr="00C2514D">
        <w:rPr>
          <w:rFonts w:ascii="Arial" w:hAnsi="Arial" w:cs="Arial"/>
          <w:sz w:val="22"/>
          <w:szCs w:val="22"/>
          <w:lang w:val="en-US"/>
        </w:rPr>
        <w:t xml:space="preserve"> (iii) </w:t>
      </w:r>
      <w:r w:rsidR="00731522" w:rsidRPr="00C2514D">
        <w:rPr>
          <w:rFonts w:ascii="Arial" w:hAnsi="Arial" w:cs="Arial"/>
          <w:sz w:val="22"/>
          <w:szCs w:val="22"/>
          <w:lang w:val="en-US"/>
        </w:rPr>
        <w:t>the</w:t>
      </w:r>
      <w:r w:rsidR="00CB0000" w:rsidRPr="00C2514D">
        <w:rPr>
          <w:rFonts w:ascii="Arial" w:hAnsi="Arial" w:cs="Arial"/>
          <w:sz w:val="22"/>
          <w:szCs w:val="22"/>
          <w:lang w:val="en-US"/>
        </w:rPr>
        <w:t xml:space="preserve"> las</w:t>
      </w:r>
      <w:r w:rsidR="00731522" w:rsidRPr="00C2514D">
        <w:rPr>
          <w:rFonts w:ascii="Arial" w:hAnsi="Arial" w:cs="Arial"/>
          <w:sz w:val="22"/>
          <w:szCs w:val="22"/>
          <w:lang w:val="en-US"/>
        </w:rPr>
        <w:t>t</w:t>
      </w:r>
      <w:r w:rsidR="00CB0000" w:rsidRPr="00C2514D">
        <w:rPr>
          <w:rFonts w:ascii="Arial" w:hAnsi="Arial" w:cs="Arial"/>
          <w:sz w:val="22"/>
          <w:szCs w:val="22"/>
          <w:lang w:val="en-US"/>
        </w:rPr>
        <w:t xml:space="preserve"> report will compare the results at the end line with those at the previous lines.</w:t>
      </w:r>
      <w:r w:rsidR="00731522" w:rsidRPr="00C2514D">
        <w:rPr>
          <w:rFonts w:ascii="Arial" w:hAnsi="Arial" w:cs="Arial"/>
          <w:sz w:val="22"/>
          <w:szCs w:val="22"/>
          <w:lang w:val="en-US"/>
        </w:rPr>
        <w:t xml:space="preserve"> The fully fledged impact evaluation as that described in previous sections will be reported here. All of these reports will be socialized with all relevant stakeholders (including other EAs, local and regional academic institutions, international development organizations and research centers)</w:t>
      </w:r>
    </w:p>
    <w:p w:rsidR="00473936" w:rsidRPr="00C2514D" w:rsidRDefault="00D45FA0" w:rsidP="00507B7D">
      <w:pPr>
        <w:pStyle w:val="Paragraph"/>
        <w:tabs>
          <w:tab w:val="clear" w:pos="1296"/>
          <w:tab w:val="num" w:pos="720"/>
        </w:tabs>
        <w:ind w:left="720" w:hanging="720"/>
        <w:rPr>
          <w:rFonts w:ascii="Arial" w:hAnsi="Arial" w:cs="Arial"/>
          <w:sz w:val="22"/>
          <w:szCs w:val="22"/>
          <w:lang w:val="en-US"/>
        </w:rPr>
      </w:pPr>
      <w:r w:rsidRPr="00C2514D">
        <w:rPr>
          <w:rFonts w:ascii="Arial" w:hAnsi="Arial" w:cs="Arial"/>
          <w:sz w:val="22"/>
          <w:szCs w:val="22"/>
          <w:lang w:val="en-US"/>
        </w:rPr>
        <w:t>The MoB and the IDB will be responsible for the dissemination of the results of the impact evaluation. The evaluation will be used as a tool to showcase the development effectiveness of this type of projects and to portray lessons learned for future design and implementation of similar projects in Latin America.</w:t>
      </w:r>
    </w:p>
    <w:p w:rsidR="00883AA7" w:rsidRPr="00851ECC" w:rsidRDefault="00B30CC9" w:rsidP="00507B7D">
      <w:pPr>
        <w:pStyle w:val="FirstHeading"/>
        <w:tabs>
          <w:tab w:val="num" w:pos="720"/>
        </w:tabs>
        <w:ind w:left="720"/>
        <w:rPr>
          <w:rFonts w:ascii="Arial" w:hAnsi="Arial" w:cs="Arial"/>
          <w:sz w:val="22"/>
          <w:szCs w:val="22"/>
          <w:lang w:val="en-US"/>
        </w:rPr>
      </w:pPr>
      <w:bookmarkStart w:id="11" w:name="_Toc449703287"/>
      <w:r w:rsidRPr="00C2514D">
        <w:rPr>
          <w:rFonts w:ascii="Arial" w:hAnsi="Arial" w:cs="Arial"/>
          <w:sz w:val="22"/>
          <w:szCs w:val="22"/>
          <w:lang w:val="en-US"/>
        </w:rPr>
        <w:t>I</w:t>
      </w:r>
      <w:r w:rsidR="00F42A95" w:rsidRPr="00C2514D">
        <w:rPr>
          <w:rFonts w:ascii="Arial" w:hAnsi="Arial" w:cs="Arial"/>
          <w:sz w:val="22"/>
          <w:szCs w:val="22"/>
          <w:lang w:val="en-US"/>
        </w:rPr>
        <w:t>.</w:t>
      </w:r>
      <w:r w:rsidR="00F42A95" w:rsidRPr="00C2514D">
        <w:rPr>
          <w:rFonts w:ascii="Arial" w:hAnsi="Arial" w:cs="Arial"/>
          <w:sz w:val="22"/>
          <w:szCs w:val="22"/>
          <w:lang w:val="en-US"/>
        </w:rPr>
        <w:tab/>
      </w:r>
      <w:bookmarkEnd w:id="11"/>
      <w:r w:rsidR="00D6582C" w:rsidRPr="00851ECC">
        <w:rPr>
          <w:rFonts w:ascii="Arial" w:hAnsi="Arial" w:cs="Arial"/>
          <w:sz w:val="22"/>
          <w:szCs w:val="22"/>
          <w:lang w:val="en-US"/>
        </w:rPr>
        <w:t>Coordination, work</w:t>
      </w:r>
      <w:r w:rsidR="00DD16B1" w:rsidRPr="00851ECC">
        <w:rPr>
          <w:rFonts w:ascii="Arial" w:hAnsi="Arial" w:cs="Arial"/>
          <w:sz w:val="22"/>
          <w:szCs w:val="22"/>
          <w:lang w:val="en-US"/>
        </w:rPr>
        <w:t xml:space="preserve"> program</w:t>
      </w:r>
      <w:r w:rsidR="00D6582C" w:rsidRPr="00851ECC">
        <w:rPr>
          <w:rFonts w:ascii="Arial" w:hAnsi="Arial" w:cs="Arial"/>
          <w:sz w:val="22"/>
          <w:szCs w:val="22"/>
          <w:lang w:val="en-US"/>
        </w:rPr>
        <w:t xml:space="preserve"> and budget</w:t>
      </w:r>
    </w:p>
    <w:p w:rsidR="00737684" w:rsidRPr="00851ECC" w:rsidRDefault="00DD16B1" w:rsidP="00507B7D">
      <w:pPr>
        <w:pStyle w:val="Paragraph"/>
        <w:tabs>
          <w:tab w:val="clear" w:pos="1296"/>
          <w:tab w:val="num" w:pos="720"/>
        </w:tabs>
        <w:ind w:left="720" w:hanging="720"/>
        <w:rPr>
          <w:rFonts w:ascii="Arial" w:hAnsi="Arial" w:cs="Arial"/>
          <w:sz w:val="22"/>
          <w:szCs w:val="22"/>
          <w:lang w:val="en-US"/>
        </w:rPr>
      </w:pPr>
      <w:r w:rsidRPr="00851ECC">
        <w:rPr>
          <w:rFonts w:ascii="Arial" w:hAnsi="Arial" w:cs="Arial"/>
          <w:sz w:val="22"/>
          <w:szCs w:val="22"/>
          <w:lang w:val="en-US"/>
        </w:rPr>
        <w:t xml:space="preserve">Table </w:t>
      </w:r>
      <w:r w:rsidR="004D7191" w:rsidRPr="00851ECC">
        <w:rPr>
          <w:rFonts w:ascii="Arial" w:hAnsi="Arial" w:cs="Arial"/>
          <w:sz w:val="22"/>
          <w:szCs w:val="22"/>
          <w:lang w:val="en-US"/>
        </w:rPr>
        <w:t>7</w:t>
      </w:r>
      <w:r w:rsidRPr="00851ECC">
        <w:rPr>
          <w:rFonts w:ascii="Arial" w:hAnsi="Arial" w:cs="Arial"/>
          <w:sz w:val="22"/>
          <w:szCs w:val="22"/>
          <w:lang w:val="en-US"/>
        </w:rPr>
        <w:t xml:space="preserve"> reports the work program, including specific activities, responsible and Budget for the execution of the Evaluation Plan</w:t>
      </w:r>
      <w:r w:rsidR="00737684" w:rsidRPr="00851ECC">
        <w:rPr>
          <w:rFonts w:ascii="Arial" w:hAnsi="Arial" w:cs="Arial"/>
          <w:sz w:val="22"/>
          <w:szCs w:val="22"/>
          <w:lang w:val="en-US"/>
        </w:rPr>
        <w:t>.</w:t>
      </w:r>
      <w:r w:rsidR="00D45FA0" w:rsidRPr="00851ECC">
        <w:rPr>
          <w:rFonts w:ascii="Arial" w:hAnsi="Arial" w:cs="Arial"/>
          <w:sz w:val="22"/>
          <w:szCs w:val="22"/>
          <w:lang w:val="en-US"/>
        </w:rPr>
        <w:t xml:space="preserve"> Complementary f</w:t>
      </w:r>
      <w:r w:rsidRPr="00851ECC">
        <w:rPr>
          <w:rFonts w:ascii="Arial" w:hAnsi="Arial" w:cs="Arial"/>
          <w:sz w:val="22"/>
          <w:szCs w:val="22"/>
          <w:lang w:val="en-US"/>
        </w:rPr>
        <w:t xml:space="preserve">unding will come from </w:t>
      </w:r>
      <w:r w:rsidR="00D45FA0" w:rsidRPr="00851ECC">
        <w:rPr>
          <w:rFonts w:ascii="Arial" w:hAnsi="Arial" w:cs="Arial"/>
          <w:sz w:val="22"/>
          <w:szCs w:val="22"/>
          <w:lang w:val="en-US"/>
        </w:rPr>
        <w:t>GY</w:t>
      </w:r>
      <w:r w:rsidRPr="00851ECC">
        <w:rPr>
          <w:rFonts w:ascii="Arial" w:hAnsi="Arial" w:cs="Arial"/>
          <w:sz w:val="22"/>
          <w:szCs w:val="22"/>
          <w:lang w:val="en-US"/>
        </w:rPr>
        <w:t>-</w:t>
      </w:r>
      <w:r w:rsidR="00D45FA0" w:rsidRPr="00851ECC">
        <w:rPr>
          <w:rFonts w:ascii="Arial" w:hAnsi="Arial" w:cs="Arial"/>
          <w:sz w:val="22"/>
          <w:szCs w:val="22"/>
          <w:lang w:val="en-US"/>
        </w:rPr>
        <w:t>T1129</w:t>
      </w:r>
      <w:r w:rsidRPr="00851ECC">
        <w:rPr>
          <w:rFonts w:ascii="Arial" w:hAnsi="Arial" w:cs="Arial"/>
          <w:sz w:val="22"/>
          <w:szCs w:val="22"/>
          <w:lang w:val="en-US"/>
        </w:rPr>
        <w:t xml:space="preserve"> for the collection of information necessary to evaluate impacts. Outcomes evaluation will not consume financial resources as data will be drawn from administrative records</w:t>
      </w:r>
      <w:r w:rsidR="00313EDE" w:rsidRPr="00851ECC">
        <w:rPr>
          <w:rFonts w:ascii="Arial" w:hAnsi="Arial" w:cs="Arial"/>
          <w:sz w:val="22"/>
          <w:szCs w:val="22"/>
          <w:lang w:val="en-US"/>
        </w:rPr>
        <w:t>.</w:t>
      </w:r>
    </w:p>
    <w:p w:rsidR="00E76979" w:rsidRPr="000B0588" w:rsidRDefault="00BB2BFA" w:rsidP="00737684">
      <w:pPr>
        <w:pStyle w:val="heading-b24"/>
        <w:spacing w:after="0"/>
        <w:rPr>
          <w:rFonts w:ascii="Arial" w:eastAsia="Calibri" w:hAnsi="Arial" w:cs="Arial"/>
          <w:smallCaps w:val="0"/>
          <w:sz w:val="22"/>
          <w:szCs w:val="18"/>
          <w:lang w:val="en-US"/>
        </w:rPr>
      </w:pPr>
      <w:r w:rsidRPr="000B0588">
        <w:rPr>
          <w:rFonts w:ascii="Arial" w:eastAsia="Calibri" w:hAnsi="Arial" w:cs="Arial"/>
          <w:smallCaps w:val="0"/>
          <w:sz w:val="22"/>
          <w:szCs w:val="18"/>
          <w:lang w:val="en-US"/>
        </w:rPr>
        <w:t xml:space="preserve">Table </w:t>
      </w:r>
      <w:r w:rsidR="004D7191" w:rsidRPr="000B0588">
        <w:rPr>
          <w:rFonts w:ascii="Arial" w:eastAsia="Calibri" w:hAnsi="Arial" w:cs="Arial"/>
          <w:smallCaps w:val="0"/>
          <w:sz w:val="22"/>
          <w:szCs w:val="18"/>
          <w:lang w:val="en-US"/>
        </w:rPr>
        <w:t>7</w:t>
      </w:r>
      <w:r w:rsidR="00E76979" w:rsidRPr="000B0588">
        <w:rPr>
          <w:rFonts w:ascii="Arial" w:eastAsia="Calibri" w:hAnsi="Arial" w:cs="Arial"/>
          <w:smallCaps w:val="0"/>
          <w:sz w:val="22"/>
          <w:szCs w:val="18"/>
          <w:lang w:val="en-US"/>
        </w:rPr>
        <w:t xml:space="preserve">. </w:t>
      </w:r>
      <w:r w:rsidRPr="000B0588">
        <w:rPr>
          <w:rFonts w:ascii="Arial" w:eastAsia="Calibri" w:hAnsi="Arial" w:cs="Arial"/>
          <w:smallCaps w:val="0"/>
          <w:sz w:val="22"/>
          <w:szCs w:val="18"/>
          <w:lang w:val="en-US"/>
        </w:rPr>
        <w:t>Work program for impact evaluation</w:t>
      </w:r>
    </w:p>
    <w:tbl>
      <w:tblPr>
        <w:tblW w:w="9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
        <w:gridCol w:w="2690"/>
        <w:gridCol w:w="665"/>
        <w:gridCol w:w="630"/>
        <w:gridCol w:w="678"/>
        <w:gridCol w:w="672"/>
        <w:gridCol w:w="678"/>
        <w:gridCol w:w="720"/>
        <w:gridCol w:w="1307"/>
        <w:gridCol w:w="1170"/>
      </w:tblGrid>
      <w:tr w:rsidR="00440751" w:rsidRPr="00C2514D" w:rsidTr="00E221E5">
        <w:trPr>
          <w:trHeight w:val="404"/>
          <w:tblHeader/>
          <w:jc w:val="center"/>
        </w:trPr>
        <w:tc>
          <w:tcPr>
            <w:tcW w:w="2703" w:type="dxa"/>
            <w:gridSpan w:val="2"/>
            <w:shd w:val="clear" w:color="auto" w:fill="auto"/>
            <w:vAlign w:val="center"/>
          </w:tcPr>
          <w:p w:rsidR="00440751" w:rsidRPr="00C2514D" w:rsidRDefault="00440751" w:rsidP="00100E6A">
            <w:pPr>
              <w:jc w:val="center"/>
              <w:rPr>
                <w:rFonts w:ascii="Arial" w:hAnsi="Arial" w:cs="Arial"/>
                <w:b/>
                <w:sz w:val="18"/>
                <w:szCs w:val="18"/>
                <w:lang w:val="en-US"/>
              </w:rPr>
            </w:pPr>
            <w:r w:rsidRPr="00C2514D">
              <w:rPr>
                <w:rFonts w:ascii="Arial" w:hAnsi="Arial" w:cs="Arial"/>
                <w:b/>
                <w:sz w:val="18"/>
                <w:szCs w:val="18"/>
                <w:lang w:val="en-US"/>
              </w:rPr>
              <w:t>Activities</w:t>
            </w:r>
          </w:p>
        </w:tc>
        <w:tc>
          <w:tcPr>
            <w:tcW w:w="665" w:type="dxa"/>
            <w:shd w:val="clear" w:color="auto" w:fill="auto"/>
            <w:vAlign w:val="center"/>
          </w:tcPr>
          <w:p w:rsidR="00440751" w:rsidRPr="00C2514D" w:rsidRDefault="00440751" w:rsidP="00100E6A">
            <w:pPr>
              <w:pStyle w:val="TableTitle"/>
              <w:framePr w:wrap="auto" w:vAnchor="margin" w:yAlign="inline"/>
              <w:spacing w:before="0" w:after="0"/>
              <w:rPr>
                <w:rFonts w:ascii="Arial" w:hAnsi="Arial" w:cs="Arial"/>
                <w:sz w:val="18"/>
                <w:szCs w:val="18"/>
                <w:lang w:val="en-US"/>
              </w:rPr>
            </w:pPr>
            <w:r w:rsidRPr="00C2514D">
              <w:rPr>
                <w:rFonts w:ascii="Arial" w:hAnsi="Arial" w:cs="Arial"/>
                <w:sz w:val="18"/>
                <w:szCs w:val="18"/>
                <w:lang w:val="en-US"/>
              </w:rPr>
              <w:t>2017</w:t>
            </w:r>
          </w:p>
        </w:tc>
        <w:tc>
          <w:tcPr>
            <w:tcW w:w="630" w:type="dxa"/>
            <w:shd w:val="clear" w:color="auto" w:fill="auto"/>
            <w:vAlign w:val="center"/>
          </w:tcPr>
          <w:p w:rsidR="00440751" w:rsidRPr="00C2514D" w:rsidRDefault="00440751" w:rsidP="00100E6A">
            <w:pPr>
              <w:pStyle w:val="TableTitle"/>
              <w:framePr w:wrap="auto" w:vAnchor="margin" w:yAlign="inline"/>
              <w:spacing w:before="0" w:after="0"/>
              <w:rPr>
                <w:rFonts w:ascii="Arial" w:hAnsi="Arial" w:cs="Arial"/>
                <w:sz w:val="18"/>
                <w:szCs w:val="18"/>
                <w:lang w:val="en-US"/>
              </w:rPr>
            </w:pPr>
            <w:r w:rsidRPr="00C2514D">
              <w:rPr>
                <w:rFonts w:ascii="Arial" w:hAnsi="Arial" w:cs="Arial"/>
                <w:sz w:val="18"/>
                <w:szCs w:val="18"/>
                <w:lang w:val="en-US"/>
              </w:rPr>
              <w:t>2018</w:t>
            </w:r>
          </w:p>
        </w:tc>
        <w:tc>
          <w:tcPr>
            <w:tcW w:w="678" w:type="dxa"/>
            <w:shd w:val="clear" w:color="auto" w:fill="auto"/>
            <w:vAlign w:val="center"/>
          </w:tcPr>
          <w:p w:rsidR="00440751" w:rsidRPr="00C2514D" w:rsidRDefault="00440751" w:rsidP="001E2B30">
            <w:pPr>
              <w:pStyle w:val="TableTitle"/>
              <w:framePr w:wrap="auto" w:vAnchor="margin" w:yAlign="inline"/>
              <w:spacing w:before="0" w:after="0"/>
              <w:rPr>
                <w:rFonts w:ascii="Arial" w:hAnsi="Arial" w:cs="Arial"/>
                <w:sz w:val="18"/>
                <w:szCs w:val="18"/>
                <w:lang w:val="en-US"/>
              </w:rPr>
            </w:pPr>
            <w:r w:rsidRPr="00C2514D">
              <w:rPr>
                <w:rFonts w:ascii="Arial" w:hAnsi="Arial" w:cs="Arial"/>
                <w:sz w:val="18"/>
                <w:szCs w:val="18"/>
                <w:lang w:val="en-US"/>
              </w:rPr>
              <w:t>2019</w:t>
            </w:r>
          </w:p>
        </w:tc>
        <w:tc>
          <w:tcPr>
            <w:tcW w:w="672" w:type="dxa"/>
            <w:shd w:val="clear" w:color="auto" w:fill="auto"/>
            <w:vAlign w:val="center"/>
          </w:tcPr>
          <w:p w:rsidR="00440751" w:rsidRPr="00C2514D" w:rsidRDefault="00440751" w:rsidP="00100E6A">
            <w:pPr>
              <w:pStyle w:val="TableTitle"/>
              <w:framePr w:wrap="auto" w:vAnchor="margin" w:yAlign="inline"/>
              <w:spacing w:before="0" w:after="0"/>
              <w:rPr>
                <w:rFonts w:ascii="Arial" w:hAnsi="Arial" w:cs="Arial"/>
                <w:sz w:val="18"/>
                <w:szCs w:val="18"/>
                <w:lang w:val="en-US"/>
              </w:rPr>
            </w:pPr>
            <w:r w:rsidRPr="00C2514D">
              <w:rPr>
                <w:rFonts w:ascii="Arial" w:hAnsi="Arial" w:cs="Arial"/>
                <w:sz w:val="18"/>
                <w:szCs w:val="18"/>
                <w:lang w:val="en-US"/>
              </w:rPr>
              <w:t>2020</w:t>
            </w:r>
          </w:p>
        </w:tc>
        <w:tc>
          <w:tcPr>
            <w:tcW w:w="678" w:type="dxa"/>
            <w:shd w:val="clear" w:color="auto" w:fill="auto"/>
            <w:vAlign w:val="center"/>
          </w:tcPr>
          <w:p w:rsidR="00440751" w:rsidRPr="00C2514D" w:rsidRDefault="00440751" w:rsidP="001E2B30">
            <w:pPr>
              <w:pStyle w:val="TableTitle"/>
              <w:framePr w:wrap="auto" w:vAnchor="margin" w:yAlign="inline"/>
              <w:spacing w:before="0" w:after="0"/>
              <w:rPr>
                <w:rFonts w:ascii="Arial" w:hAnsi="Arial" w:cs="Arial"/>
                <w:sz w:val="18"/>
                <w:szCs w:val="18"/>
                <w:lang w:val="en-US"/>
              </w:rPr>
            </w:pPr>
            <w:r w:rsidRPr="00C2514D">
              <w:rPr>
                <w:rFonts w:ascii="Arial" w:hAnsi="Arial" w:cs="Arial"/>
                <w:sz w:val="18"/>
                <w:szCs w:val="18"/>
                <w:lang w:val="en-US"/>
              </w:rPr>
              <w:t>2021</w:t>
            </w:r>
          </w:p>
        </w:tc>
        <w:tc>
          <w:tcPr>
            <w:tcW w:w="720" w:type="dxa"/>
            <w:shd w:val="clear" w:color="auto" w:fill="auto"/>
            <w:vAlign w:val="center"/>
          </w:tcPr>
          <w:p w:rsidR="00440751" w:rsidRPr="00C2514D" w:rsidRDefault="00440751" w:rsidP="00BB2BFA">
            <w:pPr>
              <w:pStyle w:val="TableTitle"/>
              <w:framePr w:wrap="auto" w:vAnchor="margin" w:yAlign="inline"/>
              <w:spacing w:before="0" w:after="0"/>
              <w:rPr>
                <w:rFonts w:ascii="Arial" w:hAnsi="Arial" w:cs="Arial"/>
                <w:sz w:val="18"/>
                <w:szCs w:val="18"/>
                <w:lang w:val="en-US"/>
              </w:rPr>
            </w:pPr>
            <w:r w:rsidRPr="00C2514D">
              <w:rPr>
                <w:rFonts w:ascii="Arial" w:hAnsi="Arial" w:cs="Arial"/>
                <w:sz w:val="18"/>
                <w:szCs w:val="18"/>
                <w:lang w:val="en-US"/>
              </w:rPr>
              <w:t>2022</w:t>
            </w:r>
          </w:p>
        </w:tc>
        <w:tc>
          <w:tcPr>
            <w:tcW w:w="1307" w:type="dxa"/>
          </w:tcPr>
          <w:p w:rsidR="00440751" w:rsidRPr="00C2514D" w:rsidRDefault="00440751" w:rsidP="00100E6A">
            <w:pPr>
              <w:pStyle w:val="TableTitle"/>
              <w:framePr w:wrap="auto" w:vAnchor="margin" w:yAlign="inline"/>
              <w:spacing w:before="0" w:after="0"/>
              <w:rPr>
                <w:rFonts w:ascii="Arial" w:hAnsi="Arial" w:cs="Arial"/>
                <w:sz w:val="18"/>
                <w:szCs w:val="18"/>
                <w:lang w:val="en-US"/>
              </w:rPr>
            </w:pPr>
            <w:r w:rsidRPr="00C2514D">
              <w:rPr>
                <w:rFonts w:ascii="Arial" w:hAnsi="Arial" w:cs="Arial"/>
                <w:sz w:val="18"/>
                <w:szCs w:val="18"/>
                <w:lang w:val="en-US"/>
              </w:rPr>
              <w:t>Responsible</w:t>
            </w:r>
          </w:p>
        </w:tc>
        <w:tc>
          <w:tcPr>
            <w:tcW w:w="1170" w:type="dxa"/>
            <w:shd w:val="clear" w:color="auto" w:fill="auto"/>
            <w:vAlign w:val="center"/>
          </w:tcPr>
          <w:p w:rsidR="00440751" w:rsidRPr="00C2514D" w:rsidRDefault="00440751" w:rsidP="00100E6A">
            <w:pPr>
              <w:pStyle w:val="TableTitle"/>
              <w:framePr w:wrap="auto" w:vAnchor="margin" w:yAlign="inline"/>
              <w:spacing w:before="0" w:after="0"/>
              <w:rPr>
                <w:rFonts w:ascii="Arial" w:hAnsi="Arial" w:cs="Arial"/>
                <w:sz w:val="18"/>
                <w:szCs w:val="18"/>
                <w:lang w:val="en-US"/>
              </w:rPr>
            </w:pPr>
            <w:r w:rsidRPr="00C2514D">
              <w:rPr>
                <w:rFonts w:ascii="Arial" w:hAnsi="Arial" w:cs="Arial"/>
                <w:sz w:val="18"/>
                <w:szCs w:val="18"/>
                <w:lang w:val="en-US"/>
              </w:rPr>
              <w:t>Cost</w:t>
            </w:r>
          </w:p>
          <w:p w:rsidR="00440751" w:rsidRPr="00C2514D" w:rsidRDefault="00E221E5" w:rsidP="00100E6A">
            <w:pPr>
              <w:pStyle w:val="TableTitle"/>
              <w:framePr w:wrap="auto" w:vAnchor="margin" w:yAlign="inline"/>
              <w:spacing w:before="0" w:after="0"/>
              <w:rPr>
                <w:rFonts w:ascii="Arial" w:hAnsi="Arial" w:cs="Arial"/>
                <w:sz w:val="18"/>
                <w:szCs w:val="18"/>
                <w:lang w:val="en-US"/>
              </w:rPr>
            </w:pPr>
            <w:r w:rsidRPr="00C2514D">
              <w:rPr>
                <w:rFonts w:ascii="Arial" w:hAnsi="Arial" w:cs="Arial"/>
                <w:sz w:val="18"/>
                <w:szCs w:val="18"/>
                <w:lang w:val="en-US"/>
              </w:rPr>
              <w:t>(</w:t>
            </w:r>
            <w:r w:rsidR="00440751" w:rsidRPr="00C2514D">
              <w:rPr>
                <w:rFonts w:ascii="Arial" w:hAnsi="Arial" w:cs="Arial"/>
                <w:sz w:val="18"/>
                <w:szCs w:val="18"/>
                <w:lang w:val="en-US"/>
              </w:rPr>
              <w:t>Thousand US$</w:t>
            </w:r>
            <w:r w:rsidRPr="00C2514D">
              <w:rPr>
                <w:rFonts w:ascii="Arial" w:hAnsi="Arial" w:cs="Arial"/>
                <w:sz w:val="18"/>
                <w:szCs w:val="18"/>
                <w:lang w:val="en-US"/>
              </w:rPr>
              <w:t>)</w:t>
            </w:r>
          </w:p>
        </w:tc>
      </w:tr>
      <w:tr w:rsidR="00440751" w:rsidRPr="00C2514D" w:rsidTr="00E221E5">
        <w:trPr>
          <w:trHeight w:val="366"/>
          <w:jc w:val="center"/>
        </w:trPr>
        <w:tc>
          <w:tcPr>
            <w:tcW w:w="2703" w:type="dxa"/>
            <w:gridSpan w:val="2"/>
          </w:tcPr>
          <w:p w:rsidR="00440751" w:rsidRPr="00C2514D" w:rsidRDefault="00440751" w:rsidP="00440751">
            <w:pPr>
              <w:rPr>
                <w:rFonts w:ascii="Arial" w:hAnsi="Arial" w:cs="Arial"/>
                <w:sz w:val="18"/>
                <w:szCs w:val="18"/>
                <w:lang w:val="en-US"/>
              </w:rPr>
            </w:pPr>
            <w:r w:rsidRPr="00C2514D">
              <w:rPr>
                <w:rFonts w:ascii="Arial" w:hAnsi="Arial" w:cs="Arial"/>
                <w:spacing w:val="0"/>
                <w:sz w:val="18"/>
                <w:szCs w:val="18"/>
                <w:lang w:val="en-US" w:eastAsia="es-AR"/>
              </w:rPr>
              <w:t>Baseline, follow up line and end line (ad hoc survey for laboratories and exporters GY-T1129)</w:t>
            </w:r>
          </w:p>
        </w:tc>
        <w:tc>
          <w:tcPr>
            <w:tcW w:w="665" w:type="dxa"/>
            <w:tcBorders>
              <w:bottom w:val="single" w:sz="4" w:space="0" w:color="auto"/>
            </w:tcBorders>
            <w:shd w:val="clear" w:color="auto" w:fill="7F7F7F" w:themeFill="text1" w:themeFillTint="80"/>
          </w:tcPr>
          <w:p w:rsidR="00440751" w:rsidRPr="00C2514D" w:rsidRDefault="00440751" w:rsidP="00100E6A">
            <w:pPr>
              <w:pStyle w:val="Regtable"/>
              <w:framePr w:wrap="auto" w:vAnchor="margin" w:yAlign="inline"/>
              <w:spacing w:before="0" w:after="0"/>
              <w:rPr>
                <w:rFonts w:ascii="Arial" w:hAnsi="Arial" w:cs="Arial"/>
                <w:sz w:val="18"/>
                <w:szCs w:val="18"/>
                <w:lang w:val="en-US"/>
              </w:rPr>
            </w:pPr>
          </w:p>
        </w:tc>
        <w:tc>
          <w:tcPr>
            <w:tcW w:w="630" w:type="dxa"/>
            <w:tcBorders>
              <w:bottom w:val="single" w:sz="4" w:space="0" w:color="auto"/>
            </w:tcBorders>
            <w:shd w:val="clear" w:color="auto" w:fill="auto"/>
          </w:tcPr>
          <w:p w:rsidR="00440751" w:rsidRPr="00C2514D" w:rsidRDefault="00440751" w:rsidP="00100E6A">
            <w:pPr>
              <w:pStyle w:val="Regtable"/>
              <w:framePr w:wrap="auto" w:vAnchor="margin" w:yAlign="inline"/>
              <w:spacing w:before="0" w:after="0"/>
              <w:rPr>
                <w:rFonts w:ascii="Arial" w:hAnsi="Arial" w:cs="Arial"/>
                <w:sz w:val="18"/>
                <w:szCs w:val="18"/>
                <w:lang w:val="en-US"/>
              </w:rPr>
            </w:pPr>
          </w:p>
        </w:tc>
        <w:tc>
          <w:tcPr>
            <w:tcW w:w="678" w:type="dxa"/>
            <w:tcBorders>
              <w:bottom w:val="single" w:sz="4" w:space="0" w:color="auto"/>
            </w:tcBorders>
            <w:shd w:val="clear" w:color="auto" w:fill="7F7F7F" w:themeFill="text1" w:themeFillTint="80"/>
          </w:tcPr>
          <w:p w:rsidR="00440751" w:rsidRPr="00C2514D" w:rsidRDefault="00440751" w:rsidP="00100E6A">
            <w:pPr>
              <w:pStyle w:val="Regtable"/>
              <w:framePr w:wrap="auto" w:vAnchor="margin" w:yAlign="inline"/>
              <w:spacing w:before="0" w:after="0"/>
              <w:rPr>
                <w:rFonts w:ascii="Arial" w:hAnsi="Arial" w:cs="Arial"/>
                <w:sz w:val="18"/>
                <w:szCs w:val="18"/>
                <w:lang w:val="en-US"/>
              </w:rPr>
            </w:pPr>
          </w:p>
        </w:tc>
        <w:tc>
          <w:tcPr>
            <w:tcW w:w="672" w:type="dxa"/>
          </w:tcPr>
          <w:p w:rsidR="00440751" w:rsidRPr="00C2514D" w:rsidRDefault="00440751" w:rsidP="00100E6A">
            <w:pPr>
              <w:pStyle w:val="Regtable"/>
              <w:framePr w:wrap="auto" w:vAnchor="margin" w:yAlign="inline"/>
              <w:spacing w:before="0" w:after="0"/>
              <w:rPr>
                <w:rFonts w:ascii="Arial" w:hAnsi="Arial" w:cs="Arial"/>
                <w:sz w:val="18"/>
                <w:szCs w:val="18"/>
                <w:lang w:val="en-US"/>
              </w:rPr>
            </w:pPr>
          </w:p>
        </w:tc>
        <w:tc>
          <w:tcPr>
            <w:tcW w:w="678" w:type="dxa"/>
            <w:shd w:val="clear" w:color="auto" w:fill="7F7F7F" w:themeFill="text1" w:themeFillTint="80"/>
          </w:tcPr>
          <w:p w:rsidR="00440751" w:rsidRPr="00C2514D" w:rsidRDefault="00440751" w:rsidP="00100E6A">
            <w:pPr>
              <w:pStyle w:val="Regtable"/>
              <w:framePr w:wrap="auto" w:vAnchor="margin" w:yAlign="inline"/>
              <w:spacing w:before="0" w:after="0"/>
              <w:rPr>
                <w:rFonts w:ascii="Arial" w:hAnsi="Arial" w:cs="Arial"/>
                <w:sz w:val="18"/>
                <w:szCs w:val="18"/>
                <w:lang w:val="en-US"/>
              </w:rPr>
            </w:pPr>
          </w:p>
        </w:tc>
        <w:tc>
          <w:tcPr>
            <w:tcW w:w="720" w:type="dxa"/>
          </w:tcPr>
          <w:p w:rsidR="00440751" w:rsidRPr="00C2514D" w:rsidRDefault="00440751" w:rsidP="00100E6A">
            <w:pPr>
              <w:pStyle w:val="Regtable"/>
              <w:framePr w:wrap="auto" w:vAnchor="margin" w:yAlign="inline"/>
              <w:spacing w:before="0" w:after="0"/>
              <w:rPr>
                <w:rFonts w:ascii="Arial" w:hAnsi="Arial" w:cs="Arial"/>
                <w:sz w:val="18"/>
                <w:szCs w:val="18"/>
                <w:lang w:val="en-US"/>
              </w:rPr>
            </w:pPr>
          </w:p>
        </w:tc>
        <w:tc>
          <w:tcPr>
            <w:tcW w:w="1307" w:type="dxa"/>
          </w:tcPr>
          <w:p w:rsidR="00440751" w:rsidRPr="00C2514D" w:rsidRDefault="00440751" w:rsidP="00100E6A">
            <w:pPr>
              <w:pStyle w:val="Regtable"/>
              <w:framePr w:wrap="auto" w:vAnchor="margin" w:yAlign="inline"/>
              <w:spacing w:before="0" w:after="0"/>
              <w:jc w:val="center"/>
              <w:rPr>
                <w:rFonts w:ascii="Arial" w:hAnsi="Arial" w:cs="Arial"/>
                <w:sz w:val="18"/>
                <w:szCs w:val="18"/>
                <w:lang w:val="en-US"/>
              </w:rPr>
            </w:pPr>
            <w:r w:rsidRPr="00C2514D">
              <w:rPr>
                <w:rFonts w:ascii="Arial" w:hAnsi="Arial" w:cs="Arial"/>
                <w:sz w:val="18"/>
                <w:szCs w:val="18"/>
                <w:lang w:val="en-US"/>
              </w:rPr>
              <w:t>MoB, IDB</w:t>
            </w:r>
          </w:p>
        </w:tc>
        <w:tc>
          <w:tcPr>
            <w:tcW w:w="1170" w:type="dxa"/>
          </w:tcPr>
          <w:p w:rsidR="00440751" w:rsidRPr="00C2514D" w:rsidRDefault="00440751" w:rsidP="00100E6A">
            <w:pPr>
              <w:pStyle w:val="Regtable"/>
              <w:framePr w:wrap="auto" w:vAnchor="margin" w:yAlign="inline"/>
              <w:spacing w:before="0" w:after="0"/>
              <w:jc w:val="center"/>
              <w:rPr>
                <w:rFonts w:ascii="Arial" w:hAnsi="Arial" w:cs="Arial"/>
                <w:sz w:val="18"/>
                <w:szCs w:val="18"/>
                <w:lang w:val="en-US"/>
              </w:rPr>
            </w:pPr>
            <w:r w:rsidRPr="00C2514D">
              <w:rPr>
                <w:rFonts w:ascii="Arial" w:hAnsi="Arial" w:cs="Arial"/>
                <w:sz w:val="18"/>
                <w:szCs w:val="18"/>
                <w:lang w:val="en-US"/>
              </w:rPr>
              <w:t>70</w:t>
            </w:r>
          </w:p>
        </w:tc>
      </w:tr>
      <w:tr w:rsidR="00440751" w:rsidRPr="00C2514D" w:rsidTr="00C734EE">
        <w:trPr>
          <w:gridBefore w:val="1"/>
          <w:wBefore w:w="13" w:type="dxa"/>
          <w:trHeight w:val="272"/>
          <w:jc w:val="center"/>
        </w:trPr>
        <w:tc>
          <w:tcPr>
            <w:tcW w:w="2690" w:type="dxa"/>
            <w:vAlign w:val="center"/>
          </w:tcPr>
          <w:p w:rsidR="00440751" w:rsidRPr="00C2514D" w:rsidRDefault="00440751" w:rsidP="00BA7C02">
            <w:pPr>
              <w:rPr>
                <w:rFonts w:ascii="Arial" w:hAnsi="Arial" w:cs="Arial"/>
                <w:spacing w:val="0"/>
                <w:sz w:val="18"/>
                <w:szCs w:val="18"/>
                <w:lang w:val="en-US" w:eastAsia="es-AR"/>
              </w:rPr>
            </w:pPr>
            <w:r w:rsidRPr="00C2514D">
              <w:rPr>
                <w:rFonts w:ascii="Arial" w:hAnsi="Arial" w:cs="Arial"/>
                <w:spacing w:val="0"/>
                <w:sz w:val="18"/>
                <w:szCs w:val="18"/>
                <w:lang w:val="en-US" w:eastAsia="es-AR"/>
              </w:rPr>
              <w:t>Baseline, follow up line and end line (Administrative records)</w:t>
            </w:r>
          </w:p>
        </w:tc>
        <w:tc>
          <w:tcPr>
            <w:tcW w:w="665" w:type="dxa"/>
            <w:shd w:val="clear" w:color="auto" w:fill="7F7F7F" w:themeFill="text1" w:themeFillTint="80"/>
          </w:tcPr>
          <w:p w:rsidR="00440751" w:rsidRPr="00C2514D" w:rsidRDefault="00440751" w:rsidP="00100E6A">
            <w:pPr>
              <w:pStyle w:val="Regtable"/>
              <w:framePr w:wrap="around"/>
              <w:spacing w:before="0" w:after="0"/>
              <w:rPr>
                <w:rFonts w:ascii="Arial" w:hAnsi="Arial" w:cs="Arial"/>
                <w:sz w:val="18"/>
                <w:szCs w:val="18"/>
                <w:lang w:val="en-US"/>
              </w:rPr>
            </w:pPr>
          </w:p>
        </w:tc>
        <w:tc>
          <w:tcPr>
            <w:tcW w:w="630" w:type="dxa"/>
            <w:shd w:val="clear" w:color="auto" w:fill="7F7F7F" w:themeFill="text1" w:themeFillTint="80"/>
          </w:tcPr>
          <w:p w:rsidR="00440751" w:rsidRPr="00C2514D" w:rsidRDefault="00440751" w:rsidP="00100E6A">
            <w:pPr>
              <w:pStyle w:val="Regtable"/>
              <w:framePr w:wrap="around"/>
              <w:spacing w:before="0" w:after="0"/>
              <w:rPr>
                <w:rFonts w:ascii="Arial" w:hAnsi="Arial" w:cs="Arial"/>
                <w:sz w:val="18"/>
                <w:szCs w:val="18"/>
                <w:lang w:val="en-US"/>
              </w:rPr>
            </w:pPr>
          </w:p>
        </w:tc>
        <w:tc>
          <w:tcPr>
            <w:tcW w:w="678" w:type="dxa"/>
            <w:shd w:val="clear" w:color="auto" w:fill="7F7F7F" w:themeFill="text1" w:themeFillTint="80"/>
          </w:tcPr>
          <w:p w:rsidR="00440751" w:rsidRPr="00C2514D" w:rsidRDefault="00440751" w:rsidP="00100E6A">
            <w:pPr>
              <w:pStyle w:val="Regtable"/>
              <w:framePr w:wrap="around"/>
              <w:spacing w:before="0" w:after="0"/>
              <w:rPr>
                <w:rFonts w:ascii="Arial" w:hAnsi="Arial" w:cs="Arial"/>
                <w:sz w:val="18"/>
                <w:szCs w:val="18"/>
                <w:lang w:val="en-US"/>
              </w:rPr>
            </w:pPr>
          </w:p>
        </w:tc>
        <w:tc>
          <w:tcPr>
            <w:tcW w:w="672" w:type="dxa"/>
            <w:shd w:val="clear" w:color="auto" w:fill="7F7F7F" w:themeFill="text1" w:themeFillTint="80"/>
          </w:tcPr>
          <w:p w:rsidR="00440751" w:rsidRPr="00C2514D" w:rsidRDefault="00440751" w:rsidP="00100E6A">
            <w:pPr>
              <w:pStyle w:val="Regtable"/>
              <w:framePr w:wrap="around"/>
              <w:spacing w:before="0" w:after="0"/>
              <w:rPr>
                <w:rFonts w:ascii="Arial" w:hAnsi="Arial" w:cs="Arial"/>
                <w:noProof w:val="0"/>
                <w:sz w:val="18"/>
                <w:szCs w:val="18"/>
                <w:lang w:val="en-US"/>
              </w:rPr>
            </w:pPr>
          </w:p>
        </w:tc>
        <w:tc>
          <w:tcPr>
            <w:tcW w:w="678" w:type="dxa"/>
            <w:shd w:val="clear" w:color="auto" w:fill="7F7F7F" w:themeFill="text1" w:themeFillTint="80"/>
          </w:tcPr>
          <w:p w:rsidR="00440751" w:rsidRPr="00C2514D" w:rsidRDefault="00440751" w:rsidP="00100E6A">
            <w:pPr>
              <w:pStyle w:val="Regtable"/>
              <w:framePr w:wrap="around"/>
              <w:spacing w:before="0" w:after="0"/>
              <w:rPr>
                <w:rFonts w:ascii="Arial" w:hAnsi="Arial" w:cs="Arial"/>
                <w:noProof w:val="0"/>
                <w:sz w:val="18"/>
                <w:szCs w:val="18"/>
                <w:lang w:val="en-US"/>
              </w:rPr>
            </w:pPr>
          </w:p>
        </w:tc>
        <w:tc>
          <w:tcPr>
            <w:tcW w:w="720" w:type="dxa"/>
            <w:shd w:val="clear" w:color="auto" w:fill="7F7F7F" w:themeFill="text1" w:themeFillTint="80"/>
          </w:tcPr>
          <w:p w:rsidR="00440751" w:rsidRPr="00C2514D" w:rsidRDefault="00440751" w:rsidP="00100E6A">
            <w:pPr>
              <w:pStyle w:val="Regtable"/>
              <w:framePr w:wrap="around"/>
              <w:spacing w:before="0" w:after="0"/>
              <w:rPr>
                <w:rFonts w:ascii="Arial" w:hAnsi="Arial" w:cs="Arial"/>
                <w:noProof w:val="0"/>
                <w:sz w:val="18"/>
                <w:szCs w:val="18"/>
                <w:lang w:val="en-US"/>
              </w:rPr>
            </w:pPr>
          </w:p>
        </w:tc>
        <w:tc>
          <w:tcPr>
            <w:tcW w:w="1307" w:type="dxa"/>
          </w:tcPr>
          <w:p w:rsidR="00440751" w:rsidRPr="00C2514D" w:rsidRDefault="00440751" w:rsidP="00100E6A">
            <w:pPr>
              <w:pStyle w:val="Regtable"/>
              <w:framePr w:wrap="around"/>
              <w:spacing w:before="0" w:after="0"/>
              <w:jc w:val="center"/>
              <w:rPr>
                <w:rFonts w:ascii="Arial" w:hAnsi="Arial" w:cs="Arial"/>
                <w:noProof w:val="0"/>
                <w:sz w:val="18"/>
                <w:szCs w:val="18"/>
                <w:lang w:val="en-US"/>
              </w:rPr>
            </w:pPr>
            <w:r w:rsidRPr="00C2514D">
              <w:rPr>
                <w:rFonts w:ascii="Arial" w:hAnsi="Arial" w:cs="Arial"/>
                <w:noProof w:val="0"/>
                <w:sz w:val="18"/>
                <w:szCs w:val="18"/>
                <w:lang w:val="en-US"/>
              </w:rPr>
              <w:t>MoB</w:t>
            </w:r>
          </w:p>
        </w:tc>
        <w:tc>
          <w:tcPr>
            <w:tcW w:w="1170" w:type="dxa"/>
          </w:tcPr>
          <w:p w:rsidR="00440751" w:rsidRPr="00C2514D" w:rsidRDefault="00440751" w:rsidP="00100E6A">
            <w:pPr>
              <w:pStyle w:val="Regtable"/>
              <w:framePr w:wrap="around"/>
              <w:spacing w:before="0" w:after="0"/>
              <w:jc w:val="center"/>
              <w:rPr>
                <w:rFonts w:ascii="Arial" w:hAnsi="Arial" w:cs="Arial"/>
                <w:noProof w:val="0"/>
                <w:sz w:val="18"/>
                <w:szCs w:val="18"/>
                <w:lang w:val="en-US"/>
              </w:rPr>
            </w:pPr>
            <w:r w:rsidRPr="00C2514D">
              <w:rPr>
                <w:rFonts w:ascii="Arial" w:hAnsi="Arial" w:cs="Arial"/>
                <w:noProof w:val="0"/>
                <w:sz w:val="18"/>
                <w:szCs w:val="18"/>
                <w:lang w:val="en-US"/>
              </w:rPr>
              <w:t>0</w:t>
            </w:r>
          </w:p>
        </w:tc>
      </w:tr>
      <w:tr w:rsidR="00440751" w:rsidRPr="00C2514D" w:rsidTr="00E221E5">
        <w:trPr>
          <w:gridBefore w:val="1"/>
          <w:wBefore w:w="13" w:type="dxa"/>
          <w:trHeight w:val="272"/>
          <w:jc w:val="center"/>
        </w:trPr>
        <w:tc>
          <w:tcPr>
            <w:tcW w:w="2690" w:type="dxa"/>
            <w:vAlign w:val="center"/>
          </w:tcPr>
          <w:p w:rsidR="00440751" w:rsidRPr="00C2514D" w:rsidRDefault="00DE0DAB" w:rsidP="00DE0DAB">
            <w:pPr>
              <w:rPr>
                <w:rFonts w:ascii="Arial" w:hAnsi="Arial" w:cs="Arial"/>
                <w:spacing w:val="0"/>
                <w:sz w:val="18"/>
                <w:szCs w:val="18"/>
                <w:lang w:val="en-US" w:eastAsia="es-AR"/>
              </w:rPr>
            </w:pPr>
            <w:r w:rsidRPr="00C2514D">
              <w:rPr>
                <w:rFonts w:ascii="Arial" w:hAnsi="Arial" w:cs="Arial"/>
                <w:spacing w:val="0"/>
                <w:sz w:val="18"/>
                <w:szCs w:val="18"/>
                <w:lang w:val="en-US" w:eastAsia="es-AR"/>
              </w:rPr>
              <w:t>Initial progress</w:t>
            </w:r>
            <w:r w:rsidR="00440751" w:rsidRPr="00C2514D">
              <w:rPr>
                <w:rFonts w:ascii="Arial" w:hAnsi="Arial" w:cs="Arial"/>
                <w:spacing w:val="0"/>
                <w:sz w:val="18"/>
                <w:szCs w:val="18"/>
                <w:lang w:val="en-US" w:eastAsia="es-AR"/>
              </w:rPr>
              <w:t xml:space="preserve"> evaluation</w:t>
            </w:r>
          </w:p>
        </w:tc>
        <w:tc>
          <w:tcPr>
            <w:tcW w:w="665" w:type="dxa"/>
            <w:shd w:val="clear" w:color="auto" w:fill="auto"/>
          </w:tcPr>
          <w:p w:rsidR="00440751" w:rsidRPr="00C2514D" w:rsidRDefault="00440751" w:rsidP="00100E6A">
            <w:pPr>
              <w:pStyle w:val="Regtable"/>
              <w:framePr w:wrap="around"/>
              <w:spacing w:before="0" w:after="0"/>
              <w:rPr>
                <w:rFonts w:ascii="Arial" w:hAnsi="Arial" w:cs="Arial"/>
                <w:sz w:val="18"/>
                <w:szCs w:val="18"/>
                <w:lang w:val="en-US"/>
              </w:rPr>
            </w:pPr>
          </w:p>
        </w:tc>
        <w:tc>
          <w:tcPr>
            <w:tcW w:w="630" w:type="dxa"/>
            <w:shd w:val="clear" w:color="auto" w:fill="7F7F7F" w:themeFill="text1" w:themeFillTint="80"/>
          </w:tcPr>
          <w:p w:rsidR="00440751" w:rsidRPr="00C2514D" w:rsidRDefault="00440751" w:rsidP="00100E6A">
            <w:pPr>
              <w:pStyle w:val="Regtable"/>
              <w:framePr w:wrap="around"/>
              <w:spacing w:before="0" w:after="0"/>
              <w:rPr>
                <w:rFonts w:ascii="Arial" w:hAnsi="Arial" w:cs="Arial"/>
                <w:sz w:val="18"/>
                <w:szCs w:val="18"/>
                <w:lang w:val="en-US"/>
              </w:rPr>
            </w:pPr>
          </w:p>
        </w:tc>
        <w:tc>
          <w:tcPr>
            <w:tcW w:w="678" w:type="dxa"/>
            <w:shd w:val="clear" w:color="auto" w:fill="auto"/>
          </w:tcPr>
          <w:p w:rsidR="00440751" w:rsidRPr="00C2514D" w:rsidRDefault="00440751" w:rsidP="00100E6A">
            <w:pPr>
              <w:pStyle w:val="Regtable"/>
              <w:framePr w:wrap="around"/>
              <w:spacing w:before="0" w:after="0"/>
              <w:rPr>
                <w:rFonts w:ascii="Arial" w:hAnsi="Arial" w:cs="Arial"/>
                <w:sz w:val="18"/>
                <w:szCs w:val="18"/>
                <w:lang w:val="en-US"/>
              </w:rPr>
            </w:pPr>
          </w:p>
        </w:tc>
        <w:tc>
          <w:tcPr>
            <w:tcW w:w="672" w:type="dxa"/>
            <w:shd w:val="clear" w:color="auto" w:fill="auto"/>
          </w:tcPr>
          <w:p w:rsidR="00440751" w:rsidRPr="00C2514D" w:rsidRDefault="00440751" w:rsidP="00100E6A">
            <w:pPr>
              <w:pStyle w:val="Regtable"/>
              <w:framePr w:wrap="around"/>
              <w:spacing w:before="0" w:after="0"/>
              <w:rPr>
                <w:rFonts w:ascii="Arial" w:hAnsi="Arial" w:cs="Arial"/>
                <w:noProof w:val="0"/>
                <w:sz w:val="18"/>
                <w:szCs w:val="18"/>
                <w:lang w:val="en-US"/>
              </w:rPr>
            </w:pPr>
          </w:p>
        </w:tc>
        <w:tc>
          <w:tcPr>
            <w:tcW w:w="678" w:type="dxa"/>
            <w:shd w:val="clear" w:color="auto" w:fill="auto"/>
          </w:tcPr>
          <w:p w:rsidR="00440751" w:rsidRPr="00C2514D" w:rsidRDefault="00440751" w:rsidP="00100E6A">
            <w:pPr>
              <w:pStyle w:val="Regtable"/>
              <w:framePr w:wrap="around"/>
              <w:spacing w:before="0" w:after="0"/>
              <w:rPr>
                <w:rFonts w:ascii="Arial" w:hAnsi="Arial" w:cs="Arial"/>
                <w:noProof w:val="0"/>
                <w:sz w:val="18"/>
                <w:szCs w:val="18"/>
                <w:lang w:val="en-US"/>
              </w:rPr>
            </w:pPr>
          </w:p>
        </w:tc>
        <w:tc>
          <w:tcPr>
            <w:tcW w:w="720" w:type="dxa"/>
          </w:tcPr>
          <w:p w:rsidR="00440751" w:rsidRPr="00C2514D" w:rsidRDefault="00440751" w:rsidP="00100E6A">
            <w:pPr>
              <w:pStyle w:val="Regtable"/>
              <w:framePr w:wrap="around"/>
              <w:spacing w:before="0" w:after="0"/>
              <w:rPr>
                <w:rFonts w:ascii="Arial" w:hAnsi="Arial" w:cs="Arial"/>
                <w:noProof w:val="0"/>
                <w:sz w:val="18"/>
                <w:szCs w:val="18"/>
                <w:lang w:val="en-US"/>
              </w:rPr>
            </w:pPr>
          </w:p>
        </w:tc>
        <w:tc>
          <w:tcPr>
            <w:tcW w:w="1307" w:type="dxa"/>
          </w:tcPr>
          <w:p w:rsidR="00440751" w:rsidRPr="00C2514D" w:rsidRDefault="00440751" w:rsidP="00100E6A">
            <w:pPr>
              <w:pStyle w:val="Regtable"/>
              <w:framePr w:wrap="around"/>
              <w:spacing w:before="0" w:after="0"/>
              <w:jc w:val="center"/>
              <w:rPr>
                <w:rFonts w:ascii="Arial" w:hAnsi="Arial" w:cs="Arial"/>
                <w:noProof w:val="0"/>
                <w:sz w:val="18"/>
                <w:szCs w:val="18"/>
                <w:lang w:val="en-US"/>
              </w:rPr>
            </w:pPr>
            <w:r w:rsidRPr="00C2514D">
              <w:rPr>
                <w:rFonts w:ascii="Arial" w:hAnsi="Arial" w:cs="Arial"/>
                <w:noProof w:val="0"/>
                <w:sz w:val="18"/>
                <w:szCs w:val="18"/>
                <w:lang w:val="en-US"/>
              </w:rPr>
              <w:t>MoB, IDB</w:t>
            </w:r>
          </w:p>
        </w:tc>
        <w:tc>
          <w:tcPr>
            <w:tcW w:w="1170" w:type="dxa"/>
          </w:tcPr>
          <w:p w:rsidR="00440751" w:rsidRPr="00C2514D" w:rsidRDefault="00440751" w:rsidP="00100E6A">
            <w:pPr>
              <w:pStyle w:val="Regtable"/>
              <w:framePr w:wrap="around"/>
              <w:spacing w:before="0" w:after="0"/>
              <w:jc w:val="center"/>
              <w:rPr>
                <w:rFonts w:ascii="Arial" w:hAnsi="Arial" w:cs="Arial"/>
                <w:noProof w:val="0"/>
                <w:sz w:val="18"/>
                <w:szCs w:val="18"/>
                <w:lang w:val="en-US"/>
              </w:rPr>
            </w:pPr>
            <w:r w:rsidRPr="00C2514D">
              <w:rPr>
                <w:rFonts w:ascii="Arial" w:hAnsi="Arial" w:cs="Arial"/>
                <w:noProof w:val="0"/>
                <w:sz w:val="18"/>
                <w:szCs w:val="18"/>
                <w:lang w:val="en-US"/>
              </w:rPr>
              <w:t>10</w:t>
            </w:r>
          </w:p>
        </w:tc>
      </w:tr>
      <w:tr w:rsidR="00440751" w:rsidRPr="00C2514D" w:rsidTr="00E221E5">
        <w:trPr>
          <w:gridBefore w:val="1"/>
          <w:wBefore w:w="13" w:type="dxa"/>
          <w:trHeight w:val="272"/>
          <w:jc w:val="center"/>
        </w:trPr>
        <w:tc>
          <w:tcPr>
            <w:tcW w:w="2690" w:type="dxa"/>
            <w:vAlign w:val="center"/>
          </w:tcPr>
          <w:p w:rsidR="00440751" w:rsidRPr="00C2514D" w:rsidRDefault="00DE0DAB" w:rsidP="00100E6A">
            <w:pPr>
              <w:rPr>
                <w:rFonts w:ascii="Arial" w:hAnsi="Arial" w:cs="Arial"/>
                <w:spacing w:val="0"/>
                <w:sz w:val="18"/>
                <w:szCs w:val="18"/>
                <w:lang w:val="en-US" w:eastAsia="es-AR"/>
              </w:rPr>
            </w:pPr>
            <w:r w:rsidRPr="00C2514D">
              <w:rPr>
                <w:rFonts w:ascii="Arial" w:hAnsi="Arial" w:cs="Arial"/>
                <w:spacing w:val="0"/>
                <w:sz w:val="18"/>
                <w:szCs w:val="18"/>
                <w:lang w:val="en-US" w:eastAsia="es-AR"/>
              </w:rPr>
              <w:t>Mid project</w:t>
            </w:r>
            <w:r w:rsidR="00440751" w:rsidRPr="00C2514D">
              <w:rPr>
                <w:rFonts w:ascii="Arial" w:hAnsi="Arial" w:cs="Arial"/>
                <w:spacing w:val="0"/>
                <w:sz w:val="18"/>
                <w:szCs w:val="18"/>
                <w:lang w:val="en-US" w:eastAsia="es-AR"/>
              </w:rPr>
              <w:t xml:space="preserve"> evaluation</w:t>
            </w:r>
          </w:p>
        </w:tc>
        <w:tc>
          <w:tcPr>
            <w:tcW w:w="665" w:type="dxa"/>
            <w:shd w:val="clear" w:color="auto" w:fill="auto"/>
          </w:tcPr>
          <w:p w:rsidR="00440751" w:rsidRPr="00C2514D" w:rsidRDefault="00440751" w:rsidP="00100E6A">
            <w:pPr>
              <w:pStyle w:val="Regtable"/>
              <w:framePr w:wrap="around"/>
              <w:spacing w:before="0" w:after="0"/>
              <w:rPr>
                <w:rFonts w:ascii="Arial" w:hAnsi="Arial" w:cs="Arial"/>
                <w:sz w:val="18"/>
                <w:szCs w:val="18"/>
                <w:lang w:val="en-US"/>
              </w:rPr>
            </w:pPr>
          </w:p>
        </w:tc>
        <w:tc>
          <w:tcPr>
            <w:tcW w:w="630" w:type="dxa"/>
            <w:shd w:val="clear" w:color="auto" w:fill="auto"/>
          </w:tcPr>
          <w:p w:rsidR="00440751" w:rsidRPr="00C2514D" w:rsidRDefault="00440751" w:rsidP="00100E6A">
            <w:pPr>
              <w:pStyle w:val="Regtable"/>
              <w:framePr w:wrap="around"/>
              <w:spacing w:before="0" w:after="0"/>
              <w:rPr>
                <w:rFonts w:ascii="Arial" w:hAnsi="Arial" w:cs="Arial"/>
                <w:sz w:val="18"/>
                <w:szCs w:val="18"/>
                <w:lang w:val="en-US"/>
              </w:rPr>
            </w:pPr>
          </w:p>
        </w:tc>
        <w:tc>
          <w:tcPr>
            <w:tcW w:w="678" w:type="dxa"/>
            <w:shd w:val="clear" w:color="auto" w:fill="auto"/>
          </w:tcPr>
          <w:p w:rsidR="00440751" w:rsidRPr="00C2514D" w:rsidRDefault="00440751" w:rsidP="00100E6A">
            <w:pPr>
              <w:pStyle w:val="Regtable"/>
              <w:framePr w:wrap="around"/>
              <w:spacing w:before="0" w:after="0"/>
              <w:rPr>
                <w:rFonts w:ascii="Arial" w:hAnsi="Arial" w:cs="Arial"/>
                <w:sz w:val="18"/>
                <w:szCs w:val="18"/>
                <w:lang w:val="en-US"/>
              </w:rPr>
            </w:pPr>
          </w:p>
        </w:tc>
        <w:tc>
          <w:tcPr>
            <w:tcW w:w="672" w:type="dxa"/>
            <w:shd w:val="clear" w:color="auto" w:fill="7F7F7F" w:themeFill="text1" w:themeFillTint="80"/>
          </w:tcPr>
          <w:p w:rsidR="00440751" w:rsidRPr="00C2514D" w:rsidRDefault="00440751" w:rsidP="00100E6A">
            <w:pPr>
              <w:pStyle w:val="Regtable"/>
              <w:framePr w:wrap="around"/>
              <w:spacing w:before="0" w:after="0"/>
              <w:rPr>
                <w:rFonts w:ascii="Arial" w:hAnsi="Arial" w:cs="Arial"/>
                <w:noProof w:val="0"/>
                <w:sz w:val="18"/>
                <w:szCs w:val="18"/>
                <w:lang w:val="en-US"/>
              </w:rPr>
            </w:pPr>
          </w:p>
        </w:tc>
        <w:tc>
          <w:tcPr>
            <w:tcW w:w="678" w:type="dxa"/>
            <w:shd w:val="clear" w:color="auto" w:fill="auto"/>
          </w:tcPr>
          <w:p w:rsidR="00440751" w:rsidRPr="00C2514D" w:rsidRDefault="00440751" w:rsidP="00100E6A">
            <w:pPr>
              <w:pStyle w:val="Regtable"/>
              <w:framePr w:wrap="around"/>
              <w:spacing w:before="0" w:after="0"/>
              <w:rPr>
                <w:rFonts w:ascii="Arial" w:hAnsi="Arial" w:cs="Arial"/>
                <w:noProof w:val="0"/>
                <w:sz w:val="18"/>
                <w:szCs w:val="18"/>
                <w:lang w:val="en-US"/>
              </w:rPr>
            </w:pPr>
          </w:p>
        </w:tc>
        <w:tc>
          <w:tcPr>
            <w:tcW w:w="720" w:type="dxa"/>
          </w:tcPr>
          <w:p w:rsidR="00440751" w:rsidRPr="00C2514D" w:rsidRDefault="00440751" w:rsidP="00100E6A">
            <w:pPr>
              <w:pStyle w:val="Regtable"/>
              <w:framePr w:wrap="around"/>
              <w:spacing w:before="0" w:after="0"/>
              <w:rPr>
                <w:rFonts w:ascii="Arial" w:hAnsi="Arial" w:cs="Arial"/>
                <w:noProof w:val="0"/>
                <w:sz w:val="18"/>
                <w:szCs w:val="18"/>
                <w:lang w:val="en-US"/>
              </w:rPr>
            </w:pPr>
          </w:p>
        </w:tc>
        <w:tc>
          <w:tcPr>
            <w:tcW w:w="1307" w:type="dxa"/>
          </w:tcPr>
          <w:p w:rsidR="00440751" w:rsidRPr="00C2514D" w:rsidRDefault="00440751" w:rsidP="00100E6A">
            <w:pPr>
              <w:pStyle w:val="Regtable"/>
              <w:framePr w:wrap="around"/>
              <w:spacing w:before="0" w:after="0"/>
              <w:jc w:val="center"/>
              <w:rPr>
                <w:rFonts w:ascii="Arial" w:hAnsi="Arial" w:cs="Arial"/>
                <w:noProof w:val="0"/>
                <w:sz w:val="18"/>
                <w:szCs w:val="18"/>
                <w:lang w:val="en-US"/>
              </w:rPr>
            </w:pPr>
            <w:r w:rsidRPr="00C2514D">
              <w:rPr>
                <w:rFonts w:ascii="Arial" w:hAnsi="Arial" w:cs="Arial"/>
                <w:noProof w:val="0"/>
                <w:sz w:val="18"/>
                <w:szCs w:val="18"/>
                <w:lang w:val="en-US"/>
              </w:rPr>
              <w:t>MoB, IDB</w:t>
            </w:r>
          </w:p>
        </w:tc>
        <w:tc>
          <w:tcPr>
            <w:tcW w:w="1170" w:type="dxa"/>
          </w:tcPr>
          <w:p w:rsidR="00440751" w:rsidRPr="00C2514D" w:rsidRDefault="00B0717D" w:rsidP="00100E6A">
            <w:pPr>
              <w:pStyle w:val="Regtable"/>
              <w:framePr w:wrap="around"/>
              <w:spacing w:before="0" w:after="0"/>
              <w:jc w:val="center"/>
              <w:rPr>
                <w:rFonts w:ascii="Arial" w:hAnsi="Arial" w:cs="Arial"/>
                <w:noProof w:val="0"/>
                <w:sz w:val="18"/>
                <w:szCs w:val="18"/>
                <w:lang w:val="en-US"/>
              </w:rPr>
            </w:pPr>
            <w:r w:rsidRPr="00C2514D">
              <w:rPr>
                <w:rFonts w:ascii="Arial" w:hAnsi="Arial" w:cs="Arial"/>
                <w:noProof w:val="0"/>
                <w:sz w:val="18"/>
                <w:szCs w:val="18"/>
                <w:lang w:val="en-US"/>
              </w:rPr>
              <w:t>15</w:t>
            </w:r>
          </w:p>
        </w:tc>
      </w:tr>
      <w:tr w:rsidR="00440751" w:rsidRPr="00C2514D" w:rsidTr="00E221E5">
        <w:trPr>
          <w:gridBefore w:val="1"/>
          <w:wBefore w:w="13" w:type="dxa"/>
          <w:trHeight w:val="272"/>
          <w:jc w:val="center"/>
        </w:trPr>
        <w:tc>
          <w:tcPr>
            <w:tcW w:w="2690" w:type="dxa"/>
            <w:vAlign w:val="center"/>
          </w:tcPr>
          <w:p w:rsidR="00440751" w:rsidRPr="00C2514D" w:rsidRDefault="00440751" w:rsidP="00100E6A">
            <w:pPr>
              <w:rPr>
                <w:rFonts w:ascii="Arial" w:hAnsi="Arial" w:cs="Arial"/>
                <w:spacing w:val="0"/>
                <w:sz w:val="18"/>
                <w:szCs w:val="18"/>
                <w:lang w:val="en-US" w:eastAsia="es-AR"/>
              </w:rPr>
            </w:pPr>
            <w:r w:rsidRPr="00C2514D">
              <w:rPr>
                <w:rFonts w:ascii="Arial" w:hAnsi="Arial" w:cs="Arial"/>
                <w:spacing w:val="0"/>
                <w:sz w:val="18"/>
                <w:szCs w:val="18"/>
                <w:lang w:val="en-US" w:eastAsia="es-AR"/>
              </w:rPr>
              <w:t>Final evaluation</w:t>
            </w:r>
          </w:p>
        </w:tc>
        <w:tc>
          <w:tcPr>
            <w:tcW w:w="665" w:type="dxa"/>
            <w:shd w:val="clear" w:color="auto" w:fill="auto"/>
          </w:tcPr>
          <w:p w:rsidR="00440751" w:rsidRPr="00C2514D" w:rsidRDefault="00440751" w:rsidP="00100E6A">
            <w:pPr>
              <w:pStyle w:val="Regtable"/>
              <w:framePr w:wrap="around"/>
              <w:spacing w:before="0" w:after="0"/>
              <w:rPr>
                <w:rFonts w:ascii="Arial" w:hAnsi="Arial" w:cs="Arial"/>
                <w:sz w:val="18"/>
                <w:szCs w:val="18"/>
                <w:lang w:val="en-US"/>
              </w:rPr>
            </w:pPr>
          </w:p>
        </w:tc>
        <w:tc>
          <w:tcPr>
            <w:tcW w:w="630" w:type="dxa"/>
            <w:shd w:val="clear" w:color="auto" w:fill="auto"/>
          </w:tcPr>
          <w:p w:rsidR="00440751" w:rsidRPr="00C2514D" w:rsidRDefault="00440751" w:rsidP="00100E6A">
            <w:pPr>
              <w:pStyle w:val="Regtable"/>
              <w:framePr w:wrap="around"/>
              <w:spacing w:before="0" w:after="0"/>
              <w:rPr>
                <w:rFonts w:ascii="Arial" w:hAnsi="Arial" w:cs="Arial"/>
                <w:sz w:val="18"/>
                <w:szCs w:val="18"/>
                <w:lang w:val="en-US"/>
              </w:rPr>
            </w:pPr>
          </w:p>
        </w:tc>
        <w:tc>
          <w:tcPr>
            <w:tcW w:w="678" w:type="dxa"/>
            <w:shd w:val="clear" w:color="auto" w:fill="auto"/>
          </w:tcPr>
          <w:p w:rsidR="00440751" w:rsidRPr="00C2514D" w:rsidRDefault="00440751" w:rsidP="00100E6A">
            <w:pPr>
              <w:pStyle w:val="Regtable"/>
              <w:framePr w:wrap="around"/>
              <w:spacing w:before="0" w:after="0"/>
              <w:rPr>
                <w:rFonts w:ascii="Arial" w:hAnsi="Arial" w:cs="Arial"/>
                <w:sz w:val="18"/>
                <w:szCs w:val="18"/>
                <w:lang w:val="en-US"/>
              </w:rPr>
            </w:pPr>
          </w:p>
        </w:tc>
        <w:tc>
          <w:tcPr>
            <w:tcW w:w="672" w:type="dxa"/>
            <w:shd w:val="clear" w:color="auto" w:fill="auto"/>
          </w:tcPr>
          <w:p w:rsidR="00440751" w:rsidRPr="00C2514D" w:rsidRDefault="00440751" w:rsidP="00100E6A">
            <w:pPr>
              <w:pStyle w:val="Regtable"/>
              <w:framePr w:wrap="around"/>
              <w:spacing w:before="0" w:after="0"/>
              <w:rPr>
                <w:rFonts w:ascii="Arial" w:hAnsi="Arial" w:cs="Arial"/>
                <w:noProof w:val="0"/>
                <w:sz w:val="18"/>
                <w:szCs w:val="18"/>
                <w:lang w:val="en-US"/>
              </w:rPr>
            </w:pPr>
          </w:p>
        </w:tc>
        <w:tc>
          <w:tcPr>
            <w:tcW w:w="678" w:type="dxa"/>
            <w:shd w:val="clear" w:color="auto" w:fill="auto"/>
          </w:tcPr>
          <w:p w:rsidR="00440751" w:rsidRPr="00C2514D" w:rsidRDefault="00440751" w:rsidP="00100E6A">
            <w:pPr>
              <w:pStyle w:val="Regtable"/>
              <w:framePr w:wrap="around"/>
              <w:spacing w:before="0" w:after="0"/>
              <w:rPr>
                <w:rFonts w:ascii="Arial" w:hAnsi="Arial" w:cs="Arial"/>
                <w:noProof w:val="0"/>
                <w:sz w:val="18"/>
                <w:szCs w:val="18"/>
                <w:lang w:val="en-US"/>
              </w:rPr>
            </w:pPr>
          </w:p>
        </w:tc>
        <w:tc>
          <w:tcPr>
            <w:tcW w:w="720" w:type="dxa"/>
            <w:shd w:val="clear" w:color="auto" w:fill="7F7F7F" w:themeFill="text1" w:themeFillTint="80"/>
          </w:tcPr>
          <w:p w:rsidR="00440751" w:rsidRPr="00C2514D" w:rsidRDefault="00440751" w:rsidP="00100E6A">
            <w:pPr>
              <w:pStyle w:val="Regtable"/>
              <w:framePr w:wrap="around"/>
              <w:spacing w:before="0" w:after="0"/>
              <w:rPr>
                <w:rFonts w:ascii="Arial" w:hAnsi="Arial" w:cs="Arial"/>
                <w:noProof w:val="0"/>
                <w:sz w:val="18"/>
                <w:szCs w:val="18"/>
                <w:lang w:val="en-US"/>
              </w:rPr>
            </w:pPr>
          </w:p>
        </w:tc>
        <w:tc>
          <w:tcPr>
            <w:tcW w:w="1307" w:type="dxa"/>
          </w:tcPr>
          <w:p w:rsidR="00440751" w:rsidRPr="00C2514D" w:rsidRDefault="00440751" w:rsidP="00100E6A">
            <w:pPr>
              <w:pStyle w:val="Regtable"/>
              <w:framePr w:wrap="around"/>
              <w:spacing w:before="0" w:after="0"/>
              <w:jc w:val="center"/>
              <w:rPr>
                <w:rFonts w:ascii="Arial" w:hAnsi="Arial" w:cs="Arial"/>
                <w:noProof w:val="0"/>
                <w:sz w:val="18"/>
                <w:szCs w:val="18"/>
                <w:lang w:val="en-US"/>
              </w:rPr>
            </w:pPr>
            <w:r w:rsidRPr="00C2514D">
              <w:rPr>
                <w:rFonts w:ascii="Arial" w:hAnsi="Arial" w:cs="Arial"/>
                <w:noProof w:val="0"/>
                <w:sz w:val="18"/>
                <w:szCs w:val="18"/>
                <w:lang w:val="en-US"/>
              </w:rPr>
              <w:t>MoB, IDB</w:t>
            </w:r>
          </w:p>
        </w:tc>
        <w:tc>
          <w:tcPr>
            <w:tcW w:w="1170" w:type="dxa"/>
          </w:tcPr>
          <w:p w:rsidR="00440751" w:rsidRPr="00C2514D" w:rsidRDefault="00B0717D" w:rsidP="00100E6A">
            <w:pPr>
              <w:pStyle w:val="Regtable"/>
              <w:framePr w:wrap="around"/>
              <w:spacing w:before="0" w:after="0"/>
              <w:jc w:val="center"/>
              <w:rPr>
                <w:rFonts w:ascii="Arial" w:hAnsi="Arial" w:cs="Arial"/>
                <w:noProof w:val="0"/>
                <w:sz w:val="18"/>
                <w:szCs w:val="18"/>
                <w:lang w:val="en-US"/>
              </w:rPr>
            </w:pPr>
            <w:r w:rsidRPr="00C2514D">
              <w:rPr>
                <w:rFonts w:ascii="Arial" w:hAnsi="Arial" w:cs="Arial"/>
                <w:noProof w:val="0"/>
                <w:sz w:val="18"/>
                <w:szCs w:val="18"/>
                <w:lang w:val="en-US"/>
              </w:rPr>
              <w:t>15</w:t>
            </w:r>
          </w:p>
        </w:tc>
      </w:tr>
    </w:tbl>
    <w:p w:rsidR="00100E6A" w:rsidRPr="00C2514D" w:rsidRDefault="00100E6A" w:rsidP="00100E6A">
      <w:pPr>
        <w:rPr>
          <w:rFonts w:eastAsia="Calibri"/>
          <w:lang w:val="en-US"/>
        </w:rPr>
      </w:pPr>
    </w:p>
    <w:p w:rsidR="005976EF" w:rsidRPr="00C2514D" w:rsidRDefault="005976EF">
      <w:pPr>
        <w:spacing w:after="200" w:line="276" w:lineRule="auto"/>
        <w:rPr>
          <w:rFonts w:ascii="Arial" w:eastAsia="Calibri" w:hAnsi="Arial" w:cs="Arial"/>
          <w:b/>
          <w:smallCaps/>
          <w:spacing w:val="0"/>
          <w:lang w:val="en-US"/>
        </w:rPr>
      </w:pPr>
      <w:bookmarkStart w:id="12" w:name="_Toc449703288"/>
      <w:r w:rsidRPr="00C2514D">
        <w:rPr>
          <w:rFonts w:ascii="Arial" w:eastAsia="Calibri" w:hAnsi="Arial" w:cs="Arial"/>
          <w:lang w:val="en-US"/>
        </w:rPr>
        <w:br w:type="page"/>
      </w:r>
    </w:p>
    <w:p w:rsidR="00473936" w:rsidRPr="00C2514D" w:rsidRDefault="00473936" w:rsidP="00F42A95">
      <w:pPr>
        <w:pStyle w:val="Chapter"/>
        <w:numPr>
          <w:ilvl w:val="0"/>
          <w:numId w:val="0"/>
        </w:numPr>
        <w:ind w:left="288"/>
        <w:jc w:val="left"/>
        <w:rPr>
          <w:rFonts w:ascii="Arial" w:eastAsia="Calibri" w:hAnsi="Arial" w:cs="Arial"/>
          <w:lang w:val="en-US"/>
        </w:rPr>
      </w:pPr>
      <w:r w:rsidRPr="00C2514D">
        <w:rPr>
          <w:rFonts w:ascii="Arial" w:eastAsia="Calibri" w:hAnsi="Arial" w:cs="Arial"/>
          <w:lang w:val="en-US"/>
        </w:rPr>
        <w:lastRenderedPageBreak/>
        <w:t>Referenc</w:t>
      </w:r>
      <w:r w:rsidR="00D6582C" w:rsidRPr="00C2514D">
        <w:rPr>
          <w:rFonts w:ascii="Arial" w:eastAsia="Calibri" w:hAnsi="Arial" w:cs="Arial"/>
          <w:lang w:val="en-US"/>
        </w:rPr>
        <w:t>e</w:t>
      </w:r>
      <w:r w:rsidRPr="00C2514D">
        <w:rPr>
          <w:rFonts w:ascii="Arial" w:eastAsia="Calibri" w:hAnsi="Arial" w:cs="Arial"/>
          <w:lang w:val="en-US"/>
        </w:rPr>
        <w:t>s</w:t>
      </w:r>
      <w:bookmarkEnd w:id="12"/>
    </w:p>
    <w:p w:rsidR="00271ED8" w:rsidRPr="00C2514D" w:rsidRDefault="00271ED8" w:rsidP="00271ED8">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 xml:space="preserve">Bank of Guyana (2015) “Quarterly Report &amp; Statistical Bulletin 2015 Q3” Vol. 9 No. 2 </w:t>
      </w:r>
    </w:p>
    <w:p w:rsidR="00271ED8" w:rsidRPr="00C2514D" w:rsidRDefault="00271ED8" w:rsidP="00271ED8">
      <w:pPr>
        <w:autoSpaceDE w:val="0"/>
        <w:autoSpaceDN w:val="0"/>
        <w:adjustRightInd w:val="0"/>
        <w:ind w:firstLine="709"/>
        <w:jc w:val="both"/>
        <w:rPr>
          <w:rFonts w:ascii="Arial" w:eastAsiaTheme="minorHAnsi" w:hAnsi="Arial" w:cs="Arial"/>
          <w:spacing w:val="0"/>
          <w:sz w:val="22"/>
          <w:szCs w:val="22"/>
          <w:lang w:val="en-US"/>
        </w:rPr>
      </w:pPr>
    </w:p>
    <w:p w:rsidR="00231933" w:rsidRPr="00C2514D" w:rsidRDefault="006975A0" w:rsidP="00271ED8">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Blind, K. 2004. The Economics of Standards: Theory, Evidence, Policy. Northampton, MA: Edward Elgar.</w:t>
      </w:r>
    </w:p>
    <w:p w:rsidR="006975A0" w:rsidRPr="00C2514D" w:rsidRDefault="006975A0" w:rsidP="006975A0">
      <w:pPr>
        <w:autoSpaceDE w:val="0"/>
        <w:autoSpaceDN w:val="0"/>
        <w:adjustRightInd w:val="0"/>
        <w:jc w:val="both"/>
        <w:rPr>
          <w:rFonts w:ascii="Arial" w:eastAsiaTheme="minorHAnsi" w:hAnsi="Arial" w:cs="Arial"/>
          <w:spacing w:val="0"/>
          <w:sz w:val="22"/>
          <w:szCs w:val="22"/>
          <w:lang w:val="en-US"/>
        </w:rPr>
      </w:pPr>
    </w:p>
    <w:p w:rsidR="00932E80" w:rsidRPr="00C2514D" w:rsidRDefault="00932E80" w:rsidP="00932E80">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Centre for Economics and Business Research (2015) The Economic Contribution of Standards to the UK Economy, June</w:t>
      </w:r>
    </w:p>
    <w:p w:rsidR="00932E80" w:rsidRPr="00C2514D" w:rsidRDefault="00932E80" w:rsidP="00932E80">
      <w:pPr>
        <w:autoSpaceDE w:val="0"/>
        <w:autoSpaceDN w:val="0"/>
        <w:adjustRightInd w:val="0"/>
        <w:ind w:firstLine="709"/>
        <w:jc w:val="both"/>
        <w:rPr>
          <w:rFonts w:ascii="Arial" w:eastAsiaTheme="minorHAnsi" w:hAnsi="Arial" w:cs="Arial"/>
          <w:spacing w:val="0"/>
          <w:sz w:val="22"/>
          <w:szCs w:val="22"/>
          <w:lang w:val="en-US"/>
        </w:rPr>
      </w:pPr>
    </w:p>
    <w:p w:rsidR="00932E80" w:rsidRPr="00C2514D" w:rsidRDefault="00932E80" w:rsidP="00932E80">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Centre for International Economics CIE (2006) Standards and the economy, Report for Standards Australia, July</w:t>
      </w:r>
    </w:p>
    <w:p w:rsidR="00932E80" w:rsidRPr="00C2514D" w:rsidRDefault="00932E80" w:rsidP="006975A0">
      <w:pPr>
        <w:autoSpaceDE w:val="0"/>
        <w:autoSpaceDN w:val="0"/>
        <w:adjustRightInd w:val="0"/>
        <w:jc w:val="both"/>
        <w:rPr>
          <w:rFonts w:ascii="Arial" w:eastAsiaTheme="minorHAnsi" w:hAnsi="Arial" w:cs="Arial"/>
          <w:spacing w:val="0"/>
          <w:sz w:val="22"/>
          <w:szCs w:val="22"/>
          <w:lang w:val="en-US"/>
        </w:rPr>
      </w:pPr>
    </w:p>
    <w:p w:rsidR="006975A0" w:rsidRPr="00C2514D" w:rsidRDefault="006975A0" w:rsidP="006975A0">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 xml:space="preserve">DTI (Department of Trade and Industry). 2005. “The Empirical Economics of Standards.” DTI Economics Paper 12, UK Department of Trade and Industry, London. </w:t>
      </w:r>
    </w:p>
    <w:p w:rsidR="006975A0" w:rsidRPr="00C2514D" w:rsidRDefault="006975A0" w:rsidP="006975A0">
      <w:pPr>
        <w:autoSpaceDE w:val="0"/>
        <w:autoSpaceDN w:val="0"/>
        <w:adjustRightInd w:val="0"/>
        <w:ind w:firstLine="709"/>
        <w:jc w:val="both"/>
        <w:rPr>
          <w:rFonts w:ascii="Arial" w:eastAsiaTheme="minorHAnsi" w:hAnsi="Arial" w:cs="Arial"/>
          <w:spacing w:val="0"/>
          <w:sz w:val="22"/>
          <w:szCs w:val="22"/>
          <w:lang w:val="en-US"/>
        </w:rPr>
      </w:pPr>
    </w:p>
    <w:p w:rsidR="008869ED" w:rsidRPr="00064AE4" w:rsidRDefault="008869ED" w:rsidP="006975A0">
      <w:pPr>
        <w:autoSpaceDE w:val="0"/>
        <w:autoSpaceDN w:val="0"/>
        <w:adjustRightInd w:val="0"/>
        <w:ind w:firstLine="709"/>
        <w:jc w:val="both"/>
        <w:rPr>
          <w:rFonts w:ascii="Arial" w:eastAsiaTheme="minorHAnsi" w:hAnsi="Arial" w:cs="Arial"/>
          <w:spacing w:val="0"/>
          <w:sz w:val="22"/>
          <w:szCs w:val="22"/>
        </w:rPr>
      </w:pPr>
      <w:r w:rsidRPr="00C2514D">
        <w:rPr>
          <w:rFonts w:ascii="Arial" w:eastAsiaTheme="minorHAnsi" w:hAnsi="Arial" w:cs="Arial"/>
          <w:spacing w:val="0"/>
          <w:sz w:val="22"/>
          <w:szCs w:val="22"/>
          <w:lang w:val="en-US"/>
        </w:rPr>
        <w:t xml:space="preserve">Gonçalves, J. and J. Peuckert (2011) “Measuring the impacts of quality infrastructure. </w:t>
      </w:r>
      <w:r w:rsidRPr="00064AE4">
        <w:rPr>
          <w:rFonts w:ascii="Arial" w:eastAsiaTheme="minorHAnsi" w:hAnsi="Arial" w:cs="Arial"/>
          <w:spacing w:val="0"/>
          <w:sz w:val="22"/>
          <w:szCs w:val="22"/>
        </w:rPr>
        <w:t xml:space="preserve">Impact theory, Empirics and Study Design” </w:t>
      </w:r>
    </w:p>
    <w:p w:rsidR="008869ED" w:rsidRPr="00064AE4" w:rsidRDefault="008869ED" w:rsidP="008869ED">
      <w:pPr>
        <w:autoSpaceDE w:val="0"/>
        <w:autoSpaceDN w:val="0"/>
        <w:adjustRightInd w:val="0"/>
        <w:ind w:firstLine="709"/>
        <w:jc w:val="both"/>
        <w:rPr>
          <w:rFonts w:ascii="Arial" w:eastAsiaTheme="minorHAnsi" w:hAnsi="Arial" w:cs="Arial"/>
          <w:spacing w:val="0"/>
          <w:sz w:val="22"/>
          <w:szCs w:val="22"/>
        </w:rPr>
      </w:pPr>
    </w:p>
    <w:p w:rsidR="003C300D" w:rsidRPr="00C2514D" w:rsidRDefault="00C8393B" w:rsidP="003C300D">
      <w:pPr>
        <w:autoSpaceDE w:val="0"/>
        <w:autoSpaceDN w:val="0"/>
        <w:adjustRightInd w:val="0"/>
        <w:ind w:firstLine="709"/>
        <w:jc w:val="both"/>
        <w:rPr>
          <w:rFonts w:ascii="Arial" w:eastAsiaTheme="minorHAnsi" w:hAnsi="Arial" w:cs="Arial"/>
          <w:spacing w:val="0"/>
          <w:sz w:val="22"/>
          <w:szCs w:val="22"/>
          <w:lang w:val="en-US"/>
        </w:rPr>
      </w:pPr>
      <w:r w:rsidRPr="00CB5C3E">
        <w:rPr>
          <w:rFonts w:ascii="Arial" w:eastAsiaTheme="minorHAnsi" w:hAnsi="Arial" w:cs="Arial"/>
          <w:spacing w:val="0"/>
          <w:sz w:val="22"/>
          <w:szCs w:val="22"/>
        </w:rPr>
        <w:t xml:space="preserve">CEPAL </w:t>
      </w:r>
      <w:r w:rsidR="003C300D" w:rsidRPr="00CB5C3E">
        <w:rPr>
          <w:rFonts w:ascii="Arial" w:eastAsiaTheme="minorHAnsi" w:hAnsi="Arial" w:cs="Arial"/>
          <w:spacing w:val="0"/>
          <w:sz w:val="22"/>
          <w:szCs w:val="22"/>
        </w:rPr>
        <w:t xml:space="preserve">(2014) </w:t>
      </w:r>
      <w:r w:rsidR="003C300D" w:rsidRPr="00CB5C3E">
        <w:rPr>
          <w:rFonts w:ascii="Arial" w:eastAsiaTheme="minorHAnsi" w:hAnsi="Arial" w:cs="Arial"/>
          <w:i/>
          <w:spacing w:val="0"/>
          <w:sz w:val="22"/>
          <w:szCs w:val="22"/>
        </w:rPr>
        <w:t>Midiendo el impacto de la infraestructura de la calidad en América Latina: experiencias, alcances y limitaciones.</w:t>
      </w:r>
      <w:r w:rsidRPr="00CB5C3E">
        <w:rPr>
          <w:rFonts w:ascii="Arial" w:eastAsiaTheme="minorHAnsi" w:hAnsi="Arial" w:cs="Arial"/>
          <w:spacing w:val="0"/>
          <w:sz w:val="22"/>
          <w:szCs w:val="22"/>
        </w:rPr>
        <w:t xml:space="preserve"> </w:t>
      </w:r>
      <w:r w:rsidRPr="00C2514D">
        <w:rPr>
          <w:rFonts w:ascii="Arial" w:eastAsiaTheme="minorHAnsi" w:hAnsi="Arial" w:cs="Arial"/>
          <w:spacing w:val="0"/>
          <w:sz w:val="22"/>
          <w:szCs w:val="22"/>
          <w:lang w:val="en-US"/>
        </w:rPr>
        <w:t>Gonçalves, J., K. Göthner and S. Rovira eds.</w:t>
      </w:r>
      <w:r w:rsidR="003C300D" w:rsidRPr="00C2514D">
        <w:rPr>
          <w:rFonts w:ascii="Arial" w:eastAsiaTheme="minorHAnsi" w:hAnsi="Arial" w:cs="Arial"/>
          <w:spacing w:val="0"/>
          <w:sz w:val="22"/>
          <w:szCs w:val="22"/>
          <w:lang w:val="en-US"/>
        </w:rPr>
        <w:t xml:space="preserve"> CEPAL</w:t>
      </w:r>
      <w:r w:rsidRPr="00C2514D">
        <w:rPr>
          <w:rFonts w:ascii="Arial" w:eastAsiaTheme="minorHAnsi" w:hAnsi="Arial" w:cs="Arial"/>
          <w:spacing w:val="0"/>
          <w:sz w:val="22"/>
          <w:szCs w:val="22"/>
          <w:lang w:val="en-US"/>
        </w:rPr>
        <w:t>.</w:t>
      </w:r>
    </w:p>
    <w:p w:rsidR="003C300D" w:rsidRPr="00C2514D" w:rsidRDefault="003C300D" w:rsidP="003C300D">
      <w:pPr>
        <w:autoSpaceDE w:val="0"/>
        <w:autoSpaceDN w:val="0"/>
        <w:adjustRightInd w:val="0"/>
        <w:ind w:firstLine="709"/>
        <w:jc w:val="both"/>
        <w:rPr>
          <w:rFonts w:ascii="Arial" w:eastAsiaTheme="minorHAnsi" w:hAnsi="Arial" w:cs="Arial"/>
          <w:spacing w:val="0"/>
          <w:sz w:val="22"/>
          <w:szCs w:val="22"/>
          <w:lang w:val="en-US"/>
        </w:rPr>
      </w:pPr>
    </w:p>
    <w:p w:rsidR="00D30EC1" w:rsidRPr="00C2514D" w:rsidRDefault="005A540C" w:rsidP="00231933">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 xml:space="preserve">Guash, J., J. Racine, I. Sanchez and M. Diop (2007), </w:t>
      </w:r>
      <w:r w:rsidRPr="00C2514D">
        <w:rPr>
          <w:rFonts w:ascii="Arial" w:eastAsiaTheme="minorHAnsi" w:hAnsi="Arial" w:cs="Arial"/>
          <w:i/>
          <w:spacing w:val="0"/>
          <w:sz w:val="22"/>
          <w:szCs w:val="22"/>
          <w:lang w:val="en-US"/>
        </w:rPr>
        <w:t>Quality systems and standards for a competitive edge</w:t>
      </w:r>
      <w:r w:rsidRPr="00C2514D">
        <w:rPr>
          <w:rFonts w:ascii="Arial" w:eastAsiaTheme="minorHAnsi" w:hAnsi="Arial" w:cs="Arial"/>
          <w:spacing w:val="0"/>
          <w:sz w:val="22"/>
          <w:szCs w:val="22"/>
          <w:lang w:val="en-US"/>
        </w:rPr>
        <w:t>, World Bank.</w:t>
      </w:r>
    </w:p>
    <w:p w:rsidR="005A540C" w:rsidRPr="00C2514D" w:rsidRDefault="005A540C" w:rsidP="00231933">
      <w:pPr>
        <w:autoSpaceDE w:val="0"/>
        <w:autoSpaceDN w:val="0"/>
        <w:adjustRightInd w:val="0"/>
        <w:ind w:firstLine="709"/>
        <w:jc w:val="both"/>
        <w:rPr>
          <w:rFonts w:ascii="Arial" w:eastAsiaTheme="minorHAnsi" w:hAnsi="Arial" w:cs="Arial"/>
          <w:spacing w:val="0"/>
          <w:sz w:val="22"/>
          <w:szCs w:val="22"/>
          <w:lang w:val="en-US"/>
        </w:rPr>
      </w:pPr>
    </w:p>
    <w:p w:rsidR="00D22D88" w:rsidRPr="00C2514D" w:rsidRDefault="00D22D88" w:rsidP="00231933">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 xml:space="preserve">Guyana Marketing Corporation (2014) </w:t>
      </w:r>
      <w:r w:rsidRPr="00C2514D">
        <w:rPr>
          <w:rFonts w:ascii="Arial" w:eastAsiaTheme="minorHAnsi" w:hAnsi="Arial" w:cs="Arial"/>
          <w:i/>
          <w:spacing w:val="0"/>
          <w:sz w:val="22"/>
          <w:szCs w:val="22"/>
          <w:lang w:val="en-US"/>
        </w:rPr>
        <w:t>Annual Report 2014</w:t>
      </w:r>
      <w:r w:rsidRPr="00C2514D">
        <w:rPr>
          <w:rFonts w:ascii="Arial" w:eastAsiaTheme="minorHAnsi" w:hAnsi="Arial" w:cs="Arial"/>
          <w:spacing w:val="0"/>
          <w:sz w:val="22"/>
          <w:szCs w:val="22"/>
          <w:lang w:val="en-US"/>
        </w:rPr>
        <w:t>. Minisitry of Agriculture</w:t>
      </w:r>
    </w:p>
    <w:p w:rsidR="00D22D88" w:rsidRPr="00C2514D" w:rsidRDefault="00D22D88" w:rsidP="00231933">
      <w:pPr>
        <w:autoSpaceDE w:val="0"/>
        <w:autoSpaceDN w:val="0"/>
        <w:adjustRightInd w:val="0"/>
        <w:ind w:firstLine="709"/>
        <w:jc w:val="both"/>
        <w:rPr>
          <w:rFonts w:ascii="Arial" w:eastAsiaTheme="minorHAnsi" w:hAnsi="Arial" w:cs="Arial"/>
          <w:spacing w:val="0"/>
          <w:sz w:val="22"/>
          <w:szCs w:val="22"/>
          <w:lang w:val="en-US"/>
        </w:rPr>
      </w:pPr>
    </w:p>
    <w:p w:rsidR="00932E80" w:rsidRPr="00C2514D" w:rsidRDefault="00932E80" w:rsidP="00231933">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 xml:space="preserve">Haimowitz J and Warren J (2007) The Economic Value of Standardization, Report Produced by The Conference Board of Canada for the Standards Council of Canada, July </w:t>
      </w:r>
    </w:p>
    <w:p w:rsidR="00932E80" w:rsidRPr="00C2514D" w:rsidRDefault="00932E80" w:rsidP="00231933">
      <w:pPr>
        <w:autoSpaceDE w:val="0"/>
        <w:autoSpaceDN w:val="0"/>
        <w:adjustRightInd w:val="0"/>
        <w:ind w:firstLine="709"/>
        <w:jc w:val="both"/>
        <w:rPr>
          <w:rFonts w:ascii="Arial" w:eastAsiaTheme="minorHAnsi" w:hAnsi="Arial" w:cs="Arial"/>
          <w:spacing w:val="0"/>
          <w:sz w:val="22"/>
          <w:szCs w:val="22"/>
          <w:lang w:val="en-US"/>
        </w:rPr>
      </w:pPr>
    </w:p>
    <w:p w:rsidR="00940109" w:rsidRPr="00C2514D" w:rsidRDefault="00940109" w:rsidP="00231933">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Harmes-Liedtke, U. (2010) “The Relevance of Quality Infrastructure to Promote Innovation Systems in Developing Countries” Physikalisch-Technische Bundesanstalt Discussion Paper 3/10.</w:t>
      </w:r>
    </w:p>
    <w:p w:rsidR="00940109" w:rsidRPr="00C2514D" w:rsidRDefault="00940109" w:rsidP="00231933">
      <w:pPr>
        <w:autoSpaceDE w:val="0"/>
        <w:autoSpaceDN w:val="0"/>
        <w:adjustRightInd w:val="0"/>
        <w:ind w:firstLine="709"/>
        <w:jc w:val="both"/>
        <w:rPr>
          <w:rFonts w:ascii="Arial" w:eastAsiaTheme="minorHAnsi" w:hAnsi="Arial" w:cs="Arial"/>
          <w:spacing w:val="0"/>
          <w:sz w:val="22"/>
          <w:szCs w:val="22"/>
          <w:lang w:val="en-US"/>
        </w:rPr>
      </w:pPr>
    </w:p>
    <w:p w:rsidR="006975A0" w:rsidRPr="00C2514D" w:rsidRDefault="006975A0" w:rsidP="006975A0">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 xml:space="preserve">ISO (2008) </w:t>
      </w:r>
      <w:r w:rsidRPr="00C2514D">
        <w:rPr>
          <w:rFonts w:ascii="Arial" w:eastAsiaTheme="minorHAnsi" w:hAnsi="Arial" w:cs="Arial"/>
          <w:i/>
          <w:spacing w:val="0"/>
          <w:sz w:val="22"/>
          <w:szCs w:val="22"/>
          <w:lang w:val="en-US"/>
        </w:rPr>
        <w:t>Fast forward. National Standard Bodies in Developing Countries</w:t>
      </w:r>
      <w:r w:rsidRPr="00C2514D">
        <w:rPr>
          <w:rFonts w:ascii="Arial" w:eastAsiaTheme="minorHAnsi" w:hAnsi="Arial" w:cs="Arial"/>
          <w:spacing w:val="0"/>
          <w:sz w:val="22"/>
          <w:szCs w:val="22"/>
          <w:lang w:val="en-US"/>
        </w:rPr>
        <w:t>. Second edition, ISO and UNIDO</w:t>
      </w:r>
    </w:p>
    <w:p w:rsidR="006975A0" w:rsidRPr="00C2514D" w:rsidRDefault="006975A0" w:rsidP="008869ED">
      <w:pPr>
        <w:autoSpaceDE w:val="0"/>
        <w:autoSpaceDN w:val="0"/>
        <w:adjustRightInd w:val="0"/>
        <w:ind w:firstLine="709"/>
        <w:jc w:val="both"/>
        <w:rPr>
          <w:rFonts w:ascii="Arial" w:eastAsiaTheme="minorHAnsi" w:hAnsi="Arial" w:cs="Arial"/>
          <w:spacing w:val="0"/>
          <w:sz w:val="22"/>
          <w:szCs w:val="22"/>
          <w:lang w:val="en-US"/>
        </w:rPr>
      </w:pPr>
    </w:p>
    <w:p w:rsidR="00932E80" w:rsidRPr="00C2514D" w:rsidRDefault="00932E80" w:rsidP="008869ED">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Jungmittag A, Blind, K and Mangelsdorf A (2011) The Economic Benefits of Standardisation, DIN</w:t>
      </w:r>
    </w:p>
    <w:p w:rsidR="00932E80" w:rsidRPr="00C2514D" w:rsidRDefault="00932E80" w:rsidP="008869ED">
      <w:pPr>
        <w:autoSpaceDE w:val="0"/>
        <w:autoSpaceDN w:val="0"/>
        <w:adjustRightInd w:val="0"/>
        <w:ind w:firstLine="709"/>
        <w:jc w:val="both"/>
        <w:rPr>
          <w:rFonts w:ascii="Arial" w:eastAsiaTheme="minorHAnsi" w:hAnsi="Arial" w:cs="Arial"/>
          <w:spacing w:val="0"/>
          <w:sz w:val="22"/>
          <w:szCs w:val="22"/>
          <w:lang w:val="en-US"/>
        </w:rPr>
      </w:pPr>
    </w:p>
    <w:p w:rsidR="008869ED" w:rsidRPr="00C2514D" w:rsidRDefault="008869ED" w:rsidP="008869ED">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 xml:space="preserve">Mejia, J. (2011) </w:t>
      </w:r>
      <w:r w:rsidRPr="00C2514D">
        <w:rPr>
          <w:rFonts w:ascii="Arial" w:eastAsiaTheme="minorHAnsi" w:hAnsi="Arial" w:cs="Arial"/>
          <w:i/>
          <w:spacing w:val="0"/>
          <w:sz w:val="22"/>
          <w:szCs w:val="22"/>
          <w:lang w:val="en-US"/>
        </w:rPr>
        <w:t>Export Diversification and Economic Growth, An Analysis of Colombia’s Export Comp</w:t>
      </w:r>
      <w:r w:rsidRPr="00C2514D">
        <w:rPr>
          <w:i/>
          <w:lang w:val="en-US"/>
        </w:rPr>
        <w:t>e</w:t>
      </w:r>
      <w:r w:rsidRPr="00C2514D">
        <w:rPr>
          <w:rFonts w:ascii="Arial" w:eastAsiaTheme="minorHAnsi" w:hAnsi="Arial" w:cs="Arial"/>
          <w:i/>
          <w:spacing w:val="0"/>
          <w:sz w:val="22"/>
          <w:szCs w:val="22"/>
          <w:lang w:val="en-US"/>
        </w:rPr>
        <w:t>titiveness in the European Union’s Market</w:t>
      </w:r>
      <w:r w:rsidRPr="00C2514D">
        <w:rPr>
          <w:rFonts w:ascii="Arial" w:eastAsiaTheme="minorHAnsi" w:hAnsi="Arial" w:cs="Arial"/>
          <w:spacing w:val="0"/>
          <w:sz w:val="22"/>
          <w:szCs w:val="22"/>
          <w:lang w:val="en-US"/>
        </w:rPr>
        <w:t>. Springer.</w:t>
      </w:r>
    </w:p>
    <w:p w:rsidR="008869ED" w:rsidRPr="00C2514D" w:rsidRDefault="008869ED" w:rsidP="00C975CC">
      <w:pPr>
        <w:autoSpaceDE w:val="0"/>
        <w:autoSpaceDN w:val="0"/>
        <w:adjustRightInd w:val="0"/>
        <w:ind w:firstLine="709"/>
        <w:jc w:val="both"/>
        <w:rPr>
          <w:rFonts w:ascii="Arial" w:eastAsiaTheme="minorHAnsi" w:hAnsi="Arial" w:cs="Arial"/>
          <w:spacing w:val="0"/>
          <w:sz w:val="22"/>
          <w:szCs w:val="22"/>
          <w:lang w:val="en-US"/>
        </w:rPr>
      </w:pPr>
    </w:p>
    <w:p w:rsidR="00932E80" w:rsidRPr="00C2514D" w:rsidRDefault="00932E80" w:rsidP="00C975CC">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Miotti H (2009) The Economic Impact of Standardization, Marketing and Innovation Department, AFNOR Group, June</w:t>
      </w:r>
    </w:p>
    <w:p w:rsidR="00932E80" w:rsidRPr="00C2514D" w:rsidRDefault="00932E80" w:rsidP="00C975CC">
      <w:pPr>
        <w:autoSpaceDE w:val="0"/>
        <w:autoSpaceDN w:val="0"/>
        <w:adjustRightInd w:val="0"/>
        <w:ind w:firstLine="709"/>
        <w:jc w:val="both"/>
        <w:rPr>
          <w:rFonts w:ascii="Arial" w:eastAsiaTheme="minorHAnsi" w:hAnsi="Arial" w:cs="Arial"/>
          <w:spacing w:val="0"/>
          <w:sz w:val="22"/>
          <w:szCs w:val="22"/>
          <w:lang w:val="en-US"/>
        </w:rPr>
      </w:pPr>
    </w:p>
    <w:p w:rsidR="00932E80" w:rsidRPr="00C2514D" w:rsidRDefault="00932E80" w:rsidP="00C975CC">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lastRenderedPageBreak/>
        <w:t>National Measurement Office (2009) Economic Impact Report: Metrology Investment Impact on Innovation and Productivity, May</w:t>
      </w:r>
    </w:p>
    <w:p w:rsidR="00932E80" w:rsidRPr="00C2514D" w:rsidRDefault="00932E80" w:rsidP="00C975CC">
      <w:pPr>
        <w:autoSpaceDE w:val="0"/>
        <w:autoSpaceDN w:val="0"/>
        <w:adjustRightInd w:val="0"/>
        <w:ind w:firstLine="709"/>
        <w:jc w:val="both"/>
        <w:rPr>
          <w:rFonts w:ascii="Arial" w:eastAsiaTheme="minorHAnsi" w:hAnsi="Arial" w:cs="Arial"/>
          <w:spacing w:val="0"/>
          <w:sz w:val="22"/>
          <w:szCs w:val="22"/>
          <w:lang w:val="en-US"/>
        </w:rPr>
      </w:pPr>
    </w:p>
    <w:p w:rsidR="006975A0" w:rsidRPr="00C2514D" w:rsidRDefault="006975A0" w:rsidP="006975A0">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NRC (2015) “Evaluation of NRC Measurement Science and Standards” National Research Council Canada</w:t>
      </w:r>
    </w:p>
    <w:p w:rsidR="006975A0" w:rsidRPr="00C2514D" w:rsidRDefault="006975A0" w:rsidP="006975A0">
      <w:pPr>
        <w:autoSpaceDE w:val="0"/>
        <w:autoSpaceDN w:val="0"/>
        <w:adjustRightInd w:val="0"/>
        <w:ind w:firstLine="709"/>
        <w:jc w:val="both"/>
        <w:rPr>
          <w:rFonts w:ascii="Arial" w:eastAsiaTheme="minorHAnsi" w:hAnsi="Arial" w:cs="Arial"/>
          <w:spacing w:val="0"/>
          <w:sz w:val="22"/>
          <w:szCs w:val="22"/>
          <w:lang w:val="en-US"/>
        </w:rPr>
      </w:pPr>
    </w:p>
    <w:p w:rsidR="00C975CC" w:rsidRPr="00C2514D" w:rsidRDefault="00C975CC" w:rsidP="00C975CC">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Robertson, K. and J. Swanepoel (2015) The economics of metrology. Research Paper 6/2015. Department of Industry, Innovation and Science of the Australian Government.</w:t>
      </w:r>
    </w:p>
    <w:p w:rsidR="00C975CC" w:rsidRPr="00C2514D" w:rsidRDefault="00C975CC" w:rsidP="00C975CC">
      <w:pPr>
        <w:autoSpaceDE w:val="0"/>
        <w:autoSpaceDN w:val="0"/>
        <w:adjustRightInd w:val="0"/>
        <w:ind w:firstLine="709"/>
        <w:jc w:val="both"/>
        <w:rPr>
          <w:rFonts w:ascii="Arial" w:eastAsiaTheme="minorHAnsi" w:hAnsi="Arial" w:cs="Arial"/>
          <w:spacing w:val="0"/>
          <w:sz w:val="22"/>
          <w:szCs w:val="22"/>
          <w:lang w:val="en-US"/>
        </w:rPr>
      </w:pPr>
    </w:p>
    <w:p w:rsidR="00932E80" w:rsidRPr="00C2514D" w:rsidRDefault="00932E80" w:rsidP="00C975CC">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Standards Australia (2013) The Economic Benefits of Standardization, Business Management Research Paper, January</w:t>
      </w:r>
    </w:p>
    <w:p w:rsidR="00932E80" w:rsidRPr="00C2514D" w:rsidRDefault="00932E80" w:rsidP="00C975CC">
      <w:pPr>
        <w:autoSpaceDE w:val="0"/>
        <w:autoSpaceDN w:val="0"/>
        <w:adjustRightInd w:val="0"/>
        <w:ind w:firstLine="709"/>
        <w:jc w:val="both"/>
        <w:rPr>
          <w:rFonts w:ascii="Arial" w:eastAsiaTheme="minorHAnsi" w:hAnsi="Arial" w:cs="Arial"/>
          <w:spacing w:val="0"/>
          <w:sz w:val="22"/>
          <w:szCs w:val="22"/>
          <w:lang w:val="en-US"/>
        </w:rPr>
      </w:pPr>
    </w:p>
    <w:p w:rsidR="00932E80" w:rsidRPr="00C2514D" w:rsidRDefault="00932E80" w:rsidP="00C975CC">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Stokes F, Dixon H, Generosa A and Nana G (2011) The Economic Benefits of Standards to New Zealand, Report for The Standards Council of New Zealand and the Building Research Association of New Zealand, August</w:t>
      </w:r>
    </w:p>
    <w:p w:rsidR="00932E80" w:rsidRPr="00C2514D" w:rsidRDefault="00932E80" w:rsidP="00C975CC">
      <w:pPr>
        <w:autoSpaceDE w:val="0"/>
        <w:autoSpaceDN w:val="0"/>
        <w:adjustRightInd w:val="0"/>
        <w:ind w:firstLine="709"/>
        <w:jc w:val="both"/>
        <w:rPr>
          <w:rFonts w:ascii="Arial" w:eastAsiaTheme="minorHAnsi" w:hAnsi="Arial" w:cs="Arial"/>
          <w:spacing w:val="0"/>
          <w:sz w:val="22"/>
          <w:szCs w:val="22"/>
          <w:lang w:val="en-US"/>
        </w:rPr>
      </w:pPr>
    </w:p>
    <w:p w:rsidR="006975A0" w:rsidRPr="00C2514D" w:rsidRDefault="006975A0" w:rsidP="006975A0">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 xml:space="preserve">Swann, G. M. P (2000) “The Economics of Standardization.” Final Report for Standards and Technical Regulations Directorate, UK Department of Trade and Industry. Manchester Business School, Manchester, UK. </w:t>
      </w:r>
    </w:p>
    <w:p w:rsidR="006975A0" w:rsidRPr="00C2514D" w:rsidRDefault="006975A0" w:rsidP="006975A0">
      <w:pPr>
        <w:autoSpaceDE w:val="0"/>
        <w:autoSpaceDN w:val="0"/>
        <w:adjustRightInd w:val="0"/>
        <w:ind w:firstLine="709"/>
        <w:jc w:val="both"/>
        <w:rPr>
          <w:rFonts w:ascii="Arial" w:eastAsiaTheme="minorHAnsi" w:hAnsi="Arial" w:cs="Arial"/>
          <w:spacing w:val="0"/>
          <w:sz w:val="22"/>
          <w:szCs w:val="22"/>
          <w:lang w:val="en-US"/>
        </w:rPr>
      </w:pPr>
    </w:p>
    <w:p w:rsidR="00EE1F6D" w:rsidRPr="00C2514D" w:rsidRDefault="00EE1F6D" w:rsidP="006975A0">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Swann, P. (2009) “The Economics of Metrology and Measurement” Innovative Economics Limited</w:t>
      </w:r>
    </w:p>
    <w:p w:rsidR="00932E80" w:rsidRPr="00C2514D" w:rsidRDefault="00932E80" w:rsidP="006975A0">
      <w:pPr>
        <w:autoSpaceDE w:val="0"/>
        <w:autoSpaceDN w:val="0"/>
        <w:adjustRightInd w:val="0"/>
        <w:ind w:firstLine="709"/>
        <w:jc w:val="both"/>
        <w:rPr>
          <w:rFonts w:ascii="Arial" w:eastAsiaTheme="minorHAnsi" w:hAnsi="Arial" w:cs="Arial"/>
          <w:spacing w:val="0"/>
          <w:sz w:val="22"/>
          <w:szCs w:val="22"/>
          <w:lang w:val="en-US"/>
        </w:rPr>
      </w:pPr>
    </w:p>
    <w:p w:rsidR="004508E1" w:rsidRPr="00C2514D" w:rsidRDefault="004508E1" w:rsidP="004508E1">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UNIDO (2010a) “UNIDO activities in the area of Standards, Metrology, Testing and Quality (SMTQ)” UNIDO evaluation group</w:t>
      </w:r>
    </w:p>
    <w:p w:rsidR="004508E1" w:rsidRPr="00C2514D" w:rsidRDefault="004508E1" w:rsidP="00C33061">
      <w:pPr>
        <w:autoSpaceDE w:val="0"/>
        <w:autoSpaceDN w:val="0"/>
        <w:adjustRightInd w:val="0"/>
        <w:ind w:firstLine="709"/>
        <w:jc w:val="both"/>
        <w:rPr>
          <w:rFonts w:ascii="Arial" w:eastAsiaTheme="minorHAnsi" w:hAnsi="Arial" w:cs="Arial"/>
          <w:spacing w:val="0"/>
          <w:sz w:val="22"/>
          <w:szCs w:val="22"/>
          <w:lang w:val="en-US"/>
        </w:rPr>
      </w:pPr>
    </w:p>
    <w:p w:rsidR="00C33061" w:rsidRPr="00C2514D" w:rsidRDefault="004508E1" w:rsidP="00C33061">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UNIDO (2010b</w:t>
      </w:r>
      <w:r w:rsidR="00C33061" w:rsidRPr="00C2514D">
        <w:rPr>
          <w:rFonts w:ascii="Arial" w:eastAsiaTheme="minorHAnsi" w:hAnsi="Arial" w:cs="Arial"/>
          <w:spacing w:val="0"/>
          <w:sz w:val="22"/>
          <w:szCs w:val="22"/>
          <w:lang w:val="en-US"/>
        </w:rPr>
        <w:t>) “Independent Evaluation Report SRI LANKA Impact of UNIDO Standards, Metrology, Testing and Quality projects in Sri Lanka” UNIDO evaluation group.</w:t>
      </w:r>
    </w:p>
    <w:p w:rsidR="00C33061" w:rsidRPr="00C2514D" w:rsidRDefault="00C33061" w:rsidP="006975A0">
      <w:pPr>
        <w:autoSpaceDE w:val="0"/>
        <w:autoSpaceDN w:val="0"/>
        <w:adjustRightInd w:val="0"/>
        <w:ind w:firstLine="709"/>
        <w:jc w:val="both"/>
        <w:rPr>
          <w:rFonts w:ascii="Arial" w:eastAsiaTheme="minorHAnsi" w:hAnsi="Arial" w:cs="Arial"/>
          <w:spacing w:val="0"/>
          <w:sz w:val="22"/>
          <w:szCs w:val="22"/>
          <w:lang w:val="en-US"/>
        </w:rPr>
      </w:pPr>
    </w:p>
    <w:p w:rsidR="00932E80" w:rsidRPr="00C2514D" w:rsidRDefault="00932E80" w:rsidP="006975A0">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UK Department of Trade and Industry (2005) The Empirical Economics of Standards, DTI Economics Paper No. 12, June</w:t>
      </w:r>
    </w:p>
    <w:p w:rsidR="00EE1F6D" w:rsidRPr="00C2514D" w:rsidRDefault="00EE1F6D" w:rsidP="00C975CC">
      <w:pPr>
        <w:autoSpaceDE w:val="0"/>
        <w:autoSpaceDN w:val="0"/>
        <w:adjustRightInd w:val="0"/>
        <w:ind w:firstLine="709"/>
        <w:jc w:val="both"/>
        <w:rPr>
          <w:rFonts w:ascii="Arial" w:eastAsiaTheme="minorHAnsi" w:hAnsi="Arial" w:cs="Arial"/>
          <w:spacing w:val="0"/>
          <w:sz w:val="22"/>
          <w:szCs w:val="22"/>
          <w:lang w:val="en-US"/>
        </w:rPr>
      </w:pPr>
    </w:p>
    <w:p w:rsidR="00932E80" w:rsidRPr="00C2514D" w:rsidRDefault="00932E80" w:rsidP="00940109">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 xml:space="preserve">US National Institute of Standards and Technology, viewed 3 September 2013, </w:t>
      </w:r>
      <w:hyperlink r:id="rId15" w:history="1">
        <w:r w:rsidRPr="00C2514D">
          <w:rPr>
            <w:rStyle w:val="Hyperlink"/>
            <w:rFonts w:ascii="Arial" w:eastAsiaTheme="minorHAnsi" w:hAnsi="Arial" w:cs="Arial"/>
            <w:spacing w:val="0"/>
            <w:sz w:val="22"/>
            <w:szCs w:val="22"/>
            <w:lang w:val="en-US"/>
          </w:rPr>
          <w:t>http://www.nist.gov/director/planning/summary-studies.cfm</w:t>
        </w:r>
      </w:hyperlink>
      <w:r w:rsidRPr="00C2514D">
        <w:rPr>
          <w:rFonts w:ascii="Arial" w:eastAsiaTheme="minorHAnsi" w:hAnsi="Arial" w:cs="Arial"/>
          <w:spacing w:val="0"/>
          <w:sz w:val="22"/>
          <w:szCs w:val="22"/>
          <w:lang w:val="en-US"/>
        </w:rPr>
        <w:t xml:space="preserve"> </w:t>
      </w:r>
    </w:p>
    <w:p w:rsidR="00932E80" w:rsidRPr="00C2514D" w:rsidRDefault="00932E80" w:rsidP="00940109">
      <w:pPr>
        <w:autoSpaceDE w:val="0"/>
        <w:autoSpaceDN w:val="0"/>
        <w:adjustRightInd w:val="0"/>
        <w:ind w:firstLine="709"/>
        <w:jc w:val="both"/>
        <w:rPr>
          <w:rFonts w:ascii="Arial" w:eastAsiaTheme="minorHAnsi" w:hAnsi="Arial" w:cs="Arial"/>
          <w:spacing w:val="0"/>
          <w:sz w:val="22"/>
          <w:szCs w:val="22"/>
          <w:lang w:val="en-US"/>
        </w:rPr>
      </w:pPr>
    </w:p>
    <w:p w:rsidR="007F3577" w:rsidRPr="00C2514D" w:rsidRDefault="00932E80" w:rsidP="00647B5E">
      <w:pPr>
        <w:autoSpaceDE w:val="0"/>
        <w:autoSpaceDN w:val="0"/>
        <w:adjustRightInd w:val="0"/>
        <w:ind w:firstLine="709"/>
        <w:jc w:val="both"/>
        <w:rPr>
          <w:rFonts w:ascii="Arial" w:eastAsiaTheme="minorHAnsi" w:hAnsi="Arial" w:cs="Arial"/>
          <w:spacing w:val="0"/>
          <w:sz w:val="22"/>
          <w:szCs w:val="22"/>
          <w:lang w:val="en-US"/>
        </w:rPr>
      </w:pPr>
      <w:r w:rsidRPr="00C2514D">
        <w:rPr>
          <w:rFonts w:ascii="Arial" w:eastAsiaTheme="minorHAnsi" w:hAnsi="Arial" w:cs="Arial"/>
          <w:spacing w:val="0"/>
          <w:sz w:val="22"/>
          <w:szCs w:val="22"/>
          <w:lang w:val="en-US"/>
        </w:rPr>
        <w:t>Williams G (2002) The Assessment of the Economic Role of Measurements and testing in modern society, Final report on the European Measurement Project, July.</w:t>
      </w:r>
    </w:p>
    <w:sectPr w:rsidR="007F3577" w:rsidRPr="00C2514D" w:rsidSect="00CA5FF8">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24E" w:rsidRDefault="00F3024E" w:rsidP="009C562E">
      <w:r>
        <w:separator/>
      </w:r>
    </w:p>
  </w:endnote>
  <w:endnote w:type="continuationSeparator" w:id="0">
    <w:p w:rsidR="00F3024E" w:rsidRDefault="00F3024E" w:rsidP="009C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panose1 w:val="00000000000000000000"/>
    <w:charset w:val="80"/>
    <w:family w:val="auto"/>
    <w:notTrueType/>
    <w:pitch w:val="variable"/>
    <w:sig w:usb0="00000000" w:usb1="00000000" w:usb2="01000407" w:usb3="00000000" w:csb0="00020000" w:csb1="00000000"/>
  </w:font>
  <w:font w:name="Arial Unicode MS">
    <w:panose1 w:val="020B0604020202020204"/>
    <w:charset w:val="80"/>
    <w:family w:val="swiss"/>
    <w:pitch w:val="variable"/>
    <w:sig w:usb0="F7FFAFFF" w:usb1="E9DFFFFF" w:usb2="0000003F" w:usb3="00000000" w:csb0="003F01FF" w:csb1="00000000"/>
  </w:font>
  <w:font w:name="MetaBook-Roman">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24E" w:rsidRDefault="00F3024E">
    <w:pPr>
      <w:pStyle w:val="Footer"/>
      <w:jc w:val="right"/>
    </w:pPr>
  </w:p>
  <w:p w:rsidR="00F3024E" w:rsidRDefault="00F302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24E" w:rsidRDefault="00F3024E" w:rsidP="009C562E">
      <w:r>
        <w:separator/>
      </w:r>
    </w:p>
  </w:footnote>
  <w:footnote w:type="continuationSeparator" w:id="0">
    <w:p w:rsidR="00F3024E" w:rsidRDefault="00F3024E" w:rsidP="009C562E">
      <w:r>
        <w:continuationSeparator/>
      </w:r>
    </w:p>
  </w:footnote>
  <w:footnote w:id="1">
    <w:p w:rsidR="00F3024E" w:rsidRPr="006A42FE" w:rsidRDefault="00F3024E" w:rsidP="006A42FE">
      <w:pPr>
        <w:pStyle w:val="FootnoteText"/>
        <w:spacing w:after="0"/>
        <w:rPr>
          <w:rFonts w:ascii="Arial" w:hAnsi="Arial" w:cs="Arial"/>
          <w:sz w:val="18"/>
          <w:szCs w:val="18"/>
          <w:lang w:val="en-US"/>
        </w:rPr>
      </w:pPr>
      <w:r w:rsidRPr="006A42FE">
        <w:rPr>
          <w:rStyle w:val="FootnoteReference"/>
          <w:rFonts w:ascii="Arial" w:hAnsi="Arial" w:cs="Arial"/>
          <w:sz w:val="18"/>
          <w:szCs w:val="18"/>
        </w:rPr>
        <w:footnoteRef/>
      </w:r>
      <w:r w:rsidRPr="006A42FE">
        <w:rPr>
          <w:rFonts w:ascii="Arial" w:hAnsi="Arial" w:cs="Arial"/>
          <w:sz w:val="18"/>
          <w:szCs w:val="18"/>
          <w:lang w:val="en-US"/>
        </w:rPr>
        <w:t xml:space="preserve"> </w:t>
      </w:r>
      <w:r w:rsidR="006A42FE" w:rsidRPr="006A42FE">
        <w:rPr>
          <w:rFonts w:ascii="Arial" w:hAnsi="Arial" w:cs="Arial"/>
          <w:sz w:val="18"/>
          <w:szCs w:val="18"/>
          <w:lang w:val="en-US"/>
        </w:rPr>
        <w:tab/>
      </w:r>
      <w:r w:rsidRPr="006A42FE">
        <w:rPr>
          <w:rFonts w:ascii="Arial" w:hAnsi="Arial" w:cs="Arial"/>
          <w:sz w:val="18"/>
          <w:szCs w:val="18"/>
          <w:lang w:val="en-US"/>
        </w:rPr>
        <w:t>Observatory of Economic Complexity 2016.</w:t>
      </w:r>
    </w:p>
  </w:footnote>
  <w:footnote w:id="2">
    <w:p w:rsidR="00F3024E" w:rsidRPr="006A42FE" w:rsidRDefault="00F3024E" w:rsidP="006A42FE">
      <w:pPr>
        <w:pStyle w:val="FootnoteText"/>
        <w:spacing w:after="0"/>
        <w:rPr>
          <w:rFonts w:ascii="Arial" w:hAnsi="Arial" w:cs="Arial"/>
          <w:sz w:val="18"/>
          <w:szCs w:val="18"/>
          <w:lang w:val="en-US"/>
        </w:rPr>
      </w:pPr>
      <w:r w:rsidRPr="006A42FE">
        <w:rPr>
          <w:rStyle w:val="FootnoteReference"/>
          <w:rFonts w:ascii="Arial" w:hAnsi="Arial" w:cs="Arial"/>
          <w:sz w:val="18"/>
          <w:szCs w:val="18"/>
        </w:rPr>
        <w:footnoteRef/>
      </w:r>
      <w:r w:rsidRPr="006A42FE">
        <w:rPr>
          <w:rFonts w:ascii="Arial" w:hAnsi="Arial" w:cs="Arial"/>
          <w:sz w:val="18"/>
          <w:szCs w:val="18"/>
          <w:lang w:val="en-US"/>
        </w:rPr>
        <w:t xml:space="preserve"> </w:t>
      </w:r>
      <w:r w:rsidR="006A42FE" w:rsidRPr="006A42FE">
        <w:rPr>
          <w:rFonts w:ascii="Arial" w:hAnsi="Arial" w:cs="Arial"/>
          <w:sz w:val="18"/>
          <w:szCs w:val="18"/>
          <w:lang w:val="en-US"/>
        </w:rPr>
        <w:tab/>
      </w:r>
      <w:r w:rsidRPr="006A42FE">
        <w:rPr>
          <w:rFonts w:ascii="Arial" w:hAnsi="Arial" w:cs="Arial"/>
          <w:sz w:val="18"/>
          <w:szCs w:val="18"/>
          <w:lang w:val="en-US"/>
        </w:rPr>
        <w:t>Guyana Private Sector Assessment Report (PSAR). 2014. Bureau of Statistics Data.</w:t>
      </w:r>
    </w:p>
  </w:footnote>
  <w:footnote w:id="3">
    <w:p w:rsidR="00F3024E" w:rsidRPr="006A42FE" w:rsidRDefault="00F3024E" w:rsidP="006A42FE">
      <w:pPr>
        <w:pStyle w:val="FootnoteText"/>
        <w:spacing w:after="0"/>
        <w:rPr>
          <w:rFonts w:ascii="Arial" w:hAnsi="Arial" w:cs="Arial"/>
          <w:sz w:val="18"/>
          <w:szCs w:val="18"/>
          <w:lang w:val="en-US"/>
        </w:rPr>
      </w:pPr>
      <w:r w:rsidRPr="006A42FE">
        <w:rPr>
          <w:rStyle w:val="FootnoteReference"/>
          <w:rFonts w:ascii="Arial" w:hAnsi="Arial" w:cs="Arial"/>
          <w:sz w:val="18"/>
          <w:szCs w:val="18"/>
        </w:rPr>
        <w:footnoteRef/>
      </w:r>
      <w:r w:rsidRPr="006A42FE">
        <w:rPr>
          <w:rFonts w:ascii="Arial" w:hAnsi="Arial" w:cs="Arial"/>
          <w:sz w:val="18"/>
          <w:szCs w:val="18"/>
          <w:lang w:val="en-US"/>
        </w:rPr>
        <w:t xml:space="preserve"> </w:t>
      </w:r>
      <w:r w:rsidR="006A42FE" w:rsidRPr="006A42FE">
        <w:rPr>
          <w:rFonts w:ascii="Arial" w:hAnsi="Arial" w:cs="Arial"/>
          <w:sz w:val="18"/>
          <w:szCs w:val="18"/>
          <w:lang w:val="en-US"/>
        </w:rPr>
        <w:tab/>
      </w:r>
      <w:r w:rsidRPr="006A42FE">
        <w:rPr>
          <w:rFonts w:ascii="Arial" w:hAnsi="Arial" w:cs="Arial"/>
          <w:sz w:val="18"/>
          <w:szCs w:val="18"/>
          <w:lang w:val="en-US"/>
        </w:rPr>
        <w:t xml:space="preserve">The scale of the Project allows financing activities and outputs oriented to enable the improvements of quality but it does not finance the quality enhancements themselves. </w:t>
      </w:r>
    </w:p>
  </w:footnote>
  <w:footnote w:id="4">
    <w:p w:rsidR="00F3024E" w:rsidRPr="00CC7C33" w:rsidRDefault="00F3024E" w:rsidP="00CC7C33">
      <w:pPr>
        <w:pStyle w:val="FootnoteText"/>
        <w:spacing w:after="0"/>
        <w:rPr>
          <w:rFonts w:ascii="Arial" w:hAnsi="Arial" w:cs="Arial"/>
          <w:sz w:val="18"/>
          <w:szCs w:val="18"/>
          <w:lang w:val="en-US"/>
        </w:rPr>
      </w:pPr>
      <w:r w:rsidRPr="00CC7C33">
        <w:rPr>
          <w:rStyle w:val="FootnoteReference"/>
          <w:rFonts w:ascii="Arial" w:hAnsi="Arial" w:cs="Arial"/>
          <w:sz w:val="18"/>
          <w:szCs w:val="18"/>
        </w:rPr>
        <w:footnoteRef/>
      </w:r>
      <w:r w:rsidRPr="00CC7C33">
        <w:rPr>
          <w:rFonts w:ascii="Arial" w:hAnsi="Arial" w:cs="Arial"/>
          <w:sz w:val="18"/>
          <w:szCs w:val="18"/>
          <w:lang w:val="en-US"/>
        </w:rPr>
        <w:t xml:space="preserve"> </w:t>
      </w:r>
      <w:r w:rsidR="006A42FE" w:rsidRPr="00CC7C33">
        <w:rPr>
          <w:rFonts w:ascii="Arial" w:hAnsi="Arial" w:cs="Arial"/>
          <w:sz w:val="18"/>
          <w:szCs w:val="18"/>
          <w:lang w:val="en-US"/>
        </w:rPr>
        <w:tab/>
      </w:r>
      <w:r w:rsidRPr="00CC7C33">
        <w:rPr>
          <w:rFonts w:ascii="Arial" w:hAnsi="Arial" w:cs="Arial"/>
          <w:sz w:val="18"/>
          <w:szCs w:val="18"/>
          <w:lang w:val="en-US"/>
        </w:rPr>
        <w:t>Guyan</w:t>
      </w:r>
      <w:bookmarkStart w:id="8" w:name="_GoBack"/>
      <w:bookmarkEnd w:id="8"/>
      <w:r w:rsidRPr="00CC7C33">
        <w:rPr>
          <w:rFonts w:ascii="Arial" w:hAnsi="Arial" w:cs="Arial"/>
          <w:sz w:val="18"/>
          <w:szCs w:val="18"/>
          <w:lang w:val="en-US"/>
        </w:rPr>
        <w:t>a Marketing Corporation (2014)</w:t>
      </w:r>
      <w:r w:rsidR="006A42FE">
        <w:rPr>
          <w:rFonts w:ascii="Arial" w:hAnsi="Arial" w:cs="Arial"/>
          <w:sz w:val="18"/>
          <w:szCs w:val="18"/>
          <w:lang w:val="en-US"/>
        </w:rPr>
        <w:t>.</w:t>
      </w:r>
    </w:p>
  </w:footnote>
  <w:footnote w:id="5">
    <w:p w:rsidR="00F3024E" w:rsidRPr="00CC7C33" w:rsidRDefault="00F3024E" w:rsidP="00CC7C33">
      <w:pPr>
        <w:pStyle w:val="FootnoteText"/>
        <w:spacing w:after="0"/>
        <w:rPr>
          <w:rFonts w:ascii="Arial" w:hAnsi="Arial" w:cs="Arial"/>
          <w:sz w:val="18"/>
          <w:szCs w:val="18"/>
          <w:lang w:val="en-US"/>
        </w:rPr>
      </w:pPr>
      <w:r w:rsidRPr="00CC7C33">
        <w:rPr>
          <w:rStyle w:val="FootnoteReference"/>
          <w:rFonts w:ascii="Arial" w:hAnsi="Arial" w:cs="Arial"/>
          <w:sz w:val="18"/>
          <w:szCs w:val="18"/>
        </w:rPr>
        <w:footnoteRef/>
      </w:r>
      <w:r w:rsidRPr="00CC7C33">
        <w:rPr>
          <w:rFonts w:ascii="Arial" w:hAnsi="Arial" w:cs="Arial"/>
          <w:sz w:val="18"/>
          <w:szCs w:val="18"/>
          <w:lang w:val="en-US"/>
        </w:rPr>
        <w:t xml:space="preserve"> </w:t>
      </w:r>
      <w:r w:rsidR="006A42FE" w:rsidRPr="00CC7C33">
        <w:rPr>
          <w:rFonts w:ascii="Arial" w:hAnsi="Arial" w:cs="Arial"/>
          <w:sz w:val="18"/>
          <w:szCs w:val="18"/>
          <w:lang w:val="en-US"/>
        </w:rPr>
        <w:tab/>
      </w:r>
      <w:r w:rsidRPr="00CC7C33">
        <w:rPr>
          <w:rFonts w:ascii="Arial" w:hAnsi="Arial" w:cs="Arial"/>
          <w:sz w:val="18"/>
          <w:szCs w:val="18"/>
          <w:lang w:val="en-US"/>
        </w:rPr>
        <w:t>Classification is taken from Guyana Marketing Corporation (2015)</w:t>
      </w:r>
      <w:r w:rsidR="006A42FE">
        <w:rPr>
          <w:rFonts w:ascii="Arial" w:hAnsi="Arial" w:cs="Arial"/>
          <w:sz w:val="18"/>
          <w:szCs w:val="18"/>
          <w:lang w:val="en-US"/>
        </w:rPr>
        <w:t>.</w:t>
      </w:r>
    </w:p>
  </w:footnote>
  <w:footnote w:id="6">
    <w:p w:rsidR="00F3024E" w:rsidRPr="006A42FE" w:rsidRDefault="00F3024E" w:rsidP="006A42FE">
      <w:pPr>
        <w:pStyle w:val="FootnoteText"/>
        <w:spacing w:after="0"/>
        <w:rPr>
          <w:rFonts w:ascii="Arial" w:hAnsi="Arial" w:cs="Arial"/>
          <w:sz w:val="18"/>
          <w:szCs w:val="18"/>
          <w:lang w:val="en-US"/>
        </w:rPr>
      </w:pPr>
      <w:r w:rsidRPr="006A42FE">
        <w:rPr>
          <w:rStyle w:val="FootnoteReference"/>
          <w:rFonts w:ascii="Arial" w:hAnsi="Arial" w:cs="Arial"/>
          <w:sz w:val="18"/>
          <w:szCs w:val="18"/>
        </w:rPr>
        <w:footnoteRef/>
      </w:r>
      <w:r w:rsidRPr="006A42FE">
        <w:rPr>
          <w:rFonts w:ascii="Arial" w:hAnsi="Arial" w:cs="Arial"/>
          <w:sz w:val="18"/>
          <w:szCs w:val="18"/>
          <w:lang w:val="en-US"/>
        </w:rPr>
        <w:t xml:space="preserve"> </w:t>
      </w:r>
      <w:r w:rsidR="006A42FE" w:rsidRPr="006A42FE">
        <w:rPr>
          <w:rFonts w:ascii="Arial" w:hAnsi="Arial" w:cs="Arial"/>
          <w:sz w:val="18"/>
          <w:szCs w:val="18"/>
          <w:lang w:val="en-US"/>
        </w:rPr>
        <w:tab/>
      </w:r>
      <w:r w:rsidRPr="006A42FE">
        <w:rPr>
          <w:rFonts w:ascii="Arial" w:hAnsi="Arial" w:cs="Arial"/>
          <w:sz w:val="18"/>
          <w:szCs w:val="18"/>
          <w:lang w:val="en-US"/>
        </w:rPr>
        <w:t>The main identification assumption of the DD model is the absence of factors that vary on time that may affect both participation and outcomes, which means that unobservable relevant factors have to be constant over time for them to be removed after time differencing.</w:t>
      </w:r>
    </w:p>
  </w:footnote>
  <w:footnote w:id="7">
    <w:p w:rsidR="00F3024E" w:rsidRPr="00CC7C33" w:rsidRDefault="00F3024E" w:rsidP="00CC7C33">
      <w:pPr>
        <w:pStyle w:val="FootnoteText"/>
        <w:spacing w:after="0"/>
        <w:rPr>
          <w:rFonts w:ascii="Arial" w:hAnsi="Arial" w:cs="Arial"/>
          <w:sz w:val="18"/>
          <w:szCs w:val="18"/>
          <w:lang w:val="en-US"/>
        </w:rPr>
      </w:pPr>
      <w:r w:rsidRPr="006A42FE">
        <w:rPr>
          <w:rStyle w:val="FootnoteReference"/>
          <w:rFonts w:ascii="Arial" w:hAnsi="Arial" w:cs="Arial"/>
          <w:sz w:val="18"/>
          <w:szCs w:val="18"/>
        </w:rPr>
        <w:footnoteRef/>
      </w:r>
      <w:r w:rsidRPr="006A42FE">
        <w:rPr>
          <w:rFonts w:ascii="Arial" w:hAnsi="Arial" w:cs="Arial"/>
          <w:sz w:val="18"/>
          <w:szCs w:val="18"/>
          <w:lang w:val="en-US"/>
        </w:rPr>
        <w:t xml:space="preserve"> </w:t>
      </w:r>
      <w:r w:rsidR="006A42FE" w:rsidRPr="006A42FE">
        <w:rPr>
          <w:rFonts w:ascii="Arial" w:hAnsi="Arial" w:cs="Arial"/>
          <w:sz w:val="18"/>
          <w:szCs w:val="18"/>
          <w:lang w:val="en-US"/>
        </w:rPr>
        <w:tab/>
      </w:r>
      <w:r w:rsidR="00175288" w:rsidRPr="006A42FE">
        <w:rPr>
          <w:rFonts w:ascii="Arial" w:hAnsi="Arial" w:cs="Arial"/>
          <w:sz w:val="18"/>
          <w:szCs w:val="18"/>
          <w:lang w:val="en-US"/>
        </w:rPr>
        <w:t>Considers same</w:t>
      </w:r>
      <w:r w:rsidR="009F4EC0" w:rsidRPr="006A42FE">
        <w:rPr>
          <w:rFonts w:ascii="Arial" w:hAnsi="Arial" w:cs="Arial"/>
          <w:sz w:val="18"/>
          <w:szCs w:val="18"/>
          <w:lang w:val="en-US"/>
        </w:rPr>
        <w:t xml:space="preserve"> observable co</w:t>
      </w:r>
      <w:r w:rsidR="00C10CB6" w:rsidRPr="006A42FE">
        <w:rPr>
          <w:rFonts w:ascii="Arial" w:hAnsi="Arial" w:cs="Arial"/>
          <w:sz w:val="18"/>
          <w:szCs w:val="18"/>
          <w:lang w:val="en-US"/>
        </w:rPr>
        <w:t xml:space="preserve">ntrol variables </w:t>
      </w:r>
      <w:r w:rsidR="00175288" w:rsidRPr="00CC7C33">
        <w:rPr>
          <w:rFonts w:ascii="Arial" w:hAnsi="Arial" w:cs="Arial"/>
          <w:sz w:val="18"/>
          <w:szCs w:val="18"/>
          <w:lang w:val="en-US"/>
        </w:rPr>
        <w:t>included</w:t>
      </w:r>
      <w:r w:rsidR="00C10CB6" w:rsidRPr="00CC7C33">
        <w:rPr>
          <w:rFonts w:ascii="Arial" w:hAnsi="Arial" w:cs="Arial"/>
          <w:sz w:val="18"/>
          <w:szCs w:val="18"/>
          <w:lang w:val="en-US"/>
        </w:rPr>
        <w:t xml:space="preserve"> in X</w:t>
      </w:r>
      <w:r w:rsidR="00175288" w:rsidRPr="00CC7C33">
        <w:rPr>
          <w:rFonts w:ascii="Arial" w:hAnsi="Arial" w:cs="Arial"/>
          <w:sz w:val="18"/>
          <w:szCs w:val="18"/>
          <w:lang w:val="en-US"/>
        </w:rPr>
        <w:t xml:space="preserve"> (except</w:t>
      </w:r>
      <w:r w:rsidR="00C244FC" w:rsidRPr="00CC7C33">
        <w:rPr>
          <w:rFonts w:ascii="Arial" w:hAnsi="Arial" w:cs="Arial"/>
          <w:sz w:val="18"/>
          <w:szCs w:val="18"/>
          <w:lang w:val="en-US"/>
        </w:rPr>
        <w:t xml:space="preserve"> for</w:t>
      </w:r>
      <w:r w:rsidR="00175288" w:rsidRPr="00CC7C33">
        <w:rPr>
          <w:rFonts w:ascii="Arial" w:hAnsi="Arial" w:cs="Arial"/>
          <w:sz w:val="18"/>
          <w:szCs w:val="18"/>
          <w:lang w:val="en-US"/>
        </w:rPr>
        <w:t xml:space="preserve"> lagged outcomes)</w:t>
      </w:r>
      <w:r w:rsidR="00C10CB6" w:rsidRPr="00CC7C33">
        <w:rPr>
          <w:rFonts w:ascii="Arial" w:hAnsi="Arial" w:cs="Arial"/>
          <w:sz w:val="18"/>
          <w:szCs w:val="18"/>
          <w:lang w:val="en-US"/>
        </w:rPr>
        <w:t>.</w:t>
      </w:r>
      <w:r w:rsidR="009F4EC0" w:rsidRPr="00CC7C33">
        <w:rPr>
          <w:rFonts w:ascii="Arial" w:hAnsi="Arial" w:cs="Arial"/>
          <w:sz w:val="18"/>
          <w:szCs w:val="18"/>
          <w:lang w:val="en-US"/>
        </w:rPr>
        <w:t xml:space="preserve"> </w:t>
      </w:r>
      <w:r w:rsidR="00175288" w:rsidRPr="00CC7C33">
        <w:rPr>
          <w:rFonts w:ascii="Arial" w:hAnsi="Arial" w:cs="Arial"/>
          <w:sz w:val="18"/>
          <w:szCs w:val="18"/>
          <w:lang w:val="en-US"/>
        </w:rPr>
        <w:t>As indicated in</w:t>
      </w:r>
      <w:r w:rsidR="00C244FC" w:rsidRPr="00CC7C33">
        <w:rPr>
          <w:rFonts w:ascii="Arial" w:hAnsi="Arial" w:cs="Arial"/>
          <w:sz w:val="18"/>
          <w:szCs w:val="18"/>
          <w:lang w:val="en-US"/>
        </w:rPr>
        <w:t xml:space="preserve"> equation</w:t>
      </w:r>
      <w:r w:rsidR="00175288" w:rsidRPr="00CC7C33">
        <w:rPr>
          <w:rFonts w:ascii="Arial" w:hAnsi="Arial" w:cs="Arial"/>
          <w:sz w:val="18"/>
          <w:szCs w:val="18"/>
          <w:lang w:val="en-US"/>
        </w:rPr>
        <w:t xml:space="preserve"> (2)</w:t>
      </w:r>
      <w:r w:rsidR="00C244FC" w:rsidRPr="00CC7C33">
        <w:rPr>
          <w:rFonts w:ascii="Arial" w:hAnsi="Arial" w:cs="Arial"/>
          <w:sz w:val="18"/>
          <w:szCs w:val="18"/>
          <w:lang w:val="en-US"/>
        </w:rPr>
        <w:t>,</w:t>
      </w:r>
      <w:r w:rsidR="00175288" w:rsidRPr="00CC7C33">
        <w:rPr>
          <w:rFonts w:ascii="Arial" w:hAnsi="Arial" w:cs="Arial"/>
          <w:sz w:val="18"/>
          <w:szCs w:val="18"/>
          <w:lang w:val="en-US"/>
        </w:rPr>
        <w:t xml:space="preserve"> </w:t>
      </w:r>
      <w:r w:rsidR="009F4EC0" w:rsidRPr="00CC7C33">
        <w:rPr>
          <w:rFonts w:ascii="Arial" w:hAnsi="Arial" w:cs="Arial"/>
          <w:sz w:val="18"/>
          <w:szCs w:val="18"/>
          <w:lang w:val="en-US"/>
        </w:rPr>
        <w:t>Z will include values</w:t>
      </w:r>
      <w:r w:rsidR="00C10CB6" w:rsidRPr="00CC7C33">
        <w:rPr>
          <w:rFonts w:ascii="Arial" w:hAnsi="Arial" w:cs="Arial"/>
          <w:sz w:val="18"/>
          <w:szCs w:val="18"/>
          <w:lang w:val="en-US"/>
        </w:rPr>
        <w:t xml:space="preserve"> for control variables observed</w:t>
      </w:r>
      <w:r w:rsidR="009F4EC0" w:rsidRPr="00CC7C33">
        <w:rPr>
          <w:rFonts w:ascii="Arial" w:hAnsi="Arial" w:cs="Arial"/>
          <w:sz w:val="18"/>
          <w:szCs w:val="18"/>
          <w:lang w:val="en-US"/>
        </w:rPr>
        <w:t xml:space="preserve"> at the baseline. Values for variables considered for X</w:t>
      </w:r>
      <w:r w:rsidR="00175288" w:rsidRPr="00CC7C33">
        <w:rPr>
          <w:rFonts w:ascii="Arial" w:hAnsi="Arial" w:cs="Arial"/>
          <w:sz w:val="18"/>
          <w:szCs w:val="18"/>
          <w:lang w:val="en-US"/>
        </w:rPr>
        <w:t>, Y</w:t>
      </w:r>
      <w:r w:rsidR="009F4EC0" w:rsidRPr="00CC7C33">
        <w:rPr>
          <w:rFonts w:ascii="Arial" w:hAnsi="Arial" w:cs="Arial"/>
          <w:sz w:val="18"/>
          <w:szCs w:val="18"/>
          <w:lang w:val="en-US"/>
        </w:rPr>
        <w:t xml:space="preserve"> and Z</w:t>
      </w:r>
      <w:r w:rsidRPr="00CC7C33">
        <w:rPr>
          <w:rFonts w:ascii="Arial" w:hAnsi="Arial" w:cs="Arial"/>
          <w:sz w:val="18"/>
          <w:szCs w:val="18"/>
          <w:lang w:val="en-US"/>
        </w:rPr>
        <w:t xml:space="preserve"> are available at the administrative records </w:t>
      </w:r>
      <w:r w:rsidR="00BA3534" w:rsidRPr="00CC7C33">
        <w:rPr>
          <w:rFonts w:ascii="Arial" w:hAnsi="Arial" w:cs="Arial"/>
          <w:sz w:val="18"/>
          <w:szCs w:val="18"/>
          <w:lang w:val="en-US"/>
        </w:rPr>
        <w:t>referred</w:t>
      </w:r>
      <w:r w:rsidRPr="00CC7C33">
        <w:rPr>
          <w:rFonts w:ascii="Arial" w:hAnsi="Arial" w:cs="Arial"/>
          <w:sz w:val="18"/>
          <w:szCs w:val="18"/>
          <w:lang w:val="en-US"/>
        </w:rPr>
        <w:t xml:space="preserve"> in 3.27 since 2011.</w:t>
      </w:r>
    </w:p>
  </w:footnote>
  <w:footnote w:id="8">
    <w:p w:rsidR="00F3024E" w:rsidRPr="00CC7C33" w:rsidRDefault="00F3024E" w:rsidP="00CC7C33">
      <w:pPr>
        <w:pStyle w:val="FootnoteText"/>
        <w:spacing w:after="0"/>
        <w:rPr>
          <w:rFonts w:ascii="Arial" w:hAnsi="Arial" w:cs="Arial"/>
          <w:sz w:val="18"/>
          <w:szCs w:val="18"/>
          <w:lang w:val="en-US"/>
        </w:rPr>
      </w:pPr>
      <w:r w:rsidRPr="006A42FE">
        <w:rPr>
          <w:rStyle w:val="FootnoteReference"/>
          <w:rFonts w:ascii="Arial" w:hAnsi="Arial" w:cs="Arial"/>
          <w:sz w:val="18"/>
          <w:szCs w:val="18"/>
        </w:rPr>
        <w:footnoteRef/>
      </w:r>
      <w:r w:rsidRPr="006A42FE">
        <w:rPr>
          <w:rFonts w:ascii="Arial" w:hAnsi="Arial" w:cs="Arial"/>
          <w:sz w:val="18"/>
          <w:szCs w:val="18"/>
          <w:lang w:val="en-US"/>
        </w:rPr>
        <w:t xml:space="preserve"> </w:t>
      </w:r>
      <w:r w:rsidR="006A42FE" w:rsidRPr="006A42FE">
        <w:rPr>
          <w:rFonts w:ascii="Arial" w:hAnsi="Arial" w:cs="Arial"/>
          <w:sz w:val="18"/>
          <w:szCs w:val="18"/>
          <w:lang w:val="en-US"/>
        </w:rPr>
        <w:tab/>
      </w:r>
      <w:r w:rsidRPr="006A42FE">
        <w:rPr>
          <w:rFonts w:ascii="Arial" w:hAnsi="Arial" w:cs="Arial"/>
          <w:sz w:val="18"/>
          <w:szCs w:val="18"/>
          <w:lang w:val="en-US"/>
        </w:rPr>
        <w:t xml:space="preserve">Random promotion cannot be considered as an identification strategy in this case </w:t>
      </w:r>
      <w:r w:rsidRPr="00CC7C33">
        <w:rPr>
          <w:rFonts w:ascii="Arial" w:hAnsi="Arial" w:cs="Arial"/>
          <w:sz w:val="18"/>
          <w:szCs w:val="18"/>
          <w:lang w:val="en-US"/>
        </w:rPr>
        <w:t>as that method relies on a more local comparison of treated and control units abstracting from those always takers and never takers that may not comply according to the promotion. Given this, the sample size requirements become more stringent at that neighborhood of the compliers. Given the size of the country and of the potential beneficiary population, the most likely scenario is to promote the use among the universe of potential beneficiaries and match based on observable characteristics of final takers and non-takers.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24E" w:rsidRPr="004F0AC1" w:rsidRDefault="00F3024E" w:rsidP="00064AE4">
    <w:pPr>
      <w:pStyle w:val="Header"/>
      <w:tabs>
        <w:tab w:val="left" w:pos="4075"/>
        <w:tab w:val="center" w:pos="4320"/>
      </w:tabs>
      <w:jc w:val="center"/>
      <w:rPr>
        <w:rFonts w:ascii="Arial" w:hAnsi="Arial" w:cs="Arial"/>
        <w:sz w:val="18"/>
        <w:szCs w:val="18"/>
      </w:rPr>
    </w:pPr>
    <w:r w:rsidRPr="004F0AC1">
      <w:rPr>
        <w:rFonts w:ascii="Arial" w:hAnsi="Arial" w:cs="Arial"/>
        <w:sz w:val="18"/>
        <w:szCs w:val="18"/>
      </w:rPr>
      <w:t>- </w:t>
    </w:r>
    <w:sdt>
      <w:sdtPr>
        <w:rPr>
          <w:rFonts w:ascii="Arial" w:hAnsi="Arial" w:cs="Arial"/>
          <w:sz w:val="18"/>
          <w:szCs w:val="18"/>
        </w:rPr>
        <w:id w:val="-951787272"/>
        <w:docPartObj>
          <w:docPartGallery w:val="Page Numbers (Top of Page)"/>
          <w:docPartUnique/>
        </w:docPartObj>
      </w:sdtPr>
      <w:sdtEndPr>
        <w:rPr>
          <w:noProof/>
        </w:rPr>
      </w:sdtEndPr>
      <w:sdtContent>
        <w:r w:rsidRPr="004F0AC1">
          <w:rPr>
            <w:rFonts w:ascii="Arial" w:hAnsi="Arial" w:cs="Arial"/>
            <w:sz w:val="18"/>
            <w:szCs w:val="18"/>
          </w:rPr>
          <w:fldChar w:fldCharType="begin"/>
        </w:r>
        <w:r w:rsidRPr="004F0AC1">
          <w:rPr>
            <w:rFonts w:ascii="Arial" w:hAnsi="Arial" w:cs="Arial"/>
            <w:sz w:val="18"/>
            <w:szCs w:val="18"/>
          </w:rPr>
          <w:instrText xml:space="preserve"> PAGE   \* MERGEFORMAT </w:instrText>
        </w:r>
        <w:r w:rsidRPr="004F0AC1">
          <w:rPr>
            <w:rFonts w:ascii="Arial" w:hAnsi="Arial" w:cs="Arial"/>
            <w:sz w:val="18"/>
            <w:szCs w:val="18"/>
          </w:rPr>
          <w:fldChar w:fldCharType="separate"/>
        </w:r>
        <w:r w:rsidR="00CC7C33">
          <w:rPr>
            <w:rFonts w:ascii="Arial" w:hAnsi="Arial" w:cs="Arial"/>
            <w:noProof/>
            <w:sz w:val="18"/>
            <w:szCs w:val="18"/>
          </w:rPr>
          <w:t>27</w:t>
        </w:r>
        <w:r w:rsidRPr="004F0AC1">
          <w:rPr>
            <w:rFonts w:ascii="Arial" w:hAnsi="Arial" w:cs="Arial"/>
            <w:noProof/>
            <w:sz w:val="18"/>
            <w:szCs w:val="18"/>
          </w:rPr>
          <w:fldChar w:fldCharType="end"/>
        </w:r>
        <w:r w:rsidRPr="004F0AC1">
          <w:rPr>
            <w:rFonts w:ascii="Arial" w:hAnsi="Arial" w:cs="Arial"/>
            <w:noProof/>
            <w:sz w:val="18"/>
            <w:szCs w:val="18"/>
          </w:rPr>
          <w:t> -</w:t>
        </w:r>
      </w:sdtContent>
    </w:sdt>
  </w:p>
  <w:p w:rsidR="00F3024E" w:rsidRDefault="00F302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24E" w:rsidRPr="004F0AC1" w:rsidRDefault="00F3024E" w:rsidP="00776252">
    <w:pPr>
      <w:pStyle w:val="Header"/>
      <w:tabs>
        <w:tab w:val="left" w:pos="4075"/>
        <w:tab w:val="center" w:pos="4320"/>
      </w:tabs>
      <w:rPr>
        <w:rFonts w:ascii="Arial" w:hAnsi="Arial" w:cs="Arial"/>
        <w:sz w:val="18"/>
        <w:szCs w:val="18"/>
      </w:rPr>
    </w:pPr>
    <w:r>
      <w:rPr>
        <w:rFonts w:ascii="Arial" w:hAnsi="Arial" w:cs="Arial"/>
        <w:sz w:val="18"/>
        <w:szCs w:val="18"/>
      </w:rPr>
      <w:tab/>
    </w:r>
  </w:p>
  <w:p w:rsidR="00F3024E" w:rsidRDefault="00F302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03AB"/>
    <w:multiLevelType w:val="multilevel"/>
    <w:tmpl w:val="C9EE24D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bullet"/>
      <w:lvlText w:val=""/>
      <w:lvlJc w:val="left"/>
      <w:pPr>
        <w:tabs>
          <w:tab w:val="num" w:pos="2304"/>
        </w:tabs>
        <w:ind w:left="2304" w:hanging="432"/>
      </w:pPr>
      <w:rPr>
        <w:rFonts w:ascii="Symbol" w:hAnsi="Symbol" w:hint="default"/>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05DA1E53"/>
    <w:multiLevelType w:val="hybridMultilevel"/>
    <w:tmpl w:val="21923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6E29F6"/>
    <w:multiLevelType w:val="hybridMultilevel"/>
    <w:tmpl w:val="EEFE1F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5C6699"/>
    <w:multiLevelType w:val="multilevel"/>
    <w:tmpl w:val="8F6C87E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4">
    <w:nsid w:val="0DAB7FC9"/>
    <w:multiLevelType w:val="multilevel"/>
    <w:tmpl w:val="D33C3828"/>
    <w:lvl w:ilvl="0">
      <w:start w:val="1"/>
      <w:numFmt w:val="decimal"/>
      <w:lvlText w:val="%1"/>
      <w:lvlJc w:val="left"/>
      <w:pPr>
        <w:ind w:left="720" w:hanging="432"/>
      </w:pPr>
      <w:rPr>
        <w:b/>
        <w:i w:val="0"/>
      </w:rPr>
    </w:lvl>
    <w:lvl w:ilvl="1">
      <w:start w:val="1"/>
      <w:numFmt w:val="decimal"/>
      <w:lvlText w:val="%1.%2"/>
      <w:lvlJc w:val="left"/>
      <w:pPr>
        <w:ind w:left="864" w:hanging="576"/>
      </w:pPr>
      <w:rPr>
        <w:lang w:val="es-ES"/>
      </w:r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5">
    <w:nsid w:val="0E7E261D"/>
    <w:multiLevelType w:val="multilevel"/>
    <w:tmpl w:val="55E6F33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0EE40622"/>
    <w:multiLevelType w:val="hybridMultilevel"/>
    <w:tmpl w:val="07CEC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FB3B6F"/>
    <w:multiLevelType w:val="multilevel"/>
    <w:tmpl w:val="1A242B6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10BA52A9"/>
    <w:multiLevelType w:val="hybridMultilevel"/>
    <w:tmpl w:val="BCF22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744E61"/>
    <w:multiLevelType w:val="multilevel"/>
    <w:tmpl w:val="06D6A86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11C9058A"/>
    <w:multiLevelType w:val="multilevel"/>
    <w:tmpl w:val="5E2E7E8C"/>
    <w:lvl w:ilvl="0">
      <w:start w:val="1"/>
      <w:numFmt w:val="upperRoman"/>
      <w:lvlRestart w:val="0"/>
      <w:lvlText w:val="%1."/>
      <w:lvlJc w:val="center"/>
      <w:pPr>
        <w:tabs>
          <w:tab w:val="num" w:pos="1584"/>
        </w:tabs>
        <w:ind w:left="936" w:firstLine="288"/>
      </w:pPr>
      <w:rPr>
        <w:b/>
        <w:i w:val="0"/>
      </w:rPr>
    </w:lvl>
    <w:lvl w:ilvl="1">
      <w:start w:val="1"/>
      <w:numFmt w:val="decimal"/>
      <w:isLgl/>
      <w:lvlText w:val="%1.%2"/>
      <w:lvlJc w:val="left"/>
      <w:pPr>
        <w:tabs>
          <w:tab w:val="num" w:pos="2232"/>
        </w:tabs>
        <w:ind w:left="2232" w:hanging="1296"/>
      </w:pPr>
    </w:lvl>
    <w:lvl w:ilvl="2">
      <w:start w:val="1"/>
      <w:numFmt w:val="lowerLetter"/>
      <w:lvlText w:val="%3."/>
      <w:lvlJc w:val="left"/>
      <w:pPr>
        <w:tabs>
          <w:tab w:val="num" w:pos="2088"/>
        </w:tabs>
        <w:ind w:left="2088" w:hanging="432"/>
      </w:pPr>
    </w:lvl>
    <w:lvl w:ilvl="3">
      <w:start w:val="1"/>
      <w:numFmt w:val="decimal"/>
      <w:lvlText w:val="%1.%2.%3.%4"/>
      <w:lvlJc w:val="left"/>
      <w:pPr>
        <w:ind w:left="1800" w:hanging="864"/>
      </w:pPr>
    </w:lvl>
    <w:lvl w:ilvl="4">
      <w:start w:val="1"/>
      <w:numFmt w:val="decimal"/>
      <w:lvlText w:val="%1.%2.%3.%4.%5"/>
      <w:lvlJc w:val="left"/>
      <w:pPr>
        <w:ind w:left="1944" w:hanging="1008"/>
      </w:pPr>
    </w:lvl>
    <w:lvl w:ilvl="5">
      <w:start w:val="1"/>
      <w:numFmt w:val="decimal"/>
      <w:lvlText w:val="%1.%2.%3.%4.%5.%6"/>
      <w:lvlJc w:val="left"/>
      <w:pPr>
        <w:ind w:left="2088" w:hanging="1152"/>
      </w:pPr>
    </w:lvl>
    <w:lvl w:ilvl="6">
      <w:start w:val="1"/>
      <w:numFmt w:val="decimal"/>
      <w:lvlText w:val="%1.%2.%3.%4.%5.%6.%7"/>
      <w:lvlJc w:val="left"/>
      <w:pPr>
        <w:ind w:left="2232" w:hanging="1296"/>
      </w:pPr>
    </w:lvl>
    <w:lvl w:ilvl="7">
      <w:start w:val="1"/>
      <w:numFmt w:val="decimal"/>
      <w:lvlText w:val="%1.%2.%3.%4.%5.%6.%7.%8"/>
      <w:lvlJc w:val="left"/>
      <w:pPr>
        <w:ind w:left="2376" w:hanging="1440"/>
      </w:pPr>
    </w:lvl>
    <w:lvl w:ilvl="8">
      <w:start w:val="1"/>
      <w:numFmt w:val="decimal"/>
      <w:lvlText w:val="%1.%2.%3.%4.%5.%6.%7.%8.%9"/>
      <w:lvlJc w:val="left"/>
      <w:pPr>
        <w:ind w:left="2520" w:hanging="1584"/>
      </w:pPr>
    </w:lvl>
  </w:abstractNum>
  <w:abstractNum w:abstractNumId="11">
    <w:nsid w:val="129F0D70"/>
    <w:multiLevelType w:val="hybridMultilevel"/>
    <w:tmpl w:val="959AA3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3974C0"/>
    <w:multiLevelType w:val="hybridMultilevel"/>
    <w:tmpl w:val="8F3A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B05AF1"/>
    <w:multiLevelType w:val="multilevel"/>
    <w:tmpl w:val="1B608B0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bullet"/>
      <w:lvlText w:val=""/>
      <w:lvlJc w:val="left"/>
      <w:pPr>
        <w:tabs>
          <w:tab w:val="num" w:pos="2304"/>
        </w:tabs>
        <w:ind w:left="2304" w:hanging="432"/>
      </w:pPr>
      <w:rPr>
        <w:rFonts w:ascii="Wingdings" w:hAnsi="Wingdings" w:hint="default"/>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nsid w:val="239F4052"/>
    <w:multiLevelType w:val="multilevel"/>
    <w:tmpl w:val="EECC97A8"/>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rFonts w:ascii="Arial" w:hAnsi="Arial" w:cs="Arial" w:hint="default"/>
        <w:sz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5">
    <w:nsid w:val="26E845AF"/>
    <w:multiLevelType w:val="hybridMultilevel"/>
    <w:tmpl w:val="027E0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FD1EF5"/>
    <w:multiLevelType w:val="hybridMultilevel"/>
    <w:tmpl w:val="C24C8D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3BF603B"/>
    <w:multiLevelType w:val="hybridMultilevel"/>
    <w:tmpl w:val="2ADA7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BF1B9D"/>
    <w:multiLevelType w:val="hybridMultilevel"/>
    <w:tmpl w:val="959AA3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7B58FE"/>
    <w:multiLevelType w:val="hybridMultilevel"/>
    <w:tmpl w:val="5C28BE3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406D5333"/>
    <w:multiLevelType w:val="hybridMultilevel"/>
    <w:tmpl w:val="468CB8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14E0BAB"/>
    <w:multiLevelType w:val="hybridMultilevel"/>
    <w:tmpl w:val="9A6EF5DC"/>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4B59576D"/>
    <w:multiLevelType w:val="hybridMultilevel"/>
    <w:tmpl w:val="E8DE4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FB2F10"/>
    <w:multiLevelType w:val="hybridMultilevel"/>
    <w:tmpl w:val="6C00B74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BFF49BF"/>
    <w:multiLevelType w:val="hybridMultilevel"/>
    <w:tmpl w:val="DA6875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1E57D88"/>
    <w:multiLevelType w:val="hybridMultilevel"/>
    <w:tmpl w:val="61160AE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8D36AE2"/>
    <w:multiLevelType w:val="hybridMultilevel"/>
    <w:tmpl w:val="558EA98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9263DB7"/>
    <w:multiLevelType w:val="hybridMultilevel"/>
    <w:tmpl w:val="6792C4FE"/>
    <w:lvl w:ilvl="0" w:tplc="967EF170">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B9A7602"/>
    <w:multiLevelType w:val="hybridMultilevel"/>
    <w:tmpl w:val="9A380202"/>
    <w:lvl w:ilvl="0" w:tplc="4F50176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AB5D00"/>
    <w:multiLevelType w:val="hybridMultilevel"/>
    <w:tmpl w:val="0F5469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D804431"/>
    <w:multiLevelType w:val="hybridMultilevel"/>
    <w:tmpl w:val="B428D7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9923C8"/>
    <w:multiLevelType w:val="multilevel"/>
    <w:tmpl w:val="849252C8"/>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2">
    <w:nsid w:val="70413860"/>
    <w:multiLevelType w:val="multilevel"/>
    <w:tmpl w:val="9C7E3CA4"/>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nsid w:val="73EF5FC9"/>
    <w:multiLevelType w:val="multilevel"/>
    <w:tmpl w:val="7CF89768"/>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nsid w:val="7BEA1DF2"/>
    <w:multiLevelType w:val="multilevel"/>
    <w:tmpl w:val="A288D74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8"/>
  </w:num>
  <w:num w:numId="2">
    <w:abstractNumId w:val="31"/>
  </w:num>
  <w:num w:numId="3">
    <w:abstractNumId w:val="31"/>
  </w:num>
  <w:num w:numId="4">
    <w:abstractNumId w:val="20"/>
  </w:num>
  <w:num w:numId="5">
    <w:abstractNumId w:val="21"/>
  </w:num>
  <w:num w:numId="6">
    <w:abstractNumId w:val="17"/>
  </w:num>
  <w:num w:numId="7">
    <w:abstractNumId w:val="30"/>
  </w:num>
  <w:num w:numId="8">
    <w:abstractNumId w:val="4"/>
  </w:num>
  <w:num w:numId="9">
    <w:abstractNumId w:val="27"/>
  </w:num>
  <w:num w:numId="10">
    <w:abstractNumId w:val="0"/>
  </w:num>
  <w:num w:numId="11">
    <w:abstractNumId w:val="22"/>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5"/>
  </w:num>
  <w:num w:numId="15">
    <w:abstractNumId w:val="29"/>
  </w:num>
  <w:num w:numId="16">
    <w:abstractNumId w:val="6"/>
  </w:num>
  <w:num w:numId="17">
    <w:abstractNumId w:val="19"/>
  </w:num>
  <w:num w:numId="18">
    <w:abstractNumId w:val="18"/>
  </w:num>
  <w:num w:numId="19">
    <w:abstractNumId w:val="11"/>
  </w:num>
  <w:num w:numId="20">
    <w:abstractNumId w:val="13"/>
  </w:num>
  <w:num w:numId="21">
    <w:abstractNumId w:val="1"/>
  </w:num>
  <w:num w:numId="22">
    <w:abstractNumId w:val="26"/>
  </w:num>
  <w:num w:numId="23">
    <w:abstractNumId w:val="25"/>
  </w:num>
  <w:num w:numId="24">
    <w:abstractNumId w:val="23"/>
  </w:num>
  <w:num w:numId="25">
    <w:abstractNumId w:val="2"/>
  </w:num>
  <w:num w:numId="26">
    <w:abstractNumId w:val="33"/>
  </w:num>
  <w:num w:numId="27">
    <w:abstractNumId w:val="7"/>
  </w:num>
  <w:num w:numId="28">
    <w:abstractNumId w:val="10"/>
  </w:num>
  <w:num w:numId="29">
    <w:abstractNumId w:val="34"/>
  </w:num>
  <w:num w:numId="30">
    <w:abstractNumId w:val="5"/>
  </w:num>
  <w:num w:numId="31">
    <w:abstractNumId w:val="9"/>
  </w:num>
  <w:num w:numId="32">
    <w:abstractNumId w:val="32"/>
  </w:num>
  <w:num w:numId="33">
    <w:abstractNumId w:val="14"/>
  </w:num>
  <w:num w:numId="34">
    <w:abstractNumId w:val="3"/>
  </w:num>
  <w:num w:numId="35">
    <w:abstractNumId w:val="24"/>
  </w:num>
  <w:num w:numId="36">
    <w:abstractNumId w:val="31"/>
  </w:num>
  <w:num w:numId="37">
    <w:abstractNumId w:val="31"/>
  </w:num>
  <w:num w:numId="38">
    <w:abstractNumId w:val="31"/>
  </w:num>
  <w:num w:numId="39">
    <w:abstractNumId w:val="31"/>
  </w:num>
  <w:num w:numId="40">
    <w:abstractNumId w:val="31"/>
  </w:num>
  <w:num w:numId="41">
    <w:abstractNumId w:val="31"/>
  </w:num>
  <w:num w:numId="42">
    <w:abstractNumId w:val="31"/>
  </w:num>
  <w:num w:numId="43">
    <w:abstractNumId w:val="31"/>
  </w:num>
  <w:num w:numId="44">
    <w:abstractNumId w:val="12"/>
  </w:num>
  <w:num w:numId="45">
    <w:abstractNumId w:val="8"/>
  </w:num>
  <w:num w:numId="46">
    <w:abstractNumId w:val="3"/>
  </w:num>
  <w:num w:numId="47">
    <w:abstractNumId w:val="3"/>
  </w:num>
  <w:num w:numId="48">
    <w:abstractNumId w:val="3"/>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997"/>
    <w:rsid w:val="00005B82"/>
    <w:rsid w:val="000077AD"/>
    <w:rsid w:val="00007966"/>
    <w:rsid w:val="00007A4B"/>
    <w:rsid w:val="000168F3"/>
    <w:rsid w:val="00021473"/>
    <w:rsid w:val="00021F5D"/>
    <w:rsid w:val="000225CC"/>
    <w:rsid w:val="00023508"/>
    <w:rsid w:val="000240BD"/>
    <w:rsid w:val="00024413"/>
    <w:rsid w:val="000246D0"/>
    <w:rsid w:val="000272BC"/>
    <w:rsid w:val="000274EF"/>
    <w:rsid w:val="0003037D"/>
    <w:rsid w:val="000336E8"/>
    <w:rsid w:val="00033ECB"/>
    <w:rsid w:val="000375A7"/>
    <w:rsid w:val="00042B5F"/>
    <w:rsid w:val="00043FB8"/>
    <w:rsid w:val="00046411"/>
    <w:rsid w:val="00050667"/>
    <w:rsid w:val="00051B97"/>
    <w:rsid w:val="00052901"/>
    <w:rsid w:val="00061A04"/>
    <w:rsid w:val="00061ACB"/>
    <w:rsid w:val="00062C32"/>
    <w:rsid w:val="0006432D"/>
    <w:rsid w:val="00064AE4"/>
    <w:rsid w:val="000678DF"/>
    <w:rsid w:val="00070A90"/>
    <w:rsid w:val="00071AFA"/>
    <w:rsid w:val="00075949"/>
    <w:rsid w:val="00075CCB"/>
    <w:rsid w:val="000803C5"/>
    <w:rsid w:val="00081700"/>
    <w:rsid w:val="00082DFB"/>
    <w:rsid w:val="0008446E"/>
    <w:rsid w:val="000873B2"/>
    <w:rsid w:val="000902AF"/>
    <w:rsid w:val="00091556"/>
    <w:rsid w:val="00092719"/>
    <w:rsid w:val="00095180"/>
    <w:rsid w:val="000A17DF"/>
    <w:rsid w:val="000B0588"/>
    <w:rsid w:val="000B07D0"/>
    <w:rsid w:val="000B2B29"/>
    <w:rsid w:val="000B32DD"/>
    <w:rsid w:val="000B4A9D"/>
    <w:rsid w:val="000B7ABE"/>
    <w:rsid w:val="000C2765"/>
    <w:rsid w:val="000C3082"/>
    <w:rsid w:val="000C655A"/>
    <w:rsid w:val="000D4037"/>
    <w:rsid w:val="000D525B"/>
    <w:rsid w:val="000D704E"/>
    <w:rsid w:val="000E0AB6"/>
    <w:rsid w:val="000E150D"/>
    <w:rsid w:val="000E41D5"/>
    <w:rsid w:val="000F03B8"/>
    <w:rsid w:val="000F3EC5"/>
    <w:rsid w:val="000F5FB7"/>
    <w:rsid w:val="00100E6A"/>
    <w:rsid w:val="00101870"/>
    <w:rsid w:val="0010460B"/>
    <w:rsid w:val="00105D85"/>
    <w:rsid w:val="00106BC2"/>
    <w:rsid w:val="00110204"/>
    <w:rsid w:val="00112EAD"/>
    <w:rsid w:val="001166F9"/>
    <w:rsid w:val="001201A7"/>
    <w:rsid w:val="001205AB"/>
    <w:rsid w:val="00125BCC"/>
    <w:rsid w:val="00132B6C"/>
    <w:rsid w:val="00133542"/>
    <w:rsid w:val="00136560"/>
    <w:rsid w:val="001376E0"/>
    <w:rsid w:val="00144D99"/>
    <w:rsid w:val="00146F3A"/>
    <w:rsid w:val="00147347"/>
    <w:rsid w:val="001475B0"/>
    <w:rsid w:val="001515D0"/>
    <w:rsid w:val="00152A64"/>
    <w:rsid w:val="00153911"/>
    <w:rsid w:val="00156A6E"/>
    <w:rsid w:val="00157B3D"/>
    <w:rsid w:val="00166678"/>
    <w:rsid w:val="0016781A"/>
    <w:rsid w:val="00171F90"/>
    <w:rsid w:val="001726D4"/>
    <w:rsid w:val="00173FF4"/>
    <w:rsid w:val="00174999"/>
    <w:rsid w:val="00175288"/>
    <w:rsid w:val="00180CDD"/>
    <w:rsid w:val="00181ACB"/>
    <w:rsid w:val="00185ECF"/>
    <w:rsid w:val="001865B0"/>
    <w:rsid w:val="00187168"/>
    <w:rsid w:val="001900E1"/>
    <w:rsid w:val="00194031"/>
    <w:rsid w:val="00194923"/>
    <w:rsid w:val="00194C1D"/>
    <w:rsid w:val="00195F4A"/>
    <w:rsid w:val="00196D74"/>
    <w:rsid w:val="001A136D"/>
    <w:rsid w:val="001A55A9"/>
    <w:rsid w:val="001A70C4"/>
    <w:rsid w:val="001B3EBE"/>
    <w:rsid w:val="001D3D00"/>
    <w:rsid w:val="001D506E"/>
    <w:rsid w:val="001D5794"/>
    <w:rsid w:val="001E0C98"/>
    <w:rsid w:val="001E2A63"/>
    <w:rsid w:val="001E2B30"/>
    <w:rsid w:val="001E38A9"/>
    <w:rsid w:val="001E6F76"/>
    <w:rsid w:val="001F184A"/>
    <w:rsid w:val="001F30E5"/>
    <w:rsid w:val="001F3D3C"/>
    <w:rsid w:val="001F5FFF"/>
    <w:rsid w:val="001F66E6"/>
    <w:rsid w:val="001F6FF9"/>
    <w:rsid w:val="001F78CF"/>
    <w:rsid w:val="001F7C58"/>
    <w:rsid w:val="00200BCE"/>
    <w:rsid w:val="00206E36"/>
    <w:rsid w:val="00211C9E"/>
    <w:rsid w:val="00212B8A"/>
    <w:rsid w:val="00226AA0"/>
    <w:rsid w:val="00226B9D"/>
    <w:rsid w:val="00227BF9"/>
    <w:rsid w:val="00230ED7"/>
    <w:rsid w:val="00231933"/>
    <w:rsid w:val="0023392A"/>
    <w:rsid w:val="002340A1"/>
    <w:rsid w:val="002369AC"/>
    <w:rsid w:val="002370D0"/>
    <w:rsid w:val="002441F4"/>
    <w:rsid w:val="00250430"/>
    <w:rsid w:val="00251255"/>
    <w:rsid w:val="00252086"/>
    <w:rsid w:val="00252D55"/>
    <w:rsid w:val="00264291"/>
    <w:rsid w:val="00266CD5"/>
    <w:rsid w:val="002675B8"/>
    <w:rsid w:val="002704E3"/>
    <w:rsid w:val="002712F6"/>
    <w:rsid w:val="00271ED8"/>
    <w:rsid w:val="00274E45"/>
    <w:rsid w:val="002754A0"/>
    <w:rsid w:val="00277C8F"/>
    <w:rsid w:val="00277D9F"/>
    <w:rsid w:val="00280140"/>
    <w:rsid w:val="00280A2F"/>
    <w:rsid w:val="002828DA"/>
    <w:rsid w:val="002837B8"/>
    <w:rsid w:val="00284A67"/>
    <w:rsid w:val="00287627"/>
    <w:rsid w:val="00292188"/>
    <w:rsid w:val="00292E35"/>
    <w:rsid w:val="002A2BC8"/>
    <w:rsid w:val="002A4EB4"/>
    <w:rsid w:val="002A5F55"/>
    <w:rsid w:val="002B4584"/>
    <w:rsid w:val="002B564F"/>
    <w:rsid w:val="002B6095"/>
    <w:rsid w:val="002B6A5B"/>
    <w:rsid w:val="002C0C87"/>
    <w:rsid w:val="002C1258"/>
    <w:rsid w:val="002C2B41"/>
    <w:rsid w:val="002C7440"/>
    <w:rsid w:val="002D3260"/>
    <w:rsid w:val="002D3C33"/>
    <w:rsid w:val="002D4396"/>
    <w:rsid w:val="002D649B"/>
    <w:rsid w:val="002D6BCA"/>
    <w:rsid w:val="002E2878"/>
    <w:rsid w:val="002E2BE1"/>
    <w:rsid w:val="002E2F28"/>
    <w:rsid w:val="002E373D"/>
    <w:rsid w:val="002E5ACC"/>
    <w:rsid w:val="002F2590"/>
    <w:rsid w:val="002F3CFF"/>
    <w:rsid w:val="002F7416"/>
    <w:rsid w:val="003039A4"/>
    <w:rsid w:val="00305606"/>
    <w:rsid w:val="00305974"/>
    <w:rsid w:val="00306051"/>
    <w:rsid w:val="00312D54"/>
    <w:rsid w:val="00313740"/>
    <w:rsid w:val="00313EDE"/>
    <w:rsid w:val="0031513E"/>
    <w:rsid w:val="003175A4"/>
    <w:rsid w:val="00317C7A"/>
    <w:rsid w:val="00320087"/>
    <w:rsid w:val="003234CA"/>
    <w:rsid w:val="003247F7"/>
    <w:rsid w:val="003254E1"/>
    <w:rsid w:val="00330567"/>
    <w:rsid w:val="003355D8"/>
    <w:rsid w:val="003421A7"/>
    <w:rsid w:val="0034577D"/>
    <w:rsid w:val="003457BD"/>
    <w:rsid w:val="003513E3"/>
    <w:rsid w:val="00352B68"/>
    <w:rsid w:val="00355F1A"/>
    <w:rsid w:val="003604CE"/>
    <w:rsid w:val="00363D6F"/>
    <w:rsid w:val="003669F2"/>
    <w:rsid w:val="00374F86"/>
    <w:rsid w:val="003757F0"/>
    <w:rsid w:val="003808F5"/>
    <w:rsid w:val="00385DAB"/>
    <w:rsid w:val="00391A72"/>
    <w:rsid w:val="003936DE"/>
    <w:rsid w:val="00393F17"/>
    <w:rsid w:val="0039428F"/>
    <w:rsid w:val="003A1338"/>
    <w:rsid w:val="003A2C36"/>
    <w:rsid w:val="003A3C1D"/>
    <w:rsid w:val="003A6974"/>
    <w:rsid w:val="003A79E7"/>
    <w:rsid w:val="003B0971"/>
    <w:rsid w:val="003B33B5"/>
    <w:rsid w:val="003B5CA6"/>
    <w:rsid w:val="003B5D22"/>
    <w:rsid w:val="003C300D"/>
    <w:rsid w:val="003C3230"/>
    <w:rsid w:val="003C7EAA"/>
    <w:rsid w:val="003D3128"/>
    <w:rsid w:val="003D4A11"/>
    <w:rsid w:val="003D4D82"/>
    <w:rsid w:val="003D5229"/>
    <w:rsid w:val="003E240F"/>
    <w:rsid w:val="003E2471"/>
    <w:rsid w:val="003E2C27"/>
    <w:rsid w:val="003E44DD"/>
    <w:rsid w:val="003F3302"/>
    <w:rsid w:val="003F4105"/>
    <w:rsid w:val="003F469A"/>
    <w:rsid w:val="003F56BA"/>
    <w:rsid w:val="003F75A9"/>
    <w:rsid w:val="00400D7C"/>
    <w:rsid w:val="00403CAD"/>
    <w:rsid w:val="00406FD8"/>
    <w:rsid w:val="00407819"/>
    <w:rsid w:val="00407DD8"/>
    <w:rsid w:val="00407F00"/>
    <w:rsid w:val="00414E01"/>
    <w:rsid w:val="004225A0"/>
    <w:rsid w:val="0043013B"/>
    <w:rsid w:val="00430268"/>
    <w:rsid w:val="004344CD"/>
    <w:rsid w:val="00434E79"/>
    <w:rsid w:val="004365BB"/>
    <w:rsid w:val="00440751"/>
    <w:rsid w:val="00440E0F"/>
    <w:rsid w:val="00440F13"/>
    <w:rsid w:val="00443C13"/>
    <w:rsid w:val="0044410A"/>
    <w:rsid w:val="004452A7"/>
    <w:rsid w:val="00445EA2"/>
    <w:rsid w:val="00447745"/>
    <w:rsid w:val="004507DC"/>
    <w:rsid w:val="004508E1"/>
    <w:rsid w:val="004524F6"/>
    <w:rsid w:val="00456A12"/>
    <w:rsid w:val="00456BB7"/>
    <w:rsid w:val="00461F57"/>
    <w:rsid w:val="00462C29"/>
    <w:rsid w:val="00466FEE"/>
    <w:rsid w:val="00467676"/>
    <w:rsid w:val="0047210D"/>
    <w:rsid w:val="00473514"/>
    <w:rsid w:val="00473936"/>
    <w:rsid w:val="004751A1"/>
    <w:rsid w:val="00475A13"/>
    <w:rsid w:val="0048157C"/>
    <w:rsid w:val="0048279B"/>
    <w:rsid w:val="00482812"/>
    <w:rsid w:val="00483875"/>
    <w:rsid w:val="004852E3"/>
    <w:rsid w:val="00485803"/>
    <w:rsid w:val="00486013"/>
    <w:rsid w:val="00486FFD"/>
    <w:rsid w:val="0049006F"/>
    <w:rsid w:val="00490354"/>
    <w:rsid w:val="00490356"/>
    <w:rsid w:val="004904BD"/>
    <w:rsid w:val="004922F0"/>
    <w:rsid w:val="004956D8"/>
    <w:rsid w:val="004959ED"/>
    <w:rsid w:val="0049762D"/>
    <w:rsid w:val="004A2C9B"/>
    <w:rsid w:val="004A4AC9"/>
    <w:rsid w:val="004A58B5"/>
    <w:rsid w:val="004B3819"/>
    <w:rsid w:val="004B6666"/>
    <w:rsid w:val="004B6732"/>
    <w:rsid w:val="004C0044"/>
    <w:rsid w:val="004C20FE"/>
    <w:rsid w:val="004C6036"/>
    <w:rsid w:val="004C6D93"/>
    <w:rsid w:val="004C74DF"/>
    <w:rsid w:val="004D3E48"/>
    <w:rsid w:val="004D4D50"/>
    <w:rsid w:val="004D7191"/>
    <w:rsid w:val="004E0D18"/>
    <w:rsid w:val="004E0EAA"/>
    <w:rsid w:val="004E5106"/>
    <w:rsid w:val="004F0AC1"/>
    <w:rsid w:val="004F193F"/>
    <w:rsid w:val="004F241E"/>
    <w:rsid w:val="004F29C9"/>
    <w:rsid w:val="004F59AE"/>
    <w:rsid w:val="00500528"/>
    <w:rsid w:val="00501FA4"/>
    <w:rsid w:val="00507B7D"/>
    <w:rsid w:val="00511A53"/>
    <w:rsid w:val="00513CB8"/>
    <w:rsid w:val="00515099"/>
    <w:rsid w:val="00515A37"/>
    <w:rsid w:val="00517894"/>
    <w:rsid w:val="00520ADF"/>
    <w:rsid w:val="00523C33"/>
    <w:rsid w:val="00523D83"/>
    <w:rsid w:val="00524BED"/>
    <w:rsid w:val="00530B26"/>
    <w:rsid w:val="00531036"/>
    <w:rsid w:val="0053531B"/>
    <w:rsid w:val="00537C9F"/>
    <w:rsid w:val="00537F12"/>
    <w:rsid w:val="00540127"/>
    <w:rsid w:val="005416BE"/>
    <w:rsid w:val="005423A3"/>
    <w:rsid w:val="00545933"/>
    <w:rsid w:val="00546CB8"/>
    <w:rsid w:val="00546FA1"/>
    <w:rsid w:val="00554BC7"/>
    <w:rsid w:val="00556C1D"/>
    <w:rsid w:val="00557F50"/>
    <w:rsid w:val="00562704"/>
    <w:rsid w:val="00563057"/>
    <w:rsid w:val="005705AC"/>
    <w:rsid w:val="005746EA"/>
    <w:rsid w:val="00576032"/>
    <w:rsid w:val="00576CAA"/>
    <w:rsid w:val="005835D7"/>
    <w:rsid w:val="00583E2F"/>
    <w:rsid w:val="00584051"/>
    <w:rsid w:val="00584EAC"/>
    <w:rsid w:val="0058663E"/>
    <w:rsid w:val="005957EC"/>
    <w:rsid w:val="005960C8"/>
    <w:rsid w:val="005967A3"/>
    <w:rsid w:val="005976EF"/>
    <w:rsid w:val="00597FE5"/>
    <w:rsid w:val="005A0682"/>
    <w:rsid w:val="005A126B"/>
    <w:rsid w:val="005A540C"/>
    <w:rsid w:val="005A57F6"/>
    <w:rsid w:val="005A61CA"/>
    <w:rsid w:val="005B3914"/>
    <w:rsid w:val="005B4E06"/>
    <w:rsid w:val="005C12EB"/>
    <w:rsid w:val="005C4154"/>
    <w:rsid w:val="005C51F0"/>
    <w:rsid w:val="005D2187"/>
    <w:rsid w:val="005D5F47"/>
    <w:rsid w:val="005E01BD"/>
    <w:rsid w:val="005E185B"/>
    <w:rsid w:val="005E3005"/>
    <w:rsid w:val="005E516B"/>
    <w:rsid w:val="005F0B66"/>
    <w:rsid w:val="005F3B66"/>
    <w:rsid w:val="005F4231"/>
    <w:rsid w:val="005F4CB9"/>
    <w:rsid w:val="005F5B4C"/>
    <w:rsid w:val="00600BE1"/>
    <w:rsid w:val="00604263"/>
    <w:rsid w:val="006049D7"/>
    <w:rsid w:val="00605BE8"/>
    <w:rsid w:val="00605E35"/>
    <w:rsid w:val="00607DE1"/>
    <w:rsid w:val="00611B00"/>
    <w:rsid w:val="006237FE"/>
    <w:rsid w:val="00627C3B"/>
    <w:rsid w:val="00630001"/>
    <w:rsid w:val="00630C68"/>
    <w:rsid w:val="00632098"/>
    <w:rsid w:val="006329BD"/>
    <w:rsid w:val="00636E1A"/>
    <w:rsid w:val="00637799"/>
    <w:rsid w:val="006446C5"/>
    <w:rsid w:val="00644CFE"/>
    <w:rsid w:val="00646128"/>
    <w:rsid w:val="00646571"/>
    <w:rsid w:val="00647B5E"/>
    <w:rsid w:val="00653DF0"/>
    <w:rsid w:val="006606C7"/>
    <w:rsid w:val="00660D02"/>
    <w:rsid w:val="006624F4"/>
    <w:rsid w:val="00663554"/>
    <w:rsid w:val="006677C4"/>
    <w:rsid w:val="00667AEC"/>
    <w:rsid w:val="00671A8B"/>
    <w:rsid w:val="006756BB"/>
    <w:rsid w:val="006801B7"/>
    <w:rsid w:val="00681A11"/>
    <w:rsid w:val="00682C00"/>
    <w:rsid w:val="00684ADB"/>
    <w:rsid w:val="00684B0E"/>
    <w:rsid w:val="00685D37"/>
    <w:rsid w:val="00686C58"/>
    <w:rsid w:val="0069187B"/>
    <w:rsid w:val="006975A0"/>
    <w:rsid w:val="006976BD"/>
    <w:rsid w:val="006A42FE"/>
    <w:rsid w:val="006A5657"/>
    <w:rsid w:val="006B1341"/>
    <w:rsid w:val="006B2016"/>
    <w:rsid w:val="006B7A72"/>
    <w:rsid w:val="006C059E"/>
    <w:rsid w:val="006C0C18"/>
    <w:rsid w:val="006C1B4A"/>
    <w:rsid w:val="006D23E8"/>
    <w:rsid w:val="006D493A"/>
    <w:rsid w:val="006D53DD"/>
    <w:rsid w:val="006D7445"/>
    <w:rsid w:val="006D7D11"/>
    <w:rsid w:val="006D7DB2"/>
    <w:rsid w:val="006E00B8"/>
    <w:rsid w:val="006E01FC"/>
    <w:rsid w:val="006E03F3"/>
    <w:rsid w:val="006E3BC9"/>
    <w:rsid w:val="006E3C1B"/>
    <w:rsid w:val="006E6C40"/>
    <w:rsid w:val="006F1E33"/>
    <w:rsid w:val="006F7173"/>
    <w:rsid w:val="006F76C6"/>
    <w:rsid w:val="007001C3"/>
    <w:rsid w:val="00707005"/>
    <w:rsid w:val="007156F3"/>
    <w:rsid w:val="00720101"/>
    <w:rsid w:val="00720D94"/>
    <w:rsid w:val="0072152B"/>
    <w:rsid w:val="00722AF8"/>
    <w:rsid w:val="00724DE8"/>
    <w:rsid w:val="00726C1E"/>
    <w:rsid w:val="007301E7"/>
    <w:rsid w:val="00730D3F"/>
    <w:rsid w:val="00731522"/>
    <w:rsid w:val="007333A1"/>
    <w:rsid w:val="007346D2"/>
    <w:rsid w:val="00735BBE"/>
    <w:rsid w:val="0073751F"/>
    <w:rsid w:val="00737684"/>
    <w:rsid w:val="00743DAB"/>
    <w:rsid w:val="0075339C"/>
    <w:rsid w:val="00756E3C"/>
    <w:rsid w:val="00757689"/>
    <w:rsid w:val="007579F5"/>
    <w:rsid w:val="00760174"/>
    <w:rsid w:val="0076147A"/>
    <w:rsid w:val="00762727"/>
    <w:rsid w:val="0076586E"/>
    <w:rsid w:val="00767FCC"/>
    <w:rsid w:val="00772080"/>
    <w:rsid w:val="00772A50"/>
    <w:rsid w:val="00772CD4"/>
    <w:rsid w:val="00776252"/>
    <w:rsid w:val="007766F6"/>
    <w:rsid w:val="007824F9"/>
    <w:rsid w:val="00791546"/>
    <w:rsid w:val="00793CA6"/>
    <w:rsid w:val="00793FA4"/>
    <w:rsid w:val="007A0AC8"/>
    <w:rsid w:val="007A396F"/>
    <w:rsid w:val="007A60E1"/>
    <w:rsid w:val="007A7E14"/>
    <w:rsid w:val="007B07E6"/>
    <w:rsid w:val="007B0B7C"/>
    <w:rsid w:val="007B1C17"/>
    <w:rsid w:val="007B4365"/>
    <w:rsid w:val="007B47C9"/>
    <w:rsid w:val="007C6058"/>
    <w:rsid w:val="007D3268"/>
    <w:rsid w:val="007D38AE"/>
    <w:rsid w:val="007D48F5"/>
    <w:rsid w:val="007D596E"/>
    <w:rsid w:val="007E23F7"/>
    <w:rsid w:val="007E599C"/>
    <w:rsid w:val="007E6486"/>
    <w:rsid w:val="007F3577"/>
    <w:rsid w:val="007F7364"/>
    <w:rsid w:val="008002E6"/>
    <w:rsid w:val="008011BC"/>
    <w:rsid w:val="008031F5"/>
    <w:rsid w:val="00803672"/>
    <w:rsid w:val="00804FB2"/>
    <w:rsid w:val="0080616F"/>
    <w:rsid w:val="00810BE3"/>
    <w:rsid w:val="00811DF7"/>
    <w:rsid w:val="0081255C"/>
    <w:rsid w:val="008135D7"/>
    <w:rsid w:val="008141F9"/>
    <w:rsid w:val="00814C6A"/>
    <w:rsid w:val="00821601"/>
    <w:rsid w:val="008222FD"/>
    <w:rsid w:val="0082481B"/>
    <w:rsid w:val="00824A82"/>
    <w:rsid w:val="00824ADE"/>
    <w:rsid w:val="00840100"/>
    <w:rsid w:val="00842DDE"/>
    <w:rsid w:val="00846526"/>
    <w:rsid w:val="00847360"/>
    <w:rsid w:val="00851ECC"/>
    <w:rsid w:val="00852D09"/>
    <w:rsid w:val="00853928"/>
    <w:rsid w:val="00857E8F"/>
    <w:rsid w:val="008632DA"/>
    <w:rsid w:val="0086675E"/>
    <w:rsid w:val="00872E0B"/>
    <w:rsid w:val="0087379D"/>
    <w:rsid w:val="00876346"/>
    <w:rsid w:val="00880364"/>
    <w:rsid w:val="00880744"/>
    <w:rsid w:val="00880BF0"/>
    <w:rsid w:val="00882C58"/>
    <w:rsid w:val="008837F1"/>
    <w:rsid w:val="00883AA7"/>
    <w:rsid w:val="00884F27"/>
    <w:rsid w:val="00885576"/>
    <w:rsid w:val="008869ED"/>
    <w:rsid w:val="00886AB0"/>
    <w:rsid w:val="00893C5B"/>
    <w:rsid w:val="008A2231"/>
    <w:rsid w:val="008A3CE3"/>
    <w:rsid w:val="008A3E75"/>
    <w:rsid w:val="008A6C8B"/>
    <w:rsid w:val="008A6D04"/>
    <w:rsid w:val="008B1644"/>
    <w:rsid w:val="008D10CB"/>
    <w:rsid w:val="008D3D23"/>
    <w:rsid w:val="008D44A1"/>
    <w:rsid w:val="008D50B9"/>
    <w:rsid w:val="008D5938"/>
    <w:rsid w:val="008D5956"/>
    <w:rsid w:val="008E6445"/>
    <w:rsid w:val="008E6806"/>
    <w:rsid w:val="008F26AC"/>
    <w:rsid w:val="008F313C"/>
    <w:rsid w:val="008F5245"/>
    <w:rsid w:val="009030FD"/>
    <w:rsid w:val="009078A1"/>
    <w:rsid w:val="00907CCC"/>
    <w:rsid w:val="009125A7"/>
    <w:rsid w:val="00920ED1"/>
    <w:rsid w:val="00922390"/>
    <w:rsid w:val="0092261B"/>
    <w:rsid w:val="00925B0B"/>
    <w:rsid w:val="0093079B"/>
    <w:rsid w:val="0093142D"/>
    <w:rsid w:val="00932E80"/>
    <w:rsid w:val="0093704C"/>
    <w:rsid w:val="00937C15"/>
    <w:rsid w:val="00940109"/>
    <w:rsid w:val="00940C8C"/>
    <w:rsid w:val="00941F76"/>
    <w:rsid w:val="0094514D"/>
    <w:rsid w:val="00946688"/>
    <w:rsid w:val="00947E88"/>
    <w:rsid w:val="00956966"/>
    <w:rsid w:val="00956A80"/>
    <w:rsid w:val="009615EC"/>
    <w:rsid w:val="009621FD"/>
    <w:rsid w:val="00963FFF"/>
    <w:rsid w:val="00967404"/>
    <w:rsid w:val="00967B96"/>
    <w:rsid w:val="00972EEC"/>
    <w:rsid w:val="00973057"/>
    <w:rsid w:val="0098366D"/>
    <w:rsid w:val="00991BAB"/>
    <w:rsid w:val="00991DD8"/>
    <w:rsid w:val="009937B1"/>
    <w:rsid w:val="00994EA9"/>
    <w:rsid w:val="00995E1D"/>
    <w:rsid w:val="009A0A27"/>
    <w:rsid w:val="009A13B2"/>
    <w:rsid w:val="009A26C6"/>
    <w:rsid w:val="009A2FC0"/>
    <w:rsid w:val="009A4A05"/>
    <w:rsid w:val="009A5596"/>
    <w:rsid w:val="009A5C83"/>
    <w:rsid w:val="009B19BF"/>
    <w:rsid w:val="009B3FC8"/>
    <w:rsid w:val="009B4DA4"/>
    <w:rsid w:val="009B740E"/>
    <w:rsid w:val="009C11A6"/>
    <w:rsid w:val="009C562E"/>
    <w:rsid w:val="009D2850"/>
    <w:rsid w:val="009D3516"/>
    <w:rsid w:val="009D3F37"/>
    <w:rsid w:val="009D4B91"/>
    <w:rsid w:val="009D54F7"/>
    <w:rsid w:val="009D7E89"/>
    <w:rsid w:val="009E2E25"/>
    <w:rsid w:val="009E43B7"/>
    <w:rsid w:val="009E52C9"/>
    <w:rsid w:val="009E57EE"/>
    <w:rsid w:val="009E7CF3"/>
    <w:rsid w:val="009F2BB1"/>
    <w:rsid w:val="009F4050"/>
    <w:rsid w:val="009F4EC0"/>
    <w:rsid w:val="009F6392"/>
    <w:rsid w:val="00A00C30"/>
    <w:rsid w:val="00A104B7"/>
    <w:rsid w:val="00A1198C"/>
    <w:rsid w:val="00A20B17"/>
    <w:rsid w:val="00A22820"/>
    <w:rsid w:val="00A2436B"/>
    <w:rsid w:val="00A2439C"/>
    <w:rsid w:val="00A27AA1"/>
    <w:rsid w:val="00A27B55"/>
    <w:rsid w:val="00A3179E"/>
    <w:rsid w:val="00A4016B"/>
    <w:rsid w:val="00A4166F"/>
    <w:rsid w:val="00A434FF"/>
    <w:rsid w:val="00A51226"/>
    <w:rsid w:val="00A543A1"/>
    <w:rsid w:val="00A5649F"/>
    <w:rsid w:val="00A57F7A"/>
    <w:rsid w:val="00A60D20"/>
    <w:rsid w:val="00A6251C"/>
    <w:rsid w:val="00A63764"/>
    <w:rsid w:val="00A63DE8"/>
    <w:rsid w:val="00A64BB1"/>
    <w:rsid w:val="00A667F4"/>
    <w:rsid w:val="00A711F2"/>
    <w:rsid w:val="00A718A6"/>
    <w:rsid w:val="00A72301"/>
    <w:rsid w:val="00A74454"/>
    <w:rsid w:val="00A76BF6"/>
    <w:rsid w:val="00A772A9"/>
    <w:rsid w:val="00A77DC6"/>
    <w:rsid w:val="00A808CF"/>
    <w:rsid w:val="00A82017"/>
    <w:rsid w:val="00A829ED"/>
    <w:rsid w:val="00A85657"/>
    <w:rsid w:val="00A87D23"/>
    <w:rsid w:val="00A87E37"/>
    <w:rsid w:val="00A9096F"/>
    <w:rsid w:val="00A90C91"/>
    <w:rsid w:val="00AA09C1"/>
    <w:rsid w:val="00AA3392"/>
    <w:rsid w:val="00AA485B"/>
    <w:rsid w:val="00AA75FF"/>
    <w:rsid w:val="00AA7F85"/>
    <w:rsid w:val="00AB017C"/>
    <w:rsid w:val="00AB37A0"/>
    <w:rsid w:val="00AB538B"/>
    <w:rsid w:val="00AB5A70"/>
    <w:rsid w:val="00AC0C5A"/>
    <w:rsid w:val="00AC2DC8"/>
    <w:rsid w:val="00AC3032"/>
    <w:rsid w:val="00AC474D"/>
    <w:rsid w:val="00AC7999"/>
    <w:rsid w:val="00AD0AF9"/>
    <w:rsid w:val="00AD0BF7"/>
    <w:rsid w:val="00AD2A2F"/>
    <w:rsid w:val="00AD3045"/>
    <w:rsid w:val="00AE00F6"/>
    <w:rsid w:val="00AE02DA"/>
    <w:rsid w:val="00AF0D15"/>
    <w:rsid w:val="00B04FD2"/>
    <w:rsid w:val="00B05246"/>
    <w:rsid w:val="00B07054"/>
    <w:rsid w:val="00B0717D"/>
    <w:rsid w:val="00B07BAE"/>
    <w:rsid w:val="00B12148"/>
    <w:rsid w:val="00B1221C"/>
    <w:rsid w:val="00B127FD"/>
    <w:rsid w:val="00B13AE0"/>
    <w:rsid w:val="00B156BA"/>
    <w:rsid w:val="00B201B1"/>
    <w:rsid w:val="00B207A6"/>
    <w:rsid w:val="00B21098"/>
    <w:rsid w:val="00B2477E"/>
    <w:rsid w:val="00B248F3"/>
    <w:rsid w:val="00B24E47"/>
    <w:rsid w:val="00B30B04"/>
    <w:rsid w:val="00B30CC9"/>
    <w:rsid w:val="00B312CC"/>
    <w:rsid w:val="00B324C8"/>
    <w:rsid w:val="00B374F8"/>
    <w:rsid w:val="00B41216"/>
    <w:rsid w:val="00B430DA"/>
    <w:rsid w:val="00B4403D"/>
    <w:rsid w:val="00B448C6"/>
    <w:rsid w:val="00B467E4"/>
    <w:rsid w:val="00B518C1"/>
    <w:rsid w:val="00B56728"/>
    <w:rsid w:val="00B61783"/>
    <w:rsid w:val="00B61BC4"/>
    <w:rsid w:val="00B652FA"/>
    <w:rsid w:val="00B66997"/>
    <w:rsid w:val="00B802C6"/>
    <w:rsid w:val="00B82004"/>
    <w:rsid w:val="00B841FB"/>
    <w:rsid w:val="00B84F81"/>
    <w:rsid w:val="00B87086"/>
    <w:rsid w:val="00B873D3"/>
    <w:rsid w:val="00B94323"/>
    <w:rsid w:val="00B94FD1"/>
    <w:rsid w:val="00B9622D"/>
    <w:rsid w:val="00BA16C9"/>
    <w:rsid w:val="00BA1A4A"/>
    <w:rsid w:val="00BA3534"/>
    <w:rsid w:val="00BA5A3E"/>
    <w:rsid w:val="00BA6157"/>
    <w:rsid w:val="00BA7C02"/>
    <w:rsid w:val="00BB027F"/>
    <w:rsid w:val="00BB2BFA"/>
    <w:rsid w:val="00BC2B15"/>
    <w:rsid w:val="00BC4297"/>
    <w:rsid w:val="00BC4AE5"/>
    <w:rsid w:val="00BC57F9"/>
    <w:rsid w:val="00BC6120"/>
    <w:rsid w:val="00BC66BB"/>
    <w:rsid w:val="00BD04AF"/>
    <w:rsid w:val="00BD1162"/>
    <w:rsid w:val="00BD190C"/>
    <w:rsid w:val="00BD5057"/>
    <w:rsid w:val="00BD558D"/>
    <w:rsid w:val="00BD6577"/>
    <w:rsid w:val="00BD65F9"/>
    <w:rsid w:val="00BE0893"/>
    <w:rsid w:val="00BE3A95"/>
    <w:rsid w:val="00BE60CF"/>
    <w:rsid w:val="00BE637E"/>
    <w:rsid w:val="00BE71F9"/>
    <w:rsid w:val="00BE72EA"/>
    <w:rsid w:val="00BF0A37"/>
    <w:rsid w:val="00BF24C0"/>
    <w:rsid w:val="00BF265C"/>
    <w:rsid w:val="00BF43AA"/>
    <w:rsid w:val="00BF7017"/>
    <w:rsid w:val="00C02026"/>
    <w:rsid w:val="00C04142"/>
    <w:rsid w:val="00C06348"/>
    <w:rsid w:val="00C07372"/>
    <w:rsid w:val="00C10645"/>
    <w:rsid w:val="00C10C5D"/>
    <w:rsid w:val="00C10CB6"/>
    <w:rsid w:val="00C16B7C"/>
    <w:rsid w:val="00C16FA1"/>
    <w:rsid w:val="00C22741"/>
    <w:rsid w:val="00C22FBE"/>
    <w:rsid w:val="00C244FC"/>
    <w:rsid w:val="00C2459C"/>
    <w:rsid w:val="00C248CC"/>
    <w:rsid w:val="00C2514D"/>
    <w:rsid w:val="00C2535D"/>
    <w:rsid w:val="00C260AD"/>
    <w:rsid w:val="00C30ABE"/>
    <w:rsid w:val="00C31553"/>
    <w:rsid w:val="00C32D50"/>
    <w:rsid w:val="00C33061"/>
    <w:rsid w:val="00C36C07"/>
    <w:rsid w:val="00C371DA"/>
    <w:rsid w:val="00C44AC9"/>
    <w:rsid w:val="00C47588"/>
    <w:rsid w:val="00C53116"/>
    <w:rsid w:val="00C556D9"/>
    <w:rsid w:val="00C61270"/>
    <w:rsid w:val="00C62B6D"/>
    <w:rsid w:val="00C650CB"/>
    <w:rsid w:val="00C72BDA"/>
    <w:rsid w:val="00C734EE"/>
    <w:rsid w:val="00C75C04"/>
    <w:rsid w:val="00C76602"/>
    <w:rsid w:val="00C773A8"/>
    <w:rsid w:val="00C81931"/>
    <w:rsid w:val="00C8197C"/>
    <w:rsid w:val="00C8393B"/>
    <w:rsid w:val="00C85B55"/>
    <w:rsid w:val="00C919C4"/>
    <w:rsid w:val="00C936BA"/>
    <w:rsid w:val="00C95877"/>
    <w:rsid w:val="00C975CC"/>
    <w:rsid w:val="00C97A74"/>
    <w:rsid w:val="00CA2D88"/>
    <w:rsid w:val="00CA3D0D"/>
    <w:rsid w:val="00CA45F5"/>
    <w:rsid w:val="00CA5FF8"/>
    <w:rsid w:val="00CA62D5"/>
    <w:rsid w:val="00CA7B44"/>
    <w:rsid w:val="00CB0000"/>
    <w:rsid w:val="00CB0572"/>
    <w:rsid w:val="00CB1084"/>
    <w:rsid w:val="00CB2F60"/>
    <w:rsid w:val="00CB31AE"/>
    <w:rsid w:val="00CB427F"/>
    <w:rsid w:val="00CB5C3E"/>
    <w:rsid w:val="00CB66B8"/>
    <w:rsid w:val="00CC1344"/>
    <w:rsid w:val="00CC2F7B"/>
    <w:rsid w:val="00CC3C00"/>
    <w:rsid w:val="00CC516B"/>
    <w:rsid w:val="00CC6D9E"/>
    <w:rsid w:val="00CC7C33"/>
    <w:rsid w:val="00CD1026"/>
    <w:rsid w:val="00CD1173"/>
    <w:rsid w:val="00CD15EE"/>
    <w:rsid w:val="00CD38FE"/>
    <w:rsid w:val="00CD3B31"/>
    <w:rsid w:val="00CD5E19"/>
    <w:rsid w:val="00CE0B3D"/>
    <w:rsid w:val="00CE666F"/>
    <w:rsid w:val="00CF29C3"/>
    <w:rsid w:val="00CF7A75"/>
    <w:rsid w:val="00D01DB4"/>
    <w:rsid w:val="00D03AEE"/>
    <w:rsid w:val="00D03E69"/>
    <w:rsid w:val="00D043AD"/>
    <w:rsid w:val="00D057C8"/>
    <w:rsid w:val="00D07B0F"/>
    <w:rsid w:val="00D156C7"/>
    <w:rsid w:val="00D20412"/>
    <w:rsid w:val="00D214A3"/>
    <w:rsid w:val="00D22D88"/>
    <w:rsid w:val="00D30567"/>
    <w:rsid w:val="00D30EC1"/>
    <w:rsid w:val="00D3142E"/>
    <w:rsid w:val="00D3148E"/>
    <w:rsid w:val="00D3697E"/>
    <w:rsid w:val="00D43E97"/>
    <w:rsid w:val="00D45FA0"/>
    <w:rsid w:val="00D462F7"/>
    <w:rsid w:val="00D50F78"/>
    <w:rsid w:val="00D51C0F"/>
    <w:rsid w:val="00D52A65"/>
    <w:rsid w:val="00D5424F"/>
    <w:rsid w:val="00D54D73"/>
    <w:rsid w:val="00D62581"/>
    <w:rsid w:val="00D6582C"/>
    <w:rsid w:val="00D727E6"/>
    <w:rsid w:val="00D73EDB"/>
    <w:rsid w:val="00D74B3B"/>
    <w:rsid w:val="00D759C3"/>
    <w:rsid w:val="00D76053"/>
    <w:rsid w:val="00D82B6E"/>
    <w:rsid w:val="00D839E8"/>
    <w:rsid w:val="00D8483D"/>
    <w:rsid w:val="00D86F90"/>
    <w:rsid w:val="00D90589"/>
    <w:rsid w:val="00D90F1B"/>
    <w:rsid w:val="00D9118A"/>
    <w:rsid w:val="00D93BC0"/>
    <w:rsid w:val="00D97933"/>
    <w:rsid w:val="00D97C63"/>
    <w:rsid w:val="00DA0E12"/>
    <w:rsid w:val="00DB1C52"/>
    <w:rsid w:val="00DB5F35"/>
    <w:rsid w:val="00DC1971"/>
    <w:rsid w:val="00DC19F3"/>
    <w:rsid w:val="00DC2139"/>
    <w:rsid w:val="00DC32AB"/>
    <w:rsid w:val="00DC4F15"/>
    <w:rsid w:val="00DD14AC"/>
    <w:rsid w:val="00DD16B1"/>
    <w:rsid w:val="00DD4806"/>
    <w:rsid w:val="00DD5455"/>
    <w:rsid w:val="00DD7D9E"/>
    <w:rsid w:val="00DE041E"/>
    <w:rsid w:val="00DE0DAB"/>
    <w:rsid w:val="00DE1787"/>
    <w:rsid w:val="00DE1B23"/>
    <w:rsid w:val="00DE3464"/>
    <w:rsid w:val="00DE38E6"/>
    <w:rsid w:val="00DF123A"/>
    <w:rsid w:val="00DF1C75"/>
    <w:rsid w:val="00DF2349"/>
    <w:rsid w:val="00DF2399"/>
    <w:rsid w:val="00DF3E4D"/>
    <w:rsid w:val="00DF45A7"/>
    <w:rsid w:val="00DF550F"/>
    <w:rsid w:val="00DF76B7"/>
    <w:rsid w:val="00E02DDB"/>
    <w:rsid w:val="00E07E09"/>
    <w:rsid w:val="00E12675"/>
    <w:rsid w:val="00E1625C"/>
    <w:rsid w:val="00E221E5"/>
    <w:rsid w:val="00E23E6A"/>
    <w:rsid w:val="00E24A5E"/>
    <w:rsid w:val="00E261CF"/>
    <w:rsid w:val="00E26BD2"/>
    <w:rsid w:val="00E43A33"/>
    <w:rsid w:val="00E46B60"/>
    <w:rsid w:val="00E51BE5"/>
    <w:rsid w:val="00E5447C"/>
    <w:rsid w:val="00E56888"/>
    <w:rsid w:val="00E62BCA"/>
    <w:rsid w:val="00E642C8"/>
    <w:rsid w:val="00E6475B"/>
    <w:rsid w:val="00E64ED2"/>
    <w:rsid w:val="00E67891"/>
    <w:rsid w:val="00E76979"/>
    <w:rsid w:val="00E773A5"/>
    <w:rsid w:val="00E82BD4"/>
    <w:rsid w:val="00E82CEB"/>
    <w:rsid w:val="00E83F8C"/>
    <w:rsid w:val="00E87F23"/>
    <w:rsid w:val="00E90BB8"/>
    <w:rsid w:val="00E9522E"/>
    <w:rsid w:val="00E978D7"/>
    <w:rsid w:val="00EA6524"/>
    <w:rsid w:val="00EA754F"/>
    <w:rsid w:val="00EB59D6"/>
    <w:rsid w:val="00EB77D2"/>
    <w:rsid w:val="00EC2F97"/>
    <w:rsid w:val="00EC3346"/>
    <w:rsid w:val="00EC48AD"/>
    <w:rsid w:val="00EC5C4D"/>
    <w:rsid w:val="00EC6DE2"/>
    <w:rsid w:val="00EC7D91"/>
    <w:rsid w:val="00EC7E88"/>
    <w:rsid w:val="00ED027D"/>
    <w:rsid w:val="00ED3AEB"/>
    <w:rsid w:val="00EE06E2"/>
    <w:rsid w:val="00EE166C"/>
    <w:rsid w:val="00EE1F6D"/>
    <w:rsid w:val="00EE35EF"/>
    <w:rsid w:val="00EE4799"/>
    <w:rsid w:val="00EF0EC7"/>
    <w:rsid w:val="00EF1389"/>
    <w:rsid w:val="00EF3FDC"/>
    <w:rsid w:val="00EF5733"/>
    <w:rsid w:val="00EF5CFE"/>
    <w:rsid w:val="00EF661C"/>
    <w:rsid w:val="00EF7D87"/>
    <w:rsid w:val="00F006C9"/>
    <w:rsid w:val="00F00D92"/>
    <w:rsid w:val="00F0233B"/>
    <w:rsid w:val="00F1419C"/>
    <w:rsid w:val="00F1539F"/>
    <w:rsid w:val="00F17D3C"/>
    <w:rsid w:val="00F2003D"/>
    <w:rsid w:val="00F27B21"/>
    <w:rsid w:val="00F3024E"/>
    <w:rsid w:val="00F32D55"/>
    <w:rsid w:val="00F3564E"/>
    <w:rsid w:val="00F423A9"/>
    <w:rsid w:val="00F42A95"/>
    <w:rsid w:val="00F4528C"/>
    <w:rsid w:val="00F462B0"/>
    <w:rsid w:val="00F50D17"/>
    <w:rsid w:val="00F522AD"/>
    <w:rsid w:val="00F534A6"/>
    <w:rsid w:val="00F53903"/>
    <w:rsid w:val="00F60A4B"/>
    <w:rsid w:val="00F61C86"/>
    <w:rsid w:val="00F64874"/>
    <w:rsid w:val="00F71404"/>
    <w:rsid w:val="00F726EB"/>
    <w:rsid w:val="00F7457A"/>
    <w:rsid w:val="00F80A6E"/>
    <w:rsid w:val="00F86DDE"/>
    <w:rsid w:val="00F90778"/>
    <w:rsid w:val="00F91157"/>
    <w:rsid w:val="00F93BE0"/>
    <w:rsid w:val="00F9429E"/>
    <w:rsid w:val="00F979AB"/>
    <w:rsid w:val="00F97CBC"/>
    <w:rsid w:val="00FA1773"/>
    <w:rsid w:val="00FA241D"/>
    <w:rsid w:val="00FA3E18"/>
    <w:rsid w:val="00FA5587"/>
    <w:rsid w:val="00FA61F0"/>
    <w:rsid w:val="00FA648E"/>
    <w:rsid w:val="00FA6C93"/>
    <w:rsid w:val="00FA6DF4"/>
    <w:rsid w:val="00FA6F07"/>
    <w:rsid w:val="00FB23B6"/>
    <w:rsid w:val="00FB4750"/>
    <w:rsid w:val="00FB6ADF"/>
    <w:rsid w:val="00FB7673"/>
    <w:rsid w:val="00FC3604"/>
    <w:rsid w:val="00FC442D"/>
    <w:rsid w:val="00FC4DE6"/>
    <w:rsid w:val="00FC7C31"/>
    <w:rsid w:val="00FD08CC"/>
    <w:rsid w:val="00FD15DF"/>
    <w:rsid w:val="00FD61D4"/>
    <w:rsid w:val="00FD666A"/>
    <w:rsid w:val="00FD714A"/>
    <w:rsid w:val="00FD76E8"/>
    <w:rsid w:val="00FE007B"/>
    <w:rsid w:val="00FE44F0"/>
    <w:rsid w:val="00FF0B31"/>
    <w:rsid w:val="00FF18E7"/>
    <w:rsid w:val="00FF2032"/>
    <w:rsid w:val="00FF2A0D"/>
    <w:rsid w:val="00FF327E"/>
    <w:rsid w:val="00FF3DE9"/>
    <w:rsid w:val="00FF4B85"/>
    <w:rsid w:val="00FF61CB"/>
    <w:rsid w:val="00FF6233"/>
    <w:rsid w:val="00FF6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A0D"/>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
    <w:next w:val="Normal"/>
    <w:link w:val="Heading1Char"/>
    <w:qFormat/>
    <w:rsid w:val="009C562E"/>
    <w:pPr>
      <w:keepNext/>
      <w:numPr>
        <w:numId w:val="2"/>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4">
    <w:name w:val="heading 4"/>
    <w:aliases w:val="Heading 4.a"/>
    <w:next w:val="Normal"/>
    <w:link w:val="Heading4Char"/>
    <w:qFormat/>
    <w:rsid w:val="009C562E"/>
    <w:pPr>
      <w:keepNext/>
      <w:numPr>
        <w:ilvl w:val="2"/>
        <w:numId w:val="2"/>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EA6524"/>
    <w:pPr>
      <w:keepNext/>
      <w:numPr>
        <w:ilvl w:val="4"/>
        <w:numId w:val="34"/>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uiPriority w:val="9"/>
    <w:semiHidden/>
    <w:unhideWhenUsed/>
    <w:qFormat/>
    <w:rsid w:val="00EA6524"/>
    <w:pPr>
      <w:keepNext/>
      <w:keepLines/>
      <w:numPr>
        <w:ilvl w:val="5"/>
        <w:numId w:val="3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A6524"/>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A6524"/>
    <w:pPr>
      <w:keepNext/>
      <w:keepLines/>
      <w:numPr>
        <w:ilvl w:val="7"/>
        <w:numId w:val="34"/>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EA6524"/>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FF2A0D"/>
    <w:pPr>
      <w:ind w:left="720"/>
      <w:contextualSpacing/>
    </w:pPr>
    <w:rPr>
      <w:rFonts w:ascii="Calibri" w:eastAsia="Calibri" w:hAnsi="Calibri"/>
      <w:spacing w:val="0"/>
      <w:sz w:val="22"/>
      <w:szCs w:val="22"/>
      <w:lang w:val="x-none" w:eastAsia="x-none"/>
    </w:rPr>
  </w:style>
  <w:style w:type="paragraph" w:styleId="Title">
    <w:name w:val="Title"/>
    <w:basedOn w:val="Normal"/>
    <w:link w:val="TitleChar"/>
    <w:qFormat/>
    <w:rsid w:val="00FF2A0D"/>
    <w:pPr>
      <w:tabs>
        <w:tab w:val="left" w:pos="1440"/>
        <w:tab w:val="left" w:pos="3060"/>
      </w:tabs>
      <w:jc w:val="center"/>
      <w:outlineLvl w:val="0"/>
    </w:pPr>
    <w:rPr>
      <w:spacing w:val="0"/>
      <w:lang w:val="x-none" w:eastAsia="x-none"/>
    </w:rPr>
  </w:style>
  <w:style w:type="character" w:customStyle="1" w:styleId="TitleChar">
    <w:name w:val="Title Char"/>
    <w:basedOn w:val="DefaultParagraphFont"/>
    <w:link w:val="Title"/>
    <w:rsid w:val="00FF2A0D"/>
    <w:rPr>
      <w:rFonts w:ascii="Times New Roman" w:eastAsia="Times New Roman" w:hAnsi="Times New Roman" w:cs="Times New Roman"/>
      <w:sz w:val="24"/>
      <w:szCs w:val="20"/>
      <w:lang w:val="x-none" w:eastAsia="x-none"/>
    </w:rPr>
  </w:style>
  <w:style w:type="paragraph" w:customStyle="1" w:styleId="Newpage">
    <w:name w:val="Newpage"/>
    <w:basedOn w:val="Normal"/>
    <w:rsid w:val="00FF2A0D"/>
    <w:pPr>
      <w:tabs>
        <w:tab w:val="left" w:pos="1440"/>
        <w:tab w:val="left" w:pos="3060"/>
      </w:tabs>
      <w:jc w:val="center"/>
    </w:pPr>
    <w:rPr>
      <w:rFonts w:cs="Arial"/>
      <w:b/>
      <w:smallCaps/>
    </w:rPr>
  </w:style>
  <w:style w:type="paragraph" w:styleId="BodyText">
    <w:name w:val="Body Text"/>
    <w:aliases w:val=" Car"/>
    <w:basedOn w:val="Normal"/>
    <w:link w:val="BodyTextChar"/>
    <w:rsid w:val="00FF2A0D"/>
    <w:pPr>
      <w:tabs>
        <w:tab w:val="left" w:pos="3060"/>
      </w:tabs>
      <w:jc w:val="center"/>
    </w:pPr>
    <w:rPr>
      <w:spacing w:val="0"/>
      <w:lang w:val="x-none" w:eastAsia="x-none"/>
    </w:rPr>
  </w:style>
  <w:style w:type="character" w:customStyle="1" w:styleId="BodyTextChar">
    <w:name w:val="Body Text Char"/>
    <w:aliases w:val=" Car Char"/>
    <w:basedOn w:val="DefaultParagraphFont"/>
    <w:link w:val="BodyText"/>
    <w:rsid w:val="00FF2A0D"/>
    <w:rPr>
      <w:rFonts w:ascii="Times New Roman" w:eastAsia="Times New Roman" w:hAnsi="Times New Roman" w:cs="Times New Roman"/>
      <w:sz w:val="24"/>
      <w:szCs w:val="20"/>
      <w:lang w:val="x-none" w:eastAsia="x-none"/>
    </w:rPr>
  </w:style>
  <w:style w:type="character" w:customStyle="1" w:styleId="ColorfulList-Accent1Char">
    <w:name w:val="Colorful List - Accent 1 Char"/>
    <w:link w:val="ColorfulList-Accent11"/>
    <w:uiPriority w:val="34"/>
    <w:rsid w:val="00FF2A0D"/>
    <w:rPr>
      <w:rFonts w:ascii="Calibri" w:eastAsia="Calibri" w:hAnsi="Calibri" w:cs="Times New Roman"/>
      <w:lang w:val="x-none" w:eastAsia="x-none"/>
    </w:rPr>
  </w:style>
  <w:style w:type="paragraph" w:styleId="FootnoteText">
    <w:name w:val="footnote text"/>
    <w:aliases w:val="fn,Texto nota pie IIRSA,Car,footnote,single space,FOOTNOTES,Footnote Text Char Char,ft,Footnote,foottextfra,F,Footnote Text Char Char Char Char Char Char Char,Footnote Text Char Char Char Char Char,footnote text,texto de nota al pie,Texto"/>
    <w:basedOn w:val="Normal"/>
    <w:link w:val="FootnoteTextChar"/>
    <w:unhideWhenUsed/>
    <w:qFormat/>
    <w:rsid w:val="009C562E"/>
    <w:pPr>
      <w:keepNext/>
      <w:keepLines/>
      <w:spacing w:after="120"/>
      <w:ind w:left="288" w:hanging="288"/>
      <w:jc w:val="both"/>
    </w:pPr>
    <w:rPr>
      <w:sz w:val="20"/>
    </w:rPr>
  </w:style>
  <w:style w:type="character" w:customStyle="1" w:styleId="FootnoteTextChar">
    <w:name w:val="Footnote Text Char"/>
    <w:aliases w:val="fn Char,Texto nota pie IIRSA Char,Car Char,footnote Char,single space Char,FOOTNOTES Char,Footnote Text Char Char Char,ft Char,Footnote Char,foottextfra Char,F Char,Footnote Text Char Char Char Char Char Char Char Char,Texto Char"/>
    <w:basedOn w:val="DefaultParagraphFont"/>
    <w:link w:val="FootnoteText"/>
    <w:rsid w:val="009C562E"/>
    <w:rPr>
      <w:rFonts w:ascii="Times New Roman" w:eastAsia="Times New Roman" w:hAnsi="Times New Roman" w:cs="Times New Roman"/>
      <w:spacing w:val="-3"/>
      <w:sz w:val="20"/>
      <w:szCs w:val="20"/>
      <w:lang w:val="es-ES_tradnl"/>
    </w:rPr>
  </w:style>
  <w:style w:type="character" w:styleId="FootnoteReference">
    <w:name w:val="footnote reference"/>
    <w:aliases w:val="Ref. de nota al pie.,FC,ftref,16 Point,Superscript 6 Point,Ref,de nota al pie,Style 24,titulo 2,pie pddes,Stinking Styles11,referencia nota al pie,Texto de nota al pie,Footnote symbol,BVI fnr,Footnote Reference.SES"/>
    <w:basedOn w:val="DefaultParagraphFont"/>
    <w:uiPriority w:val="99"/>
    <w:unhideWhenUsed/>
    <w:qFormat/>
    <w:rsid w:val="009C562E"/>
    <w:rPr>
      <w:vertAlign w:val="superscript"/>
    </w:rPr>
  </w:style>
  <w:style w:type="paragraph" w:styleId="Header">
    <w:name w:val="header"/>
    <w:basedOn w:val="Normal"/>
    <w:link w:val="HeaderChar"/>
    <w:uiPriority w:val="99"/>
    <w:unhideWhenUsed/>
    <w:rsid w:val="009C562E"/>
    <w:pPr>
      <w:tabs>
        <w:tab w:val="center" w:pos="4680"/>
        <w:tab w:val="right" w:pos="9360"/>
      </w:tabs>
    </w:pPr>
  </w:style>
  <w:style w:type="character" w:customStyle="1" w:styleId="HeaderChar">
    <w:name w:val="Header Char"/>
    <w:basedOn w:val="DefaultParagraphFont"/>
    <w:link w:val="Header"/>
    <w:uiPriority w:val="99"/>
    <w:rsid w:val="009C562E"/>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9C562E"/>
    <w:pPr>
      <w:tabs>
        <w:tab w:val="center" w:pos="4680"/>
        <w:tab w:val="right" w:pos="9360"/>
      </w:tabs>
    </w:pPr>
  </w:style>
  <w:style w:type="character" w:customStyle="1" w:styleId="FooterChar">
    <w:name w:val="Footer Char"/>
    <w:basedOn w:val="DefaultParagraphFont"/>
    <w:link w:val="Footer"/>
    <w:uiPriority w:val="99"/>
    <w:rsid w:val="009C562E"/>
    <w:rPr>
      <w:rFonts w:ascii="Times New Roman" w:eastAsia="Times New Roman" w:hAnsi="Times New Roman" w:cs="Times New Roman"/>
      <w:spacing w:val="-3"/>
      <w:sz w:val="24"/>
      <w:szCs w:val="20"/>
      <w:lang w:val="es-ES_tradnl"/>
    </w:rPr>
  </w:style>
  <w:style w:type="paragraph" w:customStyle="1" w:styleId="heading-b24">
    <w:name w:val="heading-b24"/>
    <w:basedOn w:val="Normal"/>
    <w:next w:val="Normal"/>
    <w:rsid w:val="009C562E"/>
    <w:pPr>
      <w:spacing w:after="600"/>
      <w:jc w:val="center"/>
    </w:pPr>
    <w:rPr>
      <w:rFonts w:ascii="Times New Roman Bold" w:hAnsi="Times New Roman Bold"/>
      <w:b/>
      <w:smallCaps/>
    </w:rPr>
  </w:style>
  <w:style w:type="character" w:customStyle="1" w:styleId="Heading1Char">
    <w:name w:val="Heading 1 Char"/>
    <w:aliases w:val="Heading 1.I Char"/>
    <w:basedOn w:val="DefaultParagraphFont"/>
    <w:link w:val="Heading1"/>
    <w:uiPriority w:val="9"/>
    <w:rsid w:val="009C562E"/>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uiPriority w:val="9"/>
    <w:rsid w:val="009C562E"/>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EA6524"/>
    <w:rPr>
      <w:rFonts w:ascii="Times New Roman Bold" w:eastAsia="Times New Roman" w:hAnsi="Times New Roman Bold" w:cs="Times New Roman"/>
      <w:b/>
      <w:noProof/>
      <w:sz w:val="24"/>
      <w:szCs w:val="20"/>
    </w:rPr>
  </w:style>
  <w:style w:type="paragraph" w:customStyle="1" w:styleId="AutoNumpara">
    <w:name w:val="AutoNumpara"/>
    <w:basedOn w:val="BodyTextIndent"/>
    <w:rsid w:val="009C562E"/>
    <w:pPr>
      <w:numPr>
        <w:ilvl w:val="1"/>
        <w:numId w:val="2"/>
      </w:numPr>
      <w:spacing w:before="120"/>
      <w:jc w:val="both"/>
    </w:pPr>
    <w:rPr>
      <w:noProof/>
      <w:spacing w:val="-2"/>
      <w:lang w:eastAsia="x-none"/>
    </w:rPr>
  </w:style>
  <w:style w:type="paragraph" w:styleId="BodyTextIndent">
    <w:name w:val="Body Text Indent"/>
    <w:basedOn w:val="Normal"/>
    <w:link w:val="BodyTextIndentChar"/>
    <w:uiPriority w:val="99"/>
    <w:semiHidden/>
    <w:unhideWhenUsed/>
    <w:rsid w:val="009C562E"/>
    <w:pPr>
      <w:spacing w:after="120"/>
      <w:ind w:left="360"/>
    </w:pPr>
  </w:style>
  <w:style w:type="character" w:customStyle="1" w:styleId="BodyTextIndentChar">
    <w:name w:val="Body Text Indent Char"/>
    <w:basedOn w:val="DefaultParagraphFont"/>
    <w:link w:val="BodyTextIndent"/>
    <w:uiPriority w:val="99"/>
    <w:semiHidden/>
    <w:rsid w:val="009C562E"/>
    <w:rPr>
      <w:rFonts w:ascii="Times New Roman" w:eastAsia="Times New Roman" w:hAnsi="Times New Roman" w:cs="Times New Roman"/>
      <w:spacing w:val="-3"/>
      <w:sz w:val="24"/>
      <w:szCs w:val="20"/>
      <w:lang w:val="es-ES_tradnl"/>
    </w:rPr>
  </w:style>
  <w:style w:type="paragraph" w:styleId="ListParagraph">
    <w:name w:val="List Paragraph"/>
    <w:basedOn w:val="Normal"/>
    <w:link w:val="ListParagraphChar"/>
    <w:uiPriority w:val="34"/>
    <w:qFormat/>
    <w:rsid w:val="00883AA7"/>
    <w:pPr>
      <w:ind w:left="720"/>
      <w:contextualSpacing/>
    </w:pPr>
  </w:style>
  <w:style w:type="paragraph" w:styleId="BalloonText">
    <w:name w:val="Balloon Text"/>
    <w:basedOn w:val="Normal"/>
    <w:link w:val="BalloonTextChar"/>
    <w:uiPriority w:val="99"/>
    <w:semiHidden/>
    <w:unhideWhenUsed/>
    <w:rsid w:val="0092261B"/>
    <w:rPr>
      <w:rFonts w:ascii="Tahoma" w:hAnsi="Tahoma" w:cs="Tahoma"/>
      <w:sz w:val="16"/>
      <w:szCs w:val="16"/>
    </w:rPr>
  </w:style>
  <w:style w:type="character" w:customStyle="1" w:styleId="BalloonTextChar">
    <w:name w:val="Balloon Text Char"/>
    <w:basedOn w:val="DefaultParagraphFont"/>
    <w:link w:val="BalloonText"/>
    <w:uiPriority w:val="99"/>
    <w:semiHidden/>
    <w:rsid w:val="0092261B"/>
    <w:rPr>
      <w:rFonts w:ascii="Tahoma" w:eastAsia="Times New Roman" w:hAnsi="Tahoma" w:cs="Tahoma"/>
      <w:spacing w:val="-3"/>
      <w:sz w:val="16"/>
      <w:szCs w:val="16"/>
      <w:lang w:val="es-ES_tradnl"/>
    </w:rPr>
  </w:style>
  <w:style w:type="table" w:styleId="TableGrid">
    <w:name w:val="Table Grid"/>
    <w:basedOn w:val="TableNormal"/>
    <w:uiPriority w:val="59"/>
    <w:rsid w:val="00D76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rsid w:val="00D76053"/>
    <w:pPr>
      <w:spacing w:after="200" w:line="276" w:lineRule="auto"/>
      <w:ind w:left="360" w:hanging="360"/>
      <w:contextualSpacing/>
    </w:pPr>
    <w:rPr>
      <w:rFonts w:asciiTheme="minorHAnsi" w:eastAsiaTheme="minorHAnsi" w:hAnsiTheme="minorHAnsi" w:cstheme="minorBidi"/>
      <w:spacing w:val="0"/>
      <w:sz w:val="22"/>
      <w:szCs w:val="22"/>
      <w:lang w:val="en-US"/>
    </w:rPr>
  </w:style>
  <w:style w:type="paragraph" w:customStyle="1" w:styleId="Chapter">
    <w:name w:val="Chapter"/>
    <w:basedOn w:val="Normal"/>
    <w:next w:val="Normal"/>
    <w:rsid w:val="00EA6524"/>
    <w:pPr>
      <w:keepNext/>
      <w:numPr>
        <w:numId w:val="33"/>
      </w:numPr>
      <w:tabs>
        <w:tab w:val="clear" w:pos="2088"/>
        <w:tab w:val="num" w:pos="648"/>
        <w:tab w:val="left" w:pos="1440"/>
      </w:tabs>
      <w:spacing w:before="240" w:after="240"/>
      <w:ind w:left="0"/>
      <w:jc w:val="center"/>
    </w:pPr>
    <w:rPr>
      <w:b/>
      <w:smallCaps/>
      <w:spacing w:val="0"/>
      <w:lang w:val="es-ES"/>
    </w:rPr>
  </w:style>
  <w:style w:type="paragraph" w:customStyle="1" w:styleId="Paragraph">
    <w:name w:val="Paragraph"/>
    <w:aliases w:val="p,PARAGRAPH,PG,pa,at,paragraph+1,paragraph"/>
    <w:basedOn w:val="BodyTextIndent"/>
    <w:link w:val="ParagraphChar"/>
    <w:qFormat/>
    <w:rsid w:val="00EA6524"/>
    <w:pPr>
      <w:numPr>
        <w:ilvl w:val="1"/>
        <w:numId w:val="33"/>
      </w:numPr>
      <w:spacing w:before="120"/>
      <w:jc w:val="both"/>
      <w:outlineLvl w:val="1"/>
    </w:pPr>
    <w:rPr>
      <w:lang w:val="es-ES"/>
    </w:rPr>
  </w:style>
  <w:style w:type="paragraph" w:customStyle="1" w:styleId="subpar">
    <w:name w:val="subpar"/>
    <w:basedOn w:val="BodyTextIndent3"/>
    <w:rsid w:val="00EA6524"/>
    <w:pPr>
      <w:numPr>
        <w:ilvl w:val="2"/>
        <w:numId w:val="33"/>
      </w:numPr>
      <w:tabs>
        <w:tab w:val="clear" w:pos="2592"/>
        <w:tab w:val="num" w:pos="1152"/>
      </w:tabs>
      <w:spacing w:before="120"/>
      <w:ind w:left="1152"/>
      <w:jc w:val="both"/>
      <w:outlineLvl w:val="2"/>
    </w:pPr>
    <w:rPr>
      <w:spacing w:val="0"/>
      <w:szCs w:val="20"/>
    </w:rPr>
  </w:style>
  <w:style w:type="paragraph" w:customStyle="1" w:styleId="SubSubPar">
    <w:name w:val="SubSubPar"/>
    <w:basedOn w:val="subpar"/>
    <w:rsid w:val="00EA6524"/>
    <w:pPr>
      <w:numPr>
        <w:ilvl w:val="3"/>
      </w:numPr>
      <w:tabs>
        <w:tab w:val="clear" w:pos="3024"/>
        <w:tab w:val="left" w:pos="0"/>
        <w:tab w:val="num" w:pos="1296"/>
      </w:tabs>
      <w:ind w:left="1296"/>
    </w:pPr>
  </w:style>
  <w:style w:type="character" w:customStyle="1" w:styleId="ParagraphChar">
    <w:name w:val="Paragraph Char"/>
    <w:basedOn w:val="BodyTextIndentChar"/>
    <w:link w:val="Paragraph"/>
    <w:rsid w:val="00EA6524"/>
    <w:rPr>
      <w:rFonts w:ascii="Times New Roman" w:eastAsia="Times New Roman" w:hAnsi="Times New Roman" w:cs="Times New Roman"/>
      <w:spacing w:val="-3"/>
      <w:sz w:val="24"/>
      <w:szCs w:val="20"/>
      <w:lang w:val="es-ES"/>
    </w:rPr>
  </w:style>
  <w:style w:type="paragraph" w:styleId="BodyTextIndent3">
    <w:name w:val="Body Text Indent 3"/>
    <w:basedOn w:val="Normal"/>
    <w:link w:val="BodyTextIndent3Char"/>
    <w:uiPriority w:val="99"/>
    <w:semiHidden/>
    <w:unhideWhenUsed/>
    <w:rsid w:val="006677C4"/>
    <w:pPr>
      <w:spacing w:after="120"/>
      <w:ind w:left="360"/>
    </w:pPr>
    <w:rPr>
      <w:szCs w:val="16"/>
    </w:rPr>
  </w:style>
  <w:style w:type="character" w:customStyle="1" w:styleId="BodyTextIndent3Char">
    <w:name w:val="Body Text Indent 3 Char"/>
    <w:basedOn w:val="DefaultParagraphFont"/>
    <w:link w:val="BodyTextIndent3"/>
    <w:uiPriority w:val="99"/>
    <w:semiHidden/>
    <w:rsid w:val="006677C4"/>
    <w:rPr>
      <w:rFonts w:ascii="Times New Roman" w:eastAsia="Times New Roman" w:hAnsi="Times New Roman" w:cs="Times New Roman"/>
      <w:spacing w:val="-3"/>
      <w:sz w:val="24"/>
      <w:szCs w:val="16"/>
      <w:lang w:val="es-ES_tradnl"/>
    </w:rPr>
  </w:style>
  <w:style w:type="paragraph" w:customStyle="1" w:styleId="Regtable">
    <w:name w:val="Regtable"/>
    <w:basedOn w:val="Normal"/>
    <w:link w:val="RegtableChar"/>
    <w:rsid w:val="00EA6524"/>
    <w:pPr>
      <w:keepLines/>
      <w:framePr w:wrap="around" w:vAnchor="text" w:hAnchor="text" w:y="1"/>
      <w:spacing w:before="20" w:after="20"/>
    </w:pPr>
    <w:rPr>
      <w:noProof/>
      <w:sz w:val="20"/>
    </w:rPr>
  </w:style>
  <w:style w:type="character" w:customStyle="1" w:styleId="RegtableChar">
    <w:name w:val="Regtable Char"/>
    <w:link w:val="Regtable"/>
    <w:rsid w:val="00EA6524"/>
    <w:rPr>
      <w:rFonts w:ascii="Times New Roman" w:eastAsia="Times New Roman" w:hAnsi="Times New Roman" w:cs="Times New Roman"/>
      <w:noProof/>
      <w:spacing w:val="-3"/>
      <w:sz w:val="20"/>
      <w:szCs w:val="20"/>
      <w:lang w:val="es-ES_tradnl"/>
    </w:rPr>
  </w:style>
  <w:style w:type="paragraph" w:customStyle="1" w:styleId="TableTitle">
    <w:name w:val="TableTitle"/>
    <w:basedOn w:val="Normal"/>
    <w:link w:val="TableTitleChar"/>
    <w:rsid w:val="00EA6524"/>
    <w:pPr>
      <w:keepNext/>
      <w:framePr w:wrap="around" w:vAnchor="text" w:hAnchor="text" w:y="1"/>
      <w:spacing w:before="20" w:after="20"/>
      <w:jc w:val="center"/>
    </w:pPr>
    <w:rPr>
      <w:rFonts w:ascii="Times New Roman Bold" w:hAnsi="Times New Roman Bold"/>
      <w:b/>
      <w:sz w:val="20"/>
      <w:lang w:val="es-ES"/>
    </w:rPr>
  </w:style>
  <w:style w:type="character" w:customStyle="1" w:styleId="TableTitleChar">
    <w:name w:val="TableTitle Char"/>
    <w:link w:val="TableTitle"/>
    <w:rsid w:val="00EA6524"/>
    <w:rPr>
      <w:rFonts w:ascii="Times New Roman Bold" w:eastAsia="Times New Roman" w:hAnsi="Times New Roman Bold" w:cs="Times New Roman"/>
      <w:b/>
      <w:spacing w:val="-3"/>
      <w:sz w:val="20"/>
      <w:szCs w:val="20"/>
      <w:lang w:val="es-ES"/>
    </w:rPr>
  </w:style>
  <w:style w:type="paragraph" w:customStyle="1" w:styleId="Default">
    <w:name w:val="Default"/>
    <w:rsid w:val="00B24E47"/>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link w:val="NoSpacingChar"/>
    <w:uiPriority w:val="99"/>
    <w:qFormat/>
    <w:rsid w:val="00B24E47"/>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rPr>
  </w:style>
  <w:style w:type="character" w:customStyle="1" w:styleId="NoSpacingChar">
    <w:name w:val="No Spacing Char"/>
    <w:basedOn w:val="DefaultParagraphFont"/>
    <w:link w:val="NoSpacing"/>
    <w:uiPriority w:val="99"/>
    <w:rsid w:val="00B24E47"/>
    <w:rPr>
      <w:rFonts w:ascii="Times New Roman" w:eastAsia="ヒラギノ角ゴ Pro W3" w:hAnsi="Times New Roman" w:cs="Times New Roman"/>
      <w:color w:val="000000"/>
      <w:sz w:val="24"/>
      <w:szCs w:val="24"/>
    </w:rPr>
  </w:style>
  <w:style w:type="paragraph" w:styleId="NormalWeb">
    <w:name w:val="Normal (Web)"/>
    <w:basedOn w:val="Normal"/>
    <w:uiPriority w:val="99"/>
    <w:semiHidden/>
    <w:unhideWhenUsed/>
    <w:rsid w:val="00473936"/>
    <w:pPr>
      <w:spacing w:before="100" w:beforeAutospacing="1" w:after="100" w:afterAutospacing="1"/>
    </w:pPr>
    <w:rPr>
      <w:spacing w:val="0"/>
      <w:szCs w:val="24"/>
      <w:lang w:val="en-US"/>
    </w:rPr>
  </w:style>
  <w:style w:type="character" w:styleId="PlaceholderText">
    <w:name w:val="Placeholder Text"/>
    <w:basedOn w:val="DefaultParagraphFont"/>
    <w:uiPriority w:val="99"/>
    <w:semiHidden/>
    <w:rsid w:val="009E52C9"/>
    <w:rPr>
      <w:color w:val="808080"/>
    </w:rPr>
  </w:style>
  <w:style w:type="character" w:styleId="Emphasis">
    <w:name w:val="Emphasis"/>
    <w:basedOn w:val="DefaultParagraphFont"/>
    <w:uiPriority w:val="20"/>
    <w:qFormat/>
    <w:rsid w:val="00D30EC1"/>
    <w:rPr>
      <w:b/>
      <w:bCs/>
      <w:i w:val="0"/>
      <w:iCs w:val="0"/>
    </w:rPr>
  </w:style>
  <w:style w:type="character" w:customStyle="1" w:styleId="st1">
    <w:name w:val="st1"/>
    <w:basedOn w:val="DefaultParagraphFont"/>
    <w:rsid w:val="00D30EC1"/>
  </w:style>
  <w:style w:type="character" w:styleId="CommentReference">
    <w:name w:val="annotation reference"/>
    <w:basedOn w:val="DefaultParagraphFont"/>
    <w:uiPriority w:val="99"/>
    <w:semiHidden/>
    <w:unhideWhenUsed/>
    <w:rsid w:val="006A5657"/>
    <w:rPr>
      <w:sz w:val="16"/>
      <w:szCs w:val="16"/>
    </w:rPr>
  </w:style>
  <w:style w:type="paragraph" w:styleId="CommentText">
    <w:name w:val="annotation text"/>
    <w:basedOn w:val="Normal"/>
    <w:link w:val="CommentTextChar"/>
    <w:uiPriority w:val="99"/>
    <w:semiHidden/>
    <w:unhideWhenUsed/>
    <w:rsid w:val="006A5657"/>
    <w:rPr>
      <w:sz w:val="20"/>
    </w:rPr>
  </w:style>
  <w:style w:type="character" w:customStyle="1" w:styleId="CommentTextChar">
    <w:name w:val="Comment Text Char"/>
    <w:basedOn w:val="DefaultParagraphFont"/>
    <w:link w:val="CommentText"/>
    <w:uiPriority w:val="99"/>
    <w:semiHidden/>
    <w:rsid w:val="006A5657"/>
    <w:rPr>
      <w:rFonts w:ascii="Times New Roman" w:eastAsia="Times New Roman" w:hAnsi="Times New Roman" w:cs="Times New Roman"/>
      <w:spacing w:val="-3"/>
      <w:sz w:val="20"/>
      <w:szCs w:val="20"/>
      <w:lang w:val="es-ES_tradnl"/>
    </w:rPr>
  </w:style>
  <w:style w:type="character" w:customStyle="1" w:styleId="apple-converted-space">
    <w:name w:val="apple-converted-space"/>
    <w:basedOn w:val="DefaultParagraphFont"/>
    <w:rsid w:val="00231933"/>
  </w:style>
  <w:style w:type="paragraph" w:customStyle="1" w:styleId="FirstHeading">
    <w:name w:val="FirstHeading"/>
    <w:basedOn w:val="Normal"/>
    <w:next w:val="Normal"/>
    <w:link w:val="FirstHeadingChar"/>
    <w:rsid w:val="00EA6524"/>
    <w:pPr>
      <w:keepNext/>
      <w:numPr>
        <w:numId w:val="34"/>
      </w:numPr>
      <w:tabs>
        <w:tab w:val="left" w:pos="0"/>
        <w:tab w:val="left" w:pos="86"/>
      </w:tabs>
      <w:spacing w:before="120" w:after="120"/>
    </w:pPr>
    <w:rPr>
      <w:b/>
    </w:rPr>
  </w:style>
  <w:style w:type="character" w:customStyle="1" w:styleId="FirstHeadingChar">
    <w:name w:val="FirstHeading Char"/>
    <w:basedOn w:val="DefaultParagraphFont"/>
    <w:link w:val="FirstHeading"/>
    <w:rsid w:val="00EA6524"/>
    <w:rPr>
      <w:rFonts w:ascii="Times New Roman" w:eastAsia="Times New Roman" w:hAnsi="Times New Roman" w:cs="Times New Roman"/>
      <w:b/>
      <w:spacing w:val="-3"/>
      <w:sz w:val="24"/>
      <w:szCs w:val="20"/>
      <w:lang w:val="es-ES_tradnl"/>
    </w:rPr>
  </w:style>
  <w:style w:type="paragraph" w:customStyle="1" w:styleId="SecHeading">
    <w:name w:val="SecHeading"/>
    <w:basedOn w:val="Normal"/>
    <w:next w:val="Paragraph"/>
    <w:link w:val="SecHeadingChar"/>
    <w:rsid w:val="00EA6524"/>
    <w:pPr>
      <w:keepNext/>
      <w:numPr>
        <w:ilvl w:val="1"/>
        <w:numId w:val="34"/>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EA6524"/>
    <w:rPr>
      <w:rFonts w:ascii="Times New Roman" w:eastAsia="Times New Roman" w:hAnsi="Times New Roman" w:cs="Times New Roman"/>
      <w:b/>
      <w:spacing w:val="-3"/>
      <w:sz w:val="24"/>
      <w:szCs w:val="20"/>
      <w:lang w:val="es-ES_tradnl"/>
    </w:rPr>
  </w:style>
  <w:style w:type="paragraph" w:customStyle="1" w:styleId="SubHeading1">
    <w:name w:val="SubHeading1"/>
    <w:basedOn w:val="SecHeading"/>
    <w:link w:val="SubHeading1Char"/>
    <w:rsid w:val="00EA6524"/>
    <w:pPr>
      <w:numPr>
        <w:ilvl w:val="2"/>
      </w:numPr>
      <w:tabs>
        <w:tab w:val="clear" w:pos="5976"/>
        <w:tab w:val="num" w:pos="1872"/>
      </w:tabs>
      <w:ind w:left="1872"/>
    </w:pPr>
  </w:style>
  <w:style w:type="character" w:customStyle="1" w:styleId="SubHeading1Char">
    <w:name w:val="SubHeading1 Char"/>
    <w:basedOn w:val="DefaultParagraphFont"/>
    <w:link w:val="SubHeading1"/>
    <w:rsid w:val="00EA6524"/>
    <w:rPr>
      <w:rFonts w:ascii="Times New Roman" w:eastAsia="Times New Roman" w:hAnsi="Times New Roman" w:cs="Times New Roman"/>
      <w:b/>
      <w:spacing w:val="-3"/>
      <w:sz w:val="24"/>
      <w:szCs w:val="20"/>
      <w:lang w:val="es-ES_tradnl"/>
    </w:rPr>
  </w:style>
  <w:style w:type="paragraph" w:customStyle="1" w:styleId="Subheading2">
    <w:name w:val="Subheading2"/>
    <w:basedOn w:val="SecHeading"/>
    <w:link w:val="Subheading2Char"/>
    <w:rsid w:val="00EA6524"/>
    <w:pPr>
      <w:numPr>
        <w:ilvl w:val="3"/>
      </w:numPr>
      <w:tabs>
        <w:tab w:val="clear" w:pos="6480"/>
        <w:tab w:val="num" w:pos="2376"/>
      </w:tabs>
      <w:ind w:left="2376"/>
    </w:pPr>
  </w:style>
  <w:style w:type="character" w:customStyle="1" w:styleId="Subheading2Char">
    <w:name w:val="Subheading2 Char"/>
    <w:basedOn w:val="DefaultParagraphFont"/>
    <w:link w:val="Subheading2"/>
    <w:rsid w:val="00EA6524"/>
    <w:rPr>
      <w:rFonts w:ascii="Times New Roman" w:eastAsia="Times New Roman" w:hAnsi="Times New Roman" w:cs="Times New Roman"/>
      <w:b/>
      <w:spacing w:val="-3"/>
      <w:sz w:val="24"/>
      <w:szCs w:val="20"/>
      <w:lang w:val="es-ES_tradnl"/>
    </w:rPr>
  </w:style>
  <w:style w:type="character" w:customStyle="1" w:styleId="Heading6Char">
    <w:name w:val="Heading 6 Char"/>
    <w:basedOn w:val="DefaultParagraphFont"/>
    <w:link w:val="Heading6"/>
    <w:uiPriority w:val="9"/>
    <w:semiHidden/>
    <w:rsid w:val="00EA6524"/>
    <w:rPr>
      <w:rFonts w:asciiTheme="majorHAnsi" w:eastAsiaTheme="majorEastAsia" w:hAnsiTheme="majorHAnsi" w:cstheme="majorBidi"/>
      <w:i/>
      <w:iCs/>
      <w:color w:val="243F60" w:themeColor="accent1" w:themeShade="7F"/>
      <w:spacing w:val="-3"/>
      <w:sz w:val="24"/>
      <w:szCs w:val="20"/>
      <w:lang w:val="es-ES_tradnl"/>
    </w:rPr>
  </w:style>
  <w:style w:type="character" w:customStyle="1" w:styleId="Heading7Char">
    <w:name w:val="Heading 7 Char"/>
    <w:basedOn w:val="DefaultParagraphFont"/>
    <w:link w:val="Heading7"/>
    <w:uiPriority w:val="9"/>
    <w:semiHidden/>
    <w:rsid w:val="00EA6524"/>
    <w:rPr>
      <w:rFonts w:asciiTheme="majorHAnsi" w:eastAsiaTheme="majorEastAsia" w:hAnsiTheme="majorHAnsi" w:cstheme="majorBidi"/>
      <w:i/>
      <w:iCs/>
      <w:color w:val="404040" w:themeColor="text1" w:themeTint="BF"/>
      <w:spacing w:val="-3"/>
      <w:sz w:val="24"/>
      <w:szCs w:val="20"/>
      <w:lang w:val="es-ES_tradnl"/>
    </w:rPr>
  </w:style>
  <w:style w:type="character" w:customStyle="1" w:styleId="Heading8Char">
    <w:name w:val="Heading 8 Char"/>
    <w:basedOn w:val="DefaultParagraphFont"/>
    <w:link w:val="Heading8"/>
    <w:uiPriority w:val="9"/>
    <w:semiHidden/>
    <w:rsid w:val="00EA6524"/>
    <w:rPr>
      <w:rFonts w:asciiTheme="majorHAnsi" w:eastAsiaTheme="majorEastAsia" w:hAnsiTheme="majorHAnsi" w:cstheme="majorBidi"/>
      <w:color w:val="404040" w:themeColor="text1" w:themeTint="BF"/>
      <w:spacing w:val="-3"/>
      <w:sz w:val="20"/>
      <w:szCs w:val="20"/>
      <w:lang w:val="es-ES_tradnl"/>
    </w:rPr>
  </w:style>
  <w:style w:type="character" w:customStyle="1" w:styleId="Heading9Char">
    <w:name w:val="Heading 9 Char"/>
    <w:basedOn w:val="DefaultParagraphFont"/>
    <w:link w:val="Heading9"/>
    <w:uiPriority w:val="9"/>
    <w:semiHidden/>
    <w:rsid w:val="00EA6524"/>
    <w:rPr>
      <w:rFonts w:asciiTheme="majorHAnsi" w:eastAsiaTheme="majorEastAsia" w:hAnsiTheme="majorHAnsi" w:cstheme="majorBidi"/>
      <w:i/>
      <w:iCs/>
      <w:color w:val="404040" w:themeColor="text1" w:themeTint="BF"/>
      <w:spacing w:val="-3"/>
      <w:sz w:val="20"/>
      <w:szCs w:val="20"/>
      <w:lang w:val="es-ES_tradnl"/>
    </w:rPr>
  </w:style>
  <w:style w:type="paragraph" w:styleId="TOC1">
    <w:name w:val="toc 1"/>
    <w:basedOn w:val="Normal"/>
    <w:next w:val="Normal"/>
    <w:autoRedefine/>
    <w:uiPriority w:val="39"/>
    <w:unhideWhenUsed/>
    <w:rsid w:val="00F42A95"/>
    <w:pPr>
      <w:tabs>
        <w:tab w:val="right" w:leader="dot" w:pos="8741"/>
      </w:tabs>
      <w:spacing w:before="240" w:after="240"/>
      <w:ind w:left="547" w:hanging="547"/>
    </w:pPr>
    <w:rPr>
      <w:rFonts w:ascii="Arial" w:hAnsi="Arial" w:cs="Arial"/>
      <w:b/>
      <w:smallCaps/>
      <w:noProof/>
      <w:sz w:val="22"/>
      <w:szCs w:val="22"/>
    </w:rPr>
  </w:style>
  <w:style w:type="paragraph" w:styleId="TOC2">
    <w:name w:val="toc 2"/>
    <w:basedOn w:val="Normal"/>
    <w:next w:val="Normal"/>
    <w:autoRedefine/>
    <w:uiPriority w:val="39"/>
    <w:unhideWhenUsed/>
    <w:rsid w:val="00F42A95"/>
    <w:pPr>
      <w:tabs>
        <w:tab w:val="left" w:pos="1152"/>
        <w:tab w:val="right" w:leader="dot" w:pos="8741"/>
      </w:tabs>
      <w:ind w:left="1166" w:hanging="605"/>
    </w:pPr>
  </w:style>
  <w:style w:type="paragraph" w:styleId="TOC3">
    <w:name w:val="toc 3"/>
    <w:basedOn w:val="Normal"/>
    <w:next w:val="Normal"/>
    <w:autoRedefine/>
    <w:uiPriority w:val="39"/>
    <w:unhideWhenUsed/>
    <w:rsid w:val="00F42A95"/>
    <w:pPr>
      <w:tabs>
        <w:tab w:val="left" w:pos="1728"/>
        <w:tab w:val="right" w:leader="dot" w:pos="8741"/>
      </w:tabs>
      <w:ind w:left="1714" w:hanging="562"/>
    </w:pPr>
  </w:style>
  <w:style w:type="character" w:styleId="Hyperlink">
    <w:name w:val="Hyperlink"/>
    <w:basedOn w:val="DefaultParagraphFont"/>
    <w:uiPriority w:val="99"/>
    <w:unhideWhenUsed/>
    <w:rsid w:val="00F42A95"/>
    <w:rPr>
      <w:color w:val="0000FF" w:themeColor="hyperlink"/>
      <w:u w:val="single"/>
    </w:rPr>
  </w:style>
  <w:style w:type="character" w:styleId="FollowedHyperlink">
    <w:name w:val="FollowedHyperlink"/>
    <w:basedOn w:val="DefaultParagraphFont"/>
    <w:uiPriority w:val="99"/>
    <w:semiHidden/>
    <w:unhideWhenUsed/>
    <w:rsid w:val="00932E80"/>
    <w:rPr>
      <w:color w:val="800080" w:themeColor="followedHyperlink"/>
      <w:u w:val="single"/>
    </w:rPr>
  </w:style>
  <w:style w:type="character" w:customStyle="1" w:styleId="ListParagraphChar">
    <w:name w:val="List Paragraph Char"/>
    <w:link w:val="ListParagraph"/>
    <w:uiPriority w:val="34"/>
    <w:locked/>
    <w:rsid w:val="00CA5FF8"/>
    <w:rPr>
      <w:rFonts w:ascii="Times New Roman" w:eastAsia="Times New Roman" w:hAnsi="Times New Roman" w:cs="Times New Roman"/>
      <w:spacing w:val="-3"/>
      <w:sz w:val="24"/>
      <w:szCs w:val="20"/>
      <w:lang w:val="es-ES_tradnl"/>
    </w:rPr>
  </w:style>
  <w:style w:type="paragraph" w:styleId="Revision">
    <w:name w:val="Revision"/>
    <w:hidden/>
    <w:uiPriority w:val="99"/>
    <w:semiHidden/>
    <w:rsid w:val="00FD666A"/>
    <w:pPr>
      <w:spacing w:after="0" w:line="240" w:lineRule="auto"/>
    </w:pPr>
    <w:rPr>
      <w:rFonts w:ascii="Times New Roman" w:eastAsia="Times New Roman" w:hAnsi="Times New Roman" w:cs="Times New Roman"/>
      <w:spacing w:val="-3"/>
      <w:sz w:val="24"/>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A0D"/>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
    <w:next w:val="Normal"/>
    <w:link w:val="Heading1Char"/>
    <w:qFormat/>
    <w:rsid w:val="009C562E"/>
    <w:pPr>
      <w:keepNext/>
      <w:numPr>
        <w:numId w:val="2"/>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4">
    <w:name w:val="heading 4"/>
    <w:aliases w:val="Heading 4.a"/>
    <w:next w:val="Normal"/>
    <w:link w:val="Heading4Char"/>
    <w:qFormat/>
    <w:rsid w:val="009C562E"/>
    <w:pPr>
      <w:keepNext/>
      <w:numPr>
        <w:ilvl w:val="2"/>
        <w:numId w:val="2"/>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EA6524"/>
    <w:pPr>
      <w:keepNext/>
      <w:numPr>
        <w:ilvl w:val="4"/>
        <w:numId w:val="34"/>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uiPriority w:val="9"/>
    <w:semiHidden/>
    <w:unhideWhenUsed/>
    <w:qFormat/>
    <w:rsid w:val="00EA6524"/>
    <w:pPr>
      <w:keepNext/>
      <w:keepLines/>
      <w:numPr>
        <w:ilvl w:val="5"/>
        <w:numId w:val="3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A6524"/>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A6524"/>
    <w:pPr>
      <w:keepNext/>
      <w:keepLines/>
      <w:numPr>
        <w:ilvl w:val="7"/>
        <w:numId w:val="34"/>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EA6524"/>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FF2A0D"/>
    <w:pPr>
      <w:ind w:left="720"/>
      <w:contextualSpacing/>
    </w:pPr>
    <w:rPr>
      <w:rFonts w:ascii="Calibri" w:eastAsia="Calibri" w:hAnsi="Calibri"/>
      <w:spacing w:val="0"/>
      <w:sz w:val="22"/>
      <w:szCs w:val="22"/>
      <w:lang w:val="x-none" w:eastAsia="x-none"/>
    </w:rPr>
  </w:style>
  <w:style w:type="paragraph" w:styleId="Title">
    <w:name w:val="Title"/>
    <w:basedOn w:val="Normal"/>
    <w:link w:val="TitleChar"/>
    <w:qFormat/>
    <w:rsid w:val="00FF2A0D"/>
    <w:pPr>
      <w:tabs>
        <w:tab w:val="left" w:pos="1440"/>
        <w:tab w:val="left" w:pos="3060"/>
      </w:tabs>
      <w:jc w:val="center"/>
      <w:outlineLvl w:val="0"/>
    </w:pPr>
    <w:rPr>
      <w:spacing w:val="0"/>
      <w:lang w:val="x-none" w:eastAsia="x-none"/>
    </w:rPr>
  </w:style>
  <w:style w:type="character" w:customStyle="1" w:styleId="TitleChar">
    <w:name w:val="Title Char"/>
    <w:basedOn w:val="DefaultParagraphFont"/>
    <w:link w:val="Title"/>
    <w:rsid w:val="00FF2A0D"/>
    <w:rPr>
      <w:rFonts w:ascii="Times New Roman" w:eastAsia="Times New Roman" w:hAnsi="Times New Roman" w:cs="Times New Roman"/>
      <w:sz w:val="24"/>
      <w:szCs w:val="20"/>
      <w:lang w:val="x-none" w:eastAsia="x-none"/>
    </w:rPr>
  </w:style>
  <w:style w:type="paragraph" w:customStyle="1" w:styleId="Newpage">
    <w:name w:val="Newpage"/>
    <w:basedOn w:val="Normal"/>
    <w:rsid w:val="00FF2A0D"/>
    <w:pPr>
      <w:tabs>
        <w:tab w:val="left" w:pos="1440"/>
        <w:tab w:val="left" w:pos="3060"/>
      </w:tabs>
      <w:jc w:val="center"/>
    </w:pPr>
    <w:rPr>
      <w:rFonts w:cs="Arial"/>
      <w:b/>
      <w:smallCaps/>
    </w:rPr>
  </w:style>
  <w:style w:type="paragraph" w:styleId="BodyText">
    <w:name w:val="Body Text"/>
    <w:aliases w:val=" Car"/>
    <w:basedOn w:val="Normal"/>
    <w:link w:val="BodyTextChar"/>
    <w:rsid w:val="00FF2A0D"/>
    <w:pPr>
      <w:tabs>
        <w:tab w:val="left" w:pos="3060"/>
      </w:tabs>
      <w:jc w:val="center"/>
    </w:pPr>
    <w:rPr>
      <w:spacing w:val="0"/>
      <w:lang w:val="x-none" w:eastAsia="x-none"/>
    </w:rPr>
  </w:style>
  <w:style w:type="character" w:customStyle="1" w:styleId="BodyTextChar">
    <w:name w:val="Body Text Char"/>
    <w:aliases w:val=" Car Char"/>
    <w:basedOn w:val="DefaultParagraphFont"/>
    <w:link w:val="BodyText"/>
    <w:rsid w:val="00FF2A0D"/>
    <w:rPr>
      <w:rFonts w:ascii="Times New Roman" w:eastAsia="Times New Roman" w:hAnsi="Times New Roman" w:cs="Times New Roman"/>
      <w:sz w:val="24"/>
      <w:szCs w:val="20"/>
      <w:lang w:val="x-none" w:eastAsia="x-none"/>
    </w:rPr>
  </w:style>
  <w:style w:type="character" w:customStyle="1" w:styleId="ColorfulList-Accent1Char">
    <w:name w:val="Colorful List - Accent 1 Char"/>
    <w:link w:val="ColorfulList-Accent11"/>
    <w:uiPriority w:val="34"/>
    <w:rsid w:val="00FF2A0D"/>
    <w:rPr>
      <w:rFonts w:ascii="Calibri" w:eastAsia="Calibri" w:hAnsi="Calibri" w:cs="Times New Roman"/>
      <w:lang w:val="x-none" w:eastAsia="x-none"/>
    </w:rPr>
  </w:style>
  <w:style w:type="paragraph" w:styleId="FootnoteText">
    <w:name w:val="footnote text"/>
    <w:aliases w:val="fn,Texto nota pie IIRSA,Car,footnote,single space,FOOTNOTES,Footnote Text Char Char,ft,Footnote,foottextfra,F,Footnote Text Char Char Char Char Char Char Char,Footnote Text Char Char Char Char Char,footnote text,texto de nota al pie,Texto"/>
    <w:basedOn w:val="Normal"/>
    <w:link w:val="FootnoteTextChar"/>
    <w:unhideWhenUsed/>
    <w:qFormat/>
    <w:rsid w:val="009C562E"/>
    <w:pPr>
      <w:keepNext/>
      <w:keepLines/>
      <w:spacing w:after="120"/>
      <w:ind w:left="288" w:hanging="288"/>
      <w:jc w:val="both"/>
    </w:pPr>
    <w:rPr>
      <w:sz w:val="20"/>
    </w:rPr>
  </w:style>
  <w:style w:type="character" w:customStyle="1" w:styleId="FootnoteTextChar">
    <w:name w:val="Footnote Text Char"/>
    <w:aliases w:val="fn Char,Texto nota pie IIRSA Char,Car Char,footnote Char,single space Char,FOOTNOTES Char,Footnote Text Char Char Char,ft Char,Footnote Char,foottextfra Char,F Char,Footnote Text Char Char Char Char Char Char Char Char,Texto Char"/>
    <w:basedOn w:val="DefaultParagraphFont"/>
    <w:link w:val="FootnoteText"/>
    <w:rsid w:val="009C562E"/>
    <w:rPr>
      <w:rFonts w:ascii="Times New Roman" w:eastAsia="Times New Roman" w:hAnsi="Times New Roman" w:cs="Times New Roman"/>
      <w:spacing w:val="-3"/>
      <w:sz w:val="20"/>
      <w:szCs w:val="20"/>
      <w:lang w:val="es-ES_tradnl"/>
    </w:rPr>
  </w:style>
  <w:style w:type="character" w:styleId="FootnoteReference">
    <w:name w:val="footnote reference"/>
    <w:aliases w:val="Ref. de nota al pie.,FC,ftref,16 Point,Superscript 6 Point,Ref,de nota al pie,Style 24,titulo 2,pie pddes,Stinking Styles11,referencia nota al pie,Texto de nota al pie,Footnote symbol,BVI fnr,Footnote Reference.SES"/>
    <w:basedOn w:val="DefaultParagraphFont"/>
    <w:uiPriority w:val="99"/>
    <w:unhideWhenUsed/>
    <w:qFormat/>
    <w:rsid w:val="009C562E"/>
    <w:rPr>
      <w:vertAlign w:val="superscript"/>
    </w:rPr>
  </w:style>
  <w:style w:type="paragraph" w:styleId="Header">
    <w:name w:val="header"/>
    <w:basedOn w:val="Normal"/>
    <w:link w:val="HeaderChar"/>
    <w:uiPriority w:val="99"/>
    <w:unhideWhenUsed/>
    <w:rsid w:val="009C562E"/>
    <w:pPr>
      <w:tabs>
        <w:tab w:val="center" w:pos="4680"/>
        <w:tab w:val="right" w:pos="9360"/>
      </w:tabs>
    </w:pPr>
  </w:style>
  <w:style w:type="character" w:customStyle="1" w:styleId="HeaderChar">
    <w:name w:val="Header Char"/>
    <w:basedOn w:val="DefaultParagraphFont"/>
    <w:link w:val="Header"/>
    <w:uiPriority w:val="99"/>
    <w:rsid w:val="009C562E"/>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9C562E"/>
    <w:pPr>
      <w:tabs>
        <w:tab w:val="center" w:pos="4680"/>
        <w:tab w:val="right" w:pos="9360"/>
      </w:tabs>
    </w:pPr>
  </w:style>
  <w:style w:type="character" w:customStyle="1" w:styleId="FooterChar">
    <w:name w:val="Footer Char"/>
    <w:basedOn w:val="DefaultParagraphFont"/>
    <w:link w:val="Footer"/>
    <w:uiPriority w:val="99"/>
    <w:rsid w:val="009C562E"/>
    <w:rPr>
      <w:rFonts w:ascii="Times New Roman" w:eastAsia="Times New Roman" w:hAnsi="Times New Roman" w:cs="Times New Roman"/>
      <w:spacing w:val="-3"/>
      <w:sz w:val="24"/>
      <w:szCs w:val="20"/>
      <w:lang w:val="es-ES_tradnl"/>
    </w:rPr>
  </w:style>
  <w:style w:type="paragraph" w:customStyle="1" w:styleId="heading-b24">
    <w:name w:val="heading-b24"/>
    <w:basedOn w:val="Normal"/>
    <w:next w:val="Normal"/>
    <w:rsid w:val="009C562E"/>
    <w:pPr>
      <w:spacing w:after="600"/>
      <w:jc w:val="center"/>
    </w:pPr>
    <w:rPr>
      <w:rFonts w:ascii="Times New Roman Bold" w:hAnsi="Times New Roman Bold"/>
      <w:b/>
      <w:smallCaps/>
    </w:rPr>
  </w:style>
  <w:style w:type="character" w:customStyle="1" w:styleId="Heading1Char">
    <w:name w:val="Heading 1 Char"/>
    <w:aliases w:val="Heading 1.I Char"/>
    <w:basedOn w:val="DefaultParagraphFont"/>
    <w:link w:val="Heading1"/>
    <w:uiPriority w:val="9"/>
    <w:rsid w:val="009C562E"/>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uiPriority w:val="9"/>
    <w:rsid w:val="009C562E"/>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EA6524"/>
    <w:rPr>
      <w:rFonts w:ascii="Times New Roman Bold" w:eastAsia="Times New Roman" w:hAnsi="Times New Roman Bold" w:cs="Times New Roman"/>
      <w:b/>
      <w:noProof/>
      <w:sz w:val="24"/>
      <w:szCs w:val="20"/>
    </w:rPr>
  </w:style>
  <w:style w:type="paragraph" w:customStyle="1" w:styleId="AutoNumpara">
    <w:name w:val="AutoNumpara"/>
    <w:basedOn w:val="BodyTextIndent"/>
    <w:rsid w:val="009C562E"/>
    <w:pPr>
      <w:numPr>
        <w:ilvl w:val="1"/>
        <w:numId w:val="2"/>
      </w:numPr>
      <w:spacing w:before="120"/>
      <w:jc w:val="both"/>
    </w:pPr>
    <w:rPr>
      <w:noProof/>
      <w:spacing w:val="-2"/>
      <w:lang w:eastAsia="x-none"/>
    </w:rPr>
  </w:style>
  <w:style w:type="paragraph" w:styleId="BodyTextIndent">
    <w:name w:val="Body Text Indent"/>
    <w:basedOn w:val="Normal"/>
    <w:link w:val="BodyTextIndentChar"/>
    <w:uiPriority w:val="99"/>
    <w:semiHidden/>
    <w:unhideWhenUsed/>
    <w:rsid w:val="009C562E"/>
    <w:pPr>
      <w:spacing w:after="120"/>
      <w:ind w:left="360"/>
    </w:pPr>
  </w:style>
  <w:style w:type="character" w:customStyle="1" w:styleId="BodyTextIndentChar">
    <w:name w:val="Body Text Indent Char"/>
    <w:basedOn w:val="DefaultParagraphFont"/>
    <w:link w:val="BodyTextIndent"/>
    <w:uiPriority w:val="99"/>
    <w:semiHidden/>
    <w:rsid w:val="009C562E"/>
    <w:rPr>
      <w:rFonts w:ascii="Times New Roman" w:eastAsia="Times New Roman" w:hAnsi="Times New Roman" w:cs="Times New Roman"/>
      <w:spacing w:val="-3"/>
      <w:sz w:val="24"/>
      <w:szCs w:val="20"/>
      <w:lang w:val="es-ES_tradnl"/>
    </w:rPr>
  </w:style>
  <w:style w:type="paragraph" w:styleId="ListParagraph">
    <w:name w:val="List Paragraph"/>
    <w:basedOn w:val="Normal"/>
    <w:link w:val="ListParagraphChar"/>
    <w:uiPriority w:val="34"/>
    <w:qFormat/>
    <w:rsid w:val="00883AA7"/>
    <w:pPr>
      <w:ind w:left="720"/>
      <w:contextualSpacing/>
    </w:pPr>
  </w:style>
  <w:style w:type="paragraph" w:styleId="BalloonText">
    <w:name w:val="Balloon Text"/>
    <w:basedOn w:val="Normal"/>
    <w:link w:val="BalloonTextChar"/>
    <w:uiPriority w:val="99"/>
    <w:semiHidden/>
    <w:unhideWhenUsed/>
    <w:rsid w:val="0092261B"/>
    <w:rPr>
      <w:rFonts w:ascii="Tahoma" w:hAnsi="Tahoma" w:cs="Tahoma"/>
      <w:sz w:val="16"/>
      <w:szCs w:val="16"/>
    </w:rPr>
  </w:style>
  <w:style w:type="character" w:customStyle="1" w:styleId="BalloonTextChar">
    <w:name w:val="Balloon Text Char"/>
    <w:basedOn w:val="DefaultParagraphFont"/>
    <w:link w:val="BalloonText"/>
    <w:uiPriority w:val="99"/>
    <w:semiHidden/>
    <w:rsid w:val="0092261B"/>
    <w:rPr>
      <w:rFonts w:ascii="Tahoma" w:eastAsia="Times New Roman" w:hAnsi="Tahoma" w:cs="Tahoma"/>
      <w:spacing w:val="-3"/>
      <w:sz w:val="16"/>
      <w:szCs w:val="16"/>
      <w:lang w:val="es-ES_tradnl"/>
    </w:rPr>
  </w:style>
  <w:style w:type="table" w:styleId="TableGrid">
    <w:name w:val="Table Grid"/>
    <w:basedOn w:val="TableNormal"/>
    <w:uiPriority w:val="59"/>
    <w:rsid w:val="00D76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rsid w:val="00D76053"/>
    <w:pPr>
      <w:spacing w:after="200" w:line="276" w:lineRule="auto"/>
      <w:ind w:left="360" w:hanging="360"/>
      <w:contextualSpacing/>
    </w:pPr>
    <w:rPr>
      <w:rFonts w:asciiTheme="minorHAnsi" w:eastAsiaTheme="minorHAnsi" w:hAnsiTheme="minorHAnsi" w:cstheme="minorBidi"/>
      <w:spacing w:val="0"/>
      <w:sz w:val="22"/>
      <w:szCs w:val="22"/>
      <w:lang w:val="en-US"/>
    </w:rPr>
  </w:style>
  <w:style w:type="paragraph" w:customStyle="1" w:styleId="Chapter">
    <w:name w:val="Chapter"/>
    <w:basedOn w:val="Normal"/>
    <w:next w:val="Normal"/>
    <w:rsid w:val="00EA6524"/>
    <w:pPr>
      <w:keepNext/>
      <w:numPr>
        <w:numId w:val="33"/>
      </w:numPr>
      <w:tabs>
        <w:tab w:val="clear" w:pos="2088"/>
        <w:tab w:val="num" w:pos="648"/>
        <w:tab w:val="left" w:pos="1440"/>
      </w:tabs>
      <w:spacing w:before="240" w:after="240"/>
      <w:ind w:left="0"/>
      <w:jc w:val="center"/>
    </w:pPr>
    <w:rPr>
      <w:b/>
      <w:smallCaps/>
      <w:spacing w:val="0"/>
      <w:lang w:val="es-ES"/>
    </w:rPr>
  </w:style>
  <w:style w:type="paragraph" w:customStyle="1" w:styleId="Paragraph">
    <w:name w:val="Paragraph"/>
    <w:aliases w:val="p,PARAGRAPH,PG,pa,at,paragraph+1,paragraph"/>
    <w:basedOn w:val="BodyTextIndent"/>
    <w:link w:val="ParagraphChar"/>
    <w:qFormat/>
    <w:rsid w:val="00EA6524"/>
    <w:pPr>
      <w:numPr>
        <w:ilvl w:val="1"/>
        <w:numId w:val="33"/>
      </w:numPr>
      <w:spacing w:before="120"/>
      <w:jc w:val="both"/>
      <w:outlineLvl w:val="1"/>
    </w:pPr>
    <w:rPr>
      <w:lang w:val="es-ES"/>
    </w:rPr>
  </w:style>
  <w:style w:type="paragraph" w:customStyle="1" w:styleId="subpar">
    <w:name w:val="subpar"/>
    <w:basedOn w:val="BodyTextIndent3"/>
    <w:rsid w:val="00EA6524"/>
    <w:pPr>
      <w:numPr>
        <w:ilvl w:val="2"/>
        <w:numId w:val="33"/>
      </w:numPr>
      <w:tabs>
        <w:tab w:val="clear" w:pos="2592"/>
        <w:tab w:val="num" w:pos="1152"/>
      </w:tabs>
      <w:spacing w:before="120"/>
      <w:ind w:left="1152"/>
      <w:jc w:val="both"/>
      <w:outlineLvl w:val="2"/>
    </w:pPr>
    <w:rPr>
      <w:spacing w:val="0"/>
      <w:szCs w:val="20"/>
    </w:rPr>
  </w:style>
  <w:style w:type="paragraph" w:customStyle="1" w:styleId="SubSubPar">
    <w:name w:val="SubSubPar"/>
    <w:basedOn w:val="subpar"/>
    <w:rsid w:val="00EA6524"/>
    <w:pPr>
      <w:numPr>
        <w:ilvl w:val="3"/>
      </w:numPr>
      <w:tabs>
        <w:tab w:val="clear" w:pos="3024"/>
        <w:tab w:val="left" w:pos="0"/>
        <w:tab w:val="num" w:pos="1296"/>
      </w:tabs>
      <w:ind w:left="1296"/>
    </w:pPr>
  </w:style>
  <w:style w:type="character" w:customStyle="1" w:styleId="ParagraphChar">
    <w:name w:val="Paragraph Char"/>
    <w:basedOn w:val="BodyTextIndentChar"/>
    <w:link w:val="Paragraph"/>
    <w:rsid w:val="00EA6524"/>
    <w:rPr>
      <w:rFonts w:ascii="Times New Roman" w:eastAsia="Times New Roman" w:hAnsi="Times New Roman" w:cs="Times New Roman"/>
      <w:spacing w:val="-3"/>
      <w:sz w:val="24"/>
      <w:szCs w:val="20"/>
      <w:lang w:val="es-ES"/>
    </w:rPr>
  </w:style>
  <w:style w:type="paragraph" w:styleId="BodyTextIndent3">
    <w:name w:val="Body Text Indent 3"/>
    <w:basedOn w:val="Normal"/>
    <w:link w:val="BodyTextIndent3Char"/>
    <w:uiPriority w:val="99"/>
    <w:semiHidden/>
    <w:unhideWhenUsed/>
    <w:rsid w:val="006677C4"/>
    <w:pPr>
      <w:spacing w:after="120"/>
      <w:ind w:left="360"/>
    </w:pPr>
    <w:rPr>
      <w:szCs w:val="16"/>
    </w:rPr>
  </w:style>
  <w:style w:type="character" w:customStyle="1" w:styleId="BodyTextIndent3Char">
    <w:name w:val="Body Text Indent 3 Char"/>
    <w:basedOn w:val="DefaultParagraphFont"/>
    <w:link w:val="BodyTextIndent3"/>
    <w:uiPriority w:val="99"/>
    <w:semiHidden/>
    <w:rsid w:val="006677C4"/>
    <w:rPr>
      <w:rFonts w:ascii="Times New Roman" w:eastAsia="Times New Roman" w:hAnsi="Times New Roman" w:cs="Times New Roman"/>
      <w:spacing w:val="-3"/>
      <w:sz w:val="24"/>
      <w:szCs w:val="16"/>
      <w:lang w:val="es-ES_tradnl"/>
    </w:rPr>
  </w:style>
  <w:style w:type="paragraph" w:customStyle="1" w:styleId="Regtable">
    <w:name w:val="Regtable"/>
    <w:basedOn w:val="Normal"/>
    <w:link w:val="RegtableChar"/>
    <w:rsid w:val="00EA6524"/>
    <w:pPr>
      <w:keepLines/>
      <w:framePr w:wrap="around" w:vAnchor="text" w:hAnchor="text" w:y="1"/>
      <w:spacing w:before="20" w:after="20"/>
    </w:pPr>
    <w:rPr>
      <w:noProof/>
      <w:sz w:val="20"/>
    </w:rPr>
  </w:style>
  <w:style w:type="character" w:customStyle="1" w:styleId="RegtableChar">
    <w:name w:val="Regtable Char"/>
    <w:link w:val="Regtable"/>
    <w:rsid w:val="00EA6524"/>
    <w:rPr>
      <w:rFonts w:ascii="Times New Roman" w:eastAsia="Times New Roman" w:hAnsi="Times New Roman" w:cs="Times New Roman"/>
      <w:noProof/>
      <w:spacing w:val="-3"/>
      <w:sz w:val="20"/>
      <w:szCs w:val="20"/>
      <w:lang w:val="es-ES_tradnl"/>
    </w:rPr>
  </w:style>
  <w:style w:type="paragraph" w:customStyle="1" w:styleId="TableTitle">
    <w:name w:val="TableTitle"/>
    <w:basedOn w:val="Normal"/>
    <w:link w:val="TableTitleChar"/>
    <w:rsid w:val="00EA6524"/>
    <w:pPr>
      <w:keepNext/>
      <w:framePr w:wrap="around" w:vAnchor="text" w:hAnchor="text" w:y="1"/>
      <w:spacing w:before="20" w:after="20"/>
      <w:jc w:val="center"/>
    </w:pPr>
    <w:rPr>
      <w:rFonts w:ascii="Times New Roman Bold" w:hAnsi="Times New Roman Bold"/>
      <w:b/>
      <w:sz w:val="20"/>
      <w:lang w:val="es-ES"/>
    </w:rPr>
  </w:style>
  <w:style w:type="character" w:customStyle="1" w:styleId="TableTitleChar">
    <w:name w:val="TableTitle Char"/>
    <w:link w:val="TableTitle"/>
    <w:rsid w:val="00EA6524"/>
    <w:rPr>
      <w:rFonts w:ascii="Times New Roman Bold" w:eastAsia="Times New Roman" w:hAnsi="Times New Roman Bold" w:cs="Times New Roman"/>
      <w:b/>
      <w:spacing w:val="-3"/>
      <w:sz w:val="20"/>
      <w:szCs w:val="20"/>
      <w:lang w:val="es-ES"/>
    </w:rPr>
  </w:style>
  <w:style w:type="paragraph" w:customStyle="1" w:styleId="Default">
    <w:name w:val="Default"/>
    <w:rsid w:val="00B24E47"/>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link w:val="NoSpacingChar"/>
    <w:uiPriority w:val="99"/>
    <w:qFormat/>
    <w:rsid w:val="00B24E47"/>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rPr>
  </w:style>
  <w:style w:type="character" w:customStyle="1" w:styleId="NoSpacingChar">
    <w:name w:val="No Spacing Char"/>
    <w:basedOn w:val="DefaultParagraphFont"/>
    <w:link w:val="NoSpacing"/>
    <w:uiPriority w:val="99"/>
    <w:rsid w:val="00B24E47"/>
    <w:rPr>
      <w:rFonts w:ascii="Times New Roman" w:eastAsia="ヒラギノ角ゴ Pro W3" w:hAnsi="Times New Roman" w:cs="Times New Roman"/>
      <w:color w:val="000000"/>
      <w:sz w:val="24"/>
      <w:szCs w:val="24"/>
    </w:rPr>
  </w:style>
  <w:style w:type="paragraph" w:styleId="NormalWeb">
    <w:name w:val="Normal (Web)"/>
    <w:basedOn w:val="Normal"/>
    <w:uiPriority w:val="99"/>
    <w:semiHidden/>
    <w:unhideWhenUsed/>
    <w:rsid w:val="00473936"/>
    <w:pPr>
      <w:spacing w:before="100" w:beforeAutospacing="1" w:after="100" w:afterAutospacing="1"/>
    </w:pPr>
    <w:rPr>
      <w:spacing w:val="0"/>
      <w:szCs w:val="24"/>
      <w:lang w:val="en-US"/>
    </w:rPr>
  </w:style>
  <w:style w:type="character" w:styleId="PlaceholderText">
    <w:name w:val="Placeholder Text"/>
    <w:basedOn w:val="DefaultParagraphFont"/>
    <w:uiPriority w:val="99"/>
    <w:semiHidden/>
    <w:rsid w:val="009E52C9"/>
    <w:rPr>
      <w:color w:val="808080"/>
    </w:rPr>
  </w:style>
  <w:style w:type="character" w:styleId="Emphasis">
    <w:name w:val="Emphasis"/>
    <w:basedOn w:val="DefaultParagraphFont"/>
    <w:uiPriority w:val="20"/>
    <w:qFormat/>
    <w:rsid w:val="00D30EC1"/>
    <w:rPr>
      <w:b/>
      <w:bCs/>
      <w:i w:val="0"/>
      <w:iCs w:val="0"/>
    </w:rPr>
  </w:style>
  <w:style w:type="character" w:customStyle="1" w:styleId="st1">
    <w:name w:val="st1"/>
    <w:basedOn w:val="DefaultParagraphFont"/>
    <w:rsid w:val="00D30EC1"/>
  </w:style>
  <w:style w:type="character" w:styleId="CommentReference">
    <w:name w:val="annotation reference"/>
    <w:basedOn w:val="DefaultParagraphFont"/>
    <w:uiPriority w:val="99"/>
    <w:semiHidden/>
    <w:unhideWhenUsed/>
    <w:rsid w:val="006A5657"/>
    <w:rPr>
      <w:sz w:val="16"/>
      <w:szCs w:val="16"/>
    </w:rPr>
  </w:style>
  <w:style w:type="paragraph" w:styleId="CommentText">
    <w:name w:val="annotation text"/>
    <w:basedOn w:val="Normal"/>
    <w:link w:val="CommentTextChar"/>
    <w:uiPriority w:val="99"/>
    <w:semiHidden/>
    <w:unhideWhenUsed/>
    <w:rsid w:val="006A5657"/>
    <w:rPr>
      <w:sz w:val="20"/>
    </w:rPr>
  </w:style>
  <w:style w:type="character" w:customStyle="1" w:styleId="CommentTextChar">
    <w:name w:val="Comment Text Char"/>
    <w:basedOn w:val="DefaultParagraphFont"/>
    <w:link w:val="CommentText"/>
    <w:uiPriority w:val="99"/>
    <w:semiHidden/>
    <w:rsid w:val="006A5657"/>
    <w:rPr>
      <w:rFonts w:ascii="Times New Roman" w:eastAsia="Times New Roman" w:hAnsi="Times New Roman" w:cs="Times New Roman"/>
      <w:spacing w:val="-3"/>
      <w:sz w:val="20"/>
      <w:szCs w:val="20"/>
      <w:lang w:val="es-ES_tradnl"/>
    </w:rPr>
  </w:style>
  <w:style w:type="character" w:customStyle="1" w:styleId="apple-converted-space">
    <w:name w:val="apple-converted-space"/>
    <w:basedOn w:val="DefaultParagraphFont"/>
    <w:rsid w:val="00231933"/>
  </w:style>
  <w:style w:type="paragraph" w:customStyle="1" w:styleId="FirstHeading">
    <w:name w:val="FirstHeading"/>
    <w:basedOn w:val="Normal"/>
    <w:next w:val="Normal"/>
    <w:link w:val="FirstHeadingChar"/>
    <w:rsid w:val="00EA6524"/>
    <w:pPr>
      <w:keepNext/>
      <w:numPr>
        <w:numId w:val="34"/>
      </w:numPr>
      <w:tabs>
        <w:tab w:val="left" w:pos="0"/>
        <w:tab w:val="left" w:pos="86"/>
      </w:tabs>
      <w:spacing w:before="120" w:after="120"/>
    </w:pPr>
    <w:rPr>
      <w:b/>
    </w:rPr>
  </w:style>
  <w:style w:type="character" w:customStyle="1" w:styleId="FirstHeadingChar">
    <w:name w:val="FirstHeading Char"/>
    <w:basedOn w:val="DefaultParagraphFont"/>
    <w:link w:val="FirstHeading"/>
    <w:rsid w:val="00EA6524"/>
    <w:rPr>
      <w:rFonts w:ascii="Times New Roman" w:eastAsia="Times New Roman" w:hAnsi="Times New Roman" w:cs="Times New Roman"/>
      <w:b/>
      <w:spacing w:val="-3"/>
      <w:sz w:val="24"/>
      <w:szCs w:val="20"/>
      <w:lang w:val="es-ES_tradnl"/>
    </w:rPr>
  </w:style>
  <w:style w:type="paragraph" w:customStyle="1" w:styleId="SecHeading">
    <w:name w:val="SecHeading"/>
    <w:basedOn w:val="Normal"/>
    <w:next w:val="Paragraph"/>
    <w:link w:val="SecHeadingChar"/>
    <w:rsid w:val="00EA6524"/>
    <w:pPr>
      <w:keepNext/>
      <w:numPr>
        <w:ilvl w:val="1"/>
        <w:numId w:val="34"/>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EA6524"/>
    <w:rPr>
      <w:rFonts w:ascii="Times New Roman" w:eastAsia="Times New Roman" w:hAnsi="Times New Roman" w:cs="Times New Roman"/>
      <w:b/>
      <w:spacing w:val="-3"/>
      <w:sz w:val="24"/>
      <w:szCs w:val="20"/>
      <w:lang w:val="es-ES_tradnl"/>
    </w:rPr>
  </w:style>
  <w:style w:type="paragraph" w:customStyle="1" w:styleId="SubHeading1">
    <w:name w:val="SubHeading1"/>
    <w:basedOn w:val="SecHeading"/>
    <w:link w:val="SubHeading1Char"/>
    <w:rsid w:val="00EA6524"/>
    <w:pPr>
      <w:numPr>
        <w:ilvl w:val="2"/>
      </w:numPr>
      <w:tabs>
        <w:tab w:val="clear" w:pos="5976"/>
        <w:tab w:val="num" w:pos="1872"/>
      </w:tabs>
      <w:ind w:left="1872"/>
    </w:pPr>
  </w:style>
  <w:style w:type="character" w:customStyle="1" w:styleId="SubHeading1Char">
    <w:name w:val="SubHeading1 Char"/>
    <w:basedOn w:val="DefaultParagraphFont"/>
    <w:link w:val="SubHeading1"/>
    <w:rsid w:val="00EA6524"/>
    <w:rPr>
      <w:rFonts w:ascii="Times New Roman" w:eastAsia="Times New Roman" w:hAnsi="Times New Roman" w:cs="Times New Roman"/>
      <w:b/>
      <w:spacing w:val="-3"/>
      <w:sz w:val="24"/>
      <w:szCs w:val="20"/>
      <w:lang w:val="es-ES_tradnl"/>
    </w:rPr>
  </w:style>
  <w:style w:type="paragraph" w:customStyle="1" w:styleId="Subheading2">
    <w:name w:val="Subheading2"/>
    <w:basedOn w:val="SecHeading"/>
    <w:link w:val="Subheading2Char"/>
    <w:rsid w:val="00EA6524"/>
    <w:pPr>
      <w:numPr>
        <w:ilvl w:val="3"/>
      </w:numPr>
      <w:tabs>
        <w:tab w:val="clear" w:pos="6480"/>
        <w:tab w:val="num" w:pos="2376"/>
      </w:tabs>
      <w:ind w:left="2376"/>
    </w:pPr>
  </w:style>
  <w:style w:type="character" w:customStyle="1" w:styleId="Subheading2Char">
    <w:name w:val="Subheading2 Char"/>
    <w:basedOn w:val="DefaultParagraphFont"/>
    <w:link w:val="Subheading2"/>
    <w:rsid w:val="00EA6524"/>
    <w:rPr>
      <w:rFonts w:ascii="Times New Roman" w:eastAsia="Times New Roman" w:hAnsi="Times New Roman" w:cs="Times New Roman"/>
      <w:b/>
      <w:spacing w:val="-3"/>
      <w:sz w:val="24"/>
      <w:szCs w:val="20"/>
      <w:lang w:val="es-ES_tradnl"/>
    </w:rPr>
  </w:style>
  <w:style w:type="character" w:customStyle="1" w:styleId="Heading6Char">
    <w:name w:val="Heading 6 Char"/>
    <w:basedOn w:val="DefaultParagraphFont"/>
    <w:link w:val="Heading6"/>
    <w:uiPriority w:val="9"/>
    <w:semiHidden/>
    <w:rsid w:val="00EA6524"/>
    <w:rPr>
      <w:rFonts w:asciiTheme="majorHAnsi" w:eastAsiaTheme="majorEastAsia" w:hAnsiTheme="majorHAnsi" w:cstheme="majorBidi"/>
      <w:i/>
      <w:iCs/>
      <w:color w:val="243F60" w:themeColor="accent1" w:themeShade="7F"/>
      <w:spacing w:val="-3"/>
      <w:sz w:val="24"/>
      <w:szCs w:val="20"/>
      <w:lang w:val="es-ES_tradnl"/>
    </w:rPr>
  </w:style>
  <w:style w:type="character" w:customStyle="1" w:styleId="Heading7Char">
    <w:name w:val="Heading 7 Char"/>
    <w:basedOn w:val="DefaultParagraphFont"/>
    <w:link w:val="Heading7"/>
    <w:uiPriority w:val="9"/>
    <w:semiHidden/>
    <w:rsid w:val="00EA6524"/>
    <w:rPr>
      <w:rFonts w:asciiTheme="majorHAnsi" w:eastAsiaTheme="majorEastAsia" w:hAnsiTheme="majorHAnsi" w:cstheme="majorBidi"/>
      <w:i/>
      <w:iCs/>
      <w:color w:val="404040" w:themeColor="text1" w:themeTint="BF"/>
      <w:spacing w:val="-3"/>
      <w:sz w:val="24"/>
      <w:szCs w:val="20"/>
      <w:lang w:val="es-ES_tradnl"/>
    </w:rPr>
  </w:style>
  <w:style w:type="character" w:customStyle="1" w:styleId="Heading8Char">
    <w:name w:val="Heading 8 Char"/>
    <w:basedOn w:val="DefaultParagraphFont"/>
    <w:link w:val="Heading8"/>
    <w:uiPriority w:val="9"/>
    <w:semiHidden/>
    <w:rsid w:val="00EA6524"/>
    <w:rPr>
      <w:rFonts w:asciiTheme="majorHAnsi" w:eastAsiaTheme="majorEastAsia" w:hAnsiTheme="majorHAnsi" w:cstheme="majorBidi"/>
      <w:color w:val="404040" w:themeColor="text1" w:themeTint="BF"/>
      <w:spacing w:val="-3"/>
      <w:sz w:val="20"/>
      <w:szCs w:val="20"/>
      <w:lang w:val="es-ES_tradnl"/>
    </w:rPr>
  </w:style>
  <w:style w:type="character" w:customStyle="1" w:styleId="Heading9Char">
    <w:name w:val="Heading 9 Char"/>
    <w:basedOn w:val="DefaultParagraphFont"/>
    <w:link w:val="Heading9"/>
    <w:uiPriority w:val="9"/>
    <w:semiHidden/>
    <w:rsid w:val="00EA6524"/>
    <w:rPr>
      <w:rFonts w:asciiTheme="majorHAnsi" w:eastAsiaTheme="majorEastAsia" w:hAnsiTheme="majorHAnsi" w:cstheme="majorBidi"/>
      <w:i/>
      <w:iCs/>
      <w:color w:val="404040" w:themeColor="text1" w:themeTint="BF"/>
      <w:spacing w:val="-3"/>
      <w:sz w:val="20"/>
      <w:szCs w:val="20"/>
      <w:lang w:val="es-ES_tradnl"/>
    </w:rPr>
  </w:style>
  <w:style w:type="paragraph" w:styleId="TOC1">
    <w:name w:val="toc 1"/>
    <w:basedOn w:val="Normal"/>
    <w:next w:val="Normal"/>
    <w:autoRedefine/>
    <w:uiPriority w:val="39"/>
    <w:unhideWhenUsed/>
    <w:rsid w:val="00F42A95"/>
    <w:pPr>
      <w:tabs>
        <w:tab w:val="right" w:leader="dot" w:pos="8741"/>
      </w:tabs>
      <w:spacing w:before="240" w:after="240"/>
      <w:ind w:left="547" w:hanging="547"/>
    </w:pPr>
    <w:rPr>
      <w:rFonts w:ascii="Arial" w:hAnsi="Arial" w:cs="Arial"/>
      <w:b/>
      <w:smallCaps/>
      <w:noProof/>
      <w:sz w:val="22"/>
      <w:szCs w:val="22"/>
    </w:rPr>
  </w:style>
  <w:style w:type="paragraph" w:styleId="TOC2">
    <w:name w:val="toc 2"/>
    <w:basedOn w:val="Normal"/>
    <w:next w:val="Normal"/>
    <w:autoRedefine/>
    <w:uiPriority w:val="39"/>
    <w:unhideWhenUsed/>
    <w:rsid w:val="00F42A95"/>
    <w:pPr>
      <w:tabs>
        <w:tab w:val="left" w:pos="1152"/>
        <w:tab w:val="right" w:leader="dot" w:pos="8741"/>
      </w:tabs>
      <w:ind w:left="1166" w:hanging="605"/>
    </w:pPr>
  </w:style>
  <w:style w:type="paragraph" w:styleId="TOC3">
    <w:name w:val="toc 3"/>
    <w:basedOn w:val="Normal"/>
    <w:next w:val="Normal"/>
    <w:autoRedefine/>
    <w:uiPriority w:val="39"/>
    <w:unhideWhenUsed/>
    <w:rsid w:val="00F42A95"/>
    <w:pPr>
      <w:tabs>
        <w:tab w:val="left" w:pos="1728"/>
        <w:tab w:val="right" w:leader="dot" w:pos="8741"/>
      </w:tabs>
      <w:ind w:left="1714" w:hanging="562"/>
    </w:pPr>
  </w:style>
  <w:style w:type="character" w:styleId="Hyperlink">
    <w:name w:val="Hyperlink"/>
    <w:basedOn w:val="DefaultParagraphFont"/>
    <w:uiPriority w:val="99"/>
    <w:unhideWhenUsed/>
    <w:rsid w:val="00F42A95"/>
    <w:rPr>
      <w:color w:val="0000FF" w:themeColor="hyperlink"/>
      <w:u w:val="single"/>
    </w:rPr>
  </w:style>
  <w:style w:type="character" w:styleId="FollowedHyperlink">
    <w:name w:val="FollowedHyperlink"/>
    <w:basedOn w:val="DefaultParagraphFont"/>
    <w:uiPriority w:val="99"/>
    <w:semiHidden/>
    <w:unhideWhenUsed/>
    <w:rsid w:val="00932E80"/>
    <w:rPr>
      <w:color w:val="800080" w:themeColor="followedHyperlink"/>
      <w:u w:val="single"/>
    </w:rPr>
  </w:style>
  <w:style w:type="character" w:customStyle="1" w:styleId="ListParagraphChar">
    <w:name w:val="List Paragraph Char"/>
    <w:link w:val="ListParagraph"/>
    <w:uiPriority w:val="34"/>
    <w:locked/>
    <w:rsid w:val="00CA5FF8"/>
    <w:rPr>
      <w:rFonts w:ascii="Times New Roman" w:eastAsia="Times New Roman" w:hAnsi="Times New Roman" w:cs="Times New Roman"/>
      <w:spacing w:val="-3"/>
      <w:sz w:val="24"/>
      <w:szCs w:val="20"/>
      <w:lang w:val="es-ES_tradnl"/>
    </w:rPr>
  </w:style>
  <w:style w:type="paragraph" w:styleId="Revision">
    <w:name w:val="Revision"/>
    <w:hidden/>
    <w:uiPriority w:val="99"/>
    <w:semiHidden/>
    <w:rsid w:val="00FD666A"/>
    <w:pPr>
      <w:spacing w:after="0" w:line="240" w:lineRule="auto"/>
    </w:pPr>
    <w:rPr>
      <w:rFonts w:ascii="Times New Roman" w:eastAsia="Times New Roman" w:hAnsi="Times New Roman" w:cs="Times New Roman"/>
      <w:spacing w:val="-3"/>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6028">
      <w:bodyDiv w:val="1"/>
      <w:marLeft w:val="0"/>
      <w:marRight w:val="0"/>
      <w:marTop w:val="0"/>
      <w:marBottom w:val="0"/>
      <w:divBdr>
        <w:top w:val="none" w:sz="0" w:space="0" w:color="auto"/>
        <w:left w:val="none" w:sz="0" w:space="0" w:color="auto"/>
        <w:bottom w:val="none" w:sz="0" w:space="0" w:color="auto"/>
        <w:right w:val="none" w:sz="0" w:space="0" w:color="auto"/>
      </w:divBdr>
    </w:div>
    <w:div w:id="104926737">
      <w:bodyDiv w:val="1"/>
      <w:marLeft w:val="0"/>
      <w:marRight w:val="0"/>
      <w:marTop w:val="0"/>
      <w:marBottom w:val="0"/>
      <w:divBdr>
        <w:top w:val="none" w:sz="0" w:space="0" w:color="auto"/>
        <w:left w:val="none" w:sz="0" w:space="0" w:color="auto"/>
        <w:bottom w:val="none" w:sz="0" w:space="0" w:color="auto"/>
        <w:right w:val="none" w:sz="0" w:space="0" w:color="auto"/>
      </w:divBdr>
    </w:div>
    <w:div w:id="117526643">
      <w:bodyDiv w:val="1"/>
      <w:marLeft w:val="0"/>
      <w:marRight w:val="0"/>
      <w:marTop w:val="0"/>
      <w:marBottom w:val="0"/>
      <w:divBdr>
        <w:top w:val="none" w:sz="0" w:space="0" w:color="auto"/>
        <w:left w:val="none" w:sz="0" w:space="0" w:color="auto"/>
        <w:bottom w:val="none" w:sz="0" w:space="0" w:color="auto"/>
        <w:right w:val="none" w:sz="0" w:space="0" w:color="auto"/>
      </w:divBdr>
    </w:div>
    <w:div w:id="460273826">
      <w:bodyDiv w:val="1"/>
      <w:marLeft w:val="0"/>
      <w:marRight w:val="0"/>
      <w:marTop w:val="0"/>
      <w:marBottom w:val="0"/>
      <w:divBdr>
        <w:top w:val="none" w:sz="0" w:space="0" w:color="auto"/>
        <w:left w:val="none" w:sz="0" w:space="0" w:color="auto"/>
        <w:bottom w:val="none" w:sz="0" w:space="0" w:color="auto"/>
        <w:right w:val="none" w:sz="0" w:space="0" w:color="auto"/>
      </w:divBdr>
    </w:div>
    <w:div w:id="624821869">
      <w:bodyDiv w:val="1"/>
      <w:marLeft w:val="0"/>
      <w:marRight w:val="0"/>
      <w:marTop w:val="0"/>
      <w:marBottom w:val="0"/>
      <w:divBdr>
        <w:top w:val="none" w:sz="0" w:space="0" w:color="auto"/>
        <w:left w:val="none" w:sz="0" w:space="0" w:color="auto"/>
        <w:bottom w:val="none" w:sz="0" w:space="0" w:color="auto"/>
        <w:right w:val="none" w:sz="0" w:space="0" w:color="auto"/>
      </w:divBdr>
    </w:div>
    <w:div w:id="626467837">
      <w:bodyDiv w:val="1"/>
      <w:marLeft w:val="0"/>
      <w:marRight w:val="0"/>
      <w:marTop w:val="0"/>
      <w:marBottom w:val="0"/>
      <w:divBdr>
        <w:top w:val="none" w:sz="0" w:space="0" w:color="auto"/>
        <w:left w:val="none" w:sz="0" w:space="0" w:color="auto"/>
        <w:bottom w:val="none" w:sz="0" w:space="0" w:color="auto"/>
        <w:right w:val="none" w:sz="0" w:space="0" w:color="auto"/>
      </w:divBdr>
    </w:div>
    <w:div w:id="726220561">
      <w:bodyDiv w:val="1"/>
      <w:marLeft w:val="0"/>
      <w:marRight w:val="0"/>
      <w:marTop w:val="0"/>
      <w:marBottom w:val="0"/>
      <w:divBdr>
        <w:top w:val="none" w:sz="0" w:space="0" w:color="auto"/>
        <w:left w:val="none" w:sz="0" w:space="0" w:color="auto"/>
        <w:bottom w:val="none" w:sz="0" w:space="0" w:color="auto"/>
        <w:right w:val="none" w:sz="0" w:space="0" w:color="auto"/>
      </w:divBdr>
    </w:div>
    <w:div w:id="895511347">
      <w:bodyDiv w:val="1"/>
      <w:marLeft w:val="0"/>
      <w:marRight w:val="0"/>
      <w:marTop w:val="0"/>
      <w:marBottom w:val="0"/>
      <w:divBdr>
        <w:top w:val="none" w:sz="0" w:space="0" w:color="auto"/>
        <w:left w:val="none" w:sz="0" w:space="0" w:color="auto"/>
        <w:bottom w:val="none" w:sz="0" w:space="0" w:color="auto"/>
        <w:right w:val="none" w:sz="0" w:space="0" w:color="auto"/>
      </w:divBdr>
    </w:div>
    <w:div w:id="1656832041">
      <w:bodyDiv w:val="1"/>
      <w:marLeft w:val="0"/>
      <w:marRight w:val="0"/>
      <w:marTop w:val="0"/>
      <w:marBottom w:val="0"/>
      <w:divBdr>
        <w:top w:val="none" w:sz="0" w:space="0" w:color="auto"/>
        <w:left w:val="none" w:sz="0" w:space="0" w:color="auto"/>
        <w:bottom w:val="none" w:sz="0" w:space="0" w:color="auto"/>
        <w:right w:val="none" w:sz="0" w:space="0" w:color="auto"/>
      </w:divBdr>
    </w:div>
    <w:div w:id="1702706233">
      <w:bodyDiv w:val="1"/>
      <w:marLeft w:val="0"/>
      <w:marRight w:val="0"/>
      <w:marTop w:val="0"/>
      <w:marBottom w:val="0"/>
      <w:divBdr>
        <w:top w:val="none" w:sz="0" w:space="0" w:color="auto"/>
        <w:left w:val="none" w:sz="0" w:space="0" w:color="auto"/>
        <w:bottom w:val="none" w:sz="0" w:space="0" w:color="auto"/>
        <w:right w:val="none" w:sz="0" w:space="0" w:color="auto"/>
      </w:divBdr>
    </w:div>
    <w:div w:id="1781341329">
      <w:bodyDiv w:val="1"/>
      <w:marLeft w:val="0"/>
      <w:marRight w:val="0"/>
      <w:marTop w:val="0"/>
      <w:marBottom w:val="0"/>
      <w:divBdr>
        <w:top w:val="none" w:sz="0" w:space="0" w:color="auto"/>
        <w:left w:val="none" w:sz="0" w:space="0" w:color="auto"/>
        <w:bottom w:val="none" w:sz="0" w:space="0" w:color="auto"/>
        <w:right w:val="none" w:sz="0" w:space="0" w:color="auto"/>
      </w:divBdr>
    </w:div>
    <w:div w:id="1966690921">
      <w:bodyDiv w:val="1"/>
      <w:marLeft w:val="0"/>
      <w:marRight w:val="0"/>
      <w:marTop w:val="0"/>
      <w:marBottom w:val="0"/>
      <w:divBdr>
        <w:top w:val="none" w:sz="0" w:space="0" w:color="auto"/>
        <w:left w:val="none" w:sz="0" w:space="0" w:color="auto"/>
        <w:bottom w:val="none" w:sz="0" w:space="0" w:color="auto"/>
        <w:right w:val="none" w:sz="0" w:space="0" w:color="auto"/>
      </w:divBdr>
    </w:div>
    <w:div w:id="2062944306">
      <w:bodyDiv w:val="1"/>
      <w:marLeft w:val="0"/>
      <w:marRight w:val="0"/>
      <w:marTop w:val="0"/>
      <w:marBottom w:val="0"/>
      <w:divBdr>
        <w:top w:val="none" w:sz="0" w:space="0" w:color="auto"/>
        <w:left w:val="none" w:sz="0" w:space="0" w:color="auto"/>
        <w:bottom w:val="none" w:sz="0" w:space="0" w:color="auto"/>
        <w:right w:val="none" w:sz="0" w:space="0" w:color="auto"/>
      </w:divBdr>
    </w:div>
    <w:div w:id="211015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nist.gov/director/planning/summary-studies.cfm" TargetMode="External"/><Relationship Id="rId10" Type="http://schemas.openxmlformats.org/officeDocument/2006/relationships/footer" Target="foot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26A2A841B86854D9AD71FE32BEDD67F" ma:contentTypeVersion="0" ma:contentTypeDescription="A content type to manage public (operations) IDB documents" ma:contentTypeScope="" ma:versionID="ca148fafaf90fbf8a20babbd092779ba">
  <xsd:schema xmlns:xsd="http://www.w3.org/2001/XMLSchema" xmlns:xs="http://www.w3.org/2001/XMLSchema" xmlns:p="http://schemas.microsoft.com/office/2006/metadata/properties" xmlns:ns2="9c571b2f-e523-4ab2-ba2e-09e151a03ef4" targetNamespace="http://schemas.microsoft.com/office/2006/metadata/properties" ma:root="true" ma:fieldsID="bed0c60aee55836dee446e400aadbc6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6b746e2-960d-40fc-9055-2aaee7227fec}" ma:internalName="TaxCatchAll" ma:showField="CatchAllData"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6b746e2-960d-40fc-9055-2aaee7227fec}" ma:internalName="TaxCatchAllLabel" ma:readOnly="true" ma:showField="CatchAllDataLabel"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IFD/CTI</Division_x0020_or_x0020_Unit>
    <Other_x0020_Author xmlns="9c571b2f-e523-4ab2-ba2e-09e151a03ef4" xsi:nil="true"/>
    <Region xmlns="9c571b2f-e523-4ab2-ba2e-09e151a03ef4" xsi:nil="true"/>
    <IDBDocs_x0020_Number xmlns="9c571b2f-e523-4ab2-ba2e-09e151a03ef4">40658549</IDBDocs_x0020_Number>
    <Document_x0020_Author xmlns="9c571b2f-e523-4ab2-ba2e-09e151a03ef4">Stevenson, Claudia</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GY-L1059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Directors&lt;/APPROVAL_DESC&gt;&lt;PD_OBJ_TYPE&gt;0&lt;/PD_OBJ_TYPE&gt;&lt;MAKERECORD&gt;N&lt;/MAKERECORD&gt;&lt;PD_FILEPT_NO&gt;PO-GY-L1059-Anl&lt;/PD_FILEPT_NO&gt;&lt;/Data&gt;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CE-EXP</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60CB5B7A-4D1B-4452-9281-EA534F753F81}"/>
</file>

<file path=customXml/itemProps2.xml><?xml version="1.0" encoding="utf-8"?>
<ds:datastoreItem xmlns:ds="http://schemas.openxmlformats.org/officeDocument/2006/customXml" ds:itemID="{1C816613-003E-4E74-B3F9-744A95D131E6}"/>
</file>

<file path=customXml/itemProps3.xml><?xml version="1.0" encoding="utf-8"?>
<ds:datastoreItem xmlns:ds="http://schemas.openxmlformats.org/officeDocument/2006/customXml" ds:itemID="{1F8E4AB9-C7FE-437E-805A-0D97D1F45D8E}"/>
</file>

<file path=customXml/itemProps4.xml><?xml version="1.0" encoding="utf-8"?>
<ds:datastoreItem xmlns:ds="http://schemas.openxmlformats.org/officeDocument/2006/customXml" ds:itemID="{84573C05-6971-419C-B190-733BABBC6E50}"/>
</file>

<file path=customXml/itemProps5.xml><?xml version="1.0" encoding="utf-8"?>
<ds:datastoreItem xmlns:ds="http://schemas.openxmlformats.org/officeDocument/2006/customXml" ds:itemID="{58B1262C-FE63-4929-8413-A4C6292E60F6}"/>
</file>

<file path=customXml/itemProps6.xml><?xml version="1.0" encoding="utf-8"?>
<ds:datastoreItem xmlns:ds="http://schemas.openxmlformats.org/officeDocument/2006/customXml" ds:itemID="{7BEBBDC0-43D5-480F-BBCA-2E21E6610218}"/>
</file>

<file path=docProps/app.xml><?xml version="1.0" encoding="utf-8"?>
<Properties xmlns="http://schemas.openxmlformats.org/officeDocument/2006/extended-properties" xmlns:vt="http://schemas.openxmlformats.org/officeDocument/2006/docPropsVTypes">
  <Template>Normal.dotm</Template>
  <TotalTime>913</TotalTime>
  <Pages>27</Pages>
  <Words>9901</Words>
  <Characters>56437</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and Evaluation Arrangements</dc:title>
  <dc:creator>Test</dc:creator>
  <cp:lastModifiedBy>Blanca Torrico</cp:lastModifiedBy>
  <cp:revision>96</cp:revision>
  <cp:lastPrinted>2016-04-22T18:06:00Z</cp:lastPrinted>
  <dcterms:created xsi:type="dcterms:W3CDTF">2016-09-09T17:02:00Z</dcterms:created>
  <dcterms:modified xsi:type="dcterms:W3CDTF">2016-10-13T13:17:00Z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0x01010046CF21643EE8D14686A648AA6DAD089200526A2A841B86854D9AD71FE32BEDD67F</vt:lpwstr>
  </property>
  <property fmtid="{D5CDD505-2E9C-101B-9397-08002B2CF9AE}" pid="5" name="TaxKeywordTaxHTField">
    <vt:lpwstr/>
  </property>
  <property fmtid="{D5CDD505-2E9C-101B-9397-08002B2CF9AE}" pid="6" name="Series Operations IDB">
    <vt:lpwstr>6;#Loan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7;#Project Preparation, Planning and Design|29ca0c72-1fc4-435f-a09c-28585cb5eac9</vt:lpwstr>
  </property>
</Properties>
</file>