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94416" w14:textId="3BF78A72" w:rsidR="0095711B" w:rsidRPr="00FE3368" w:rsidRDefault="00124040" w:rsidP="0011025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3368">
        <w:rPr>
          <w:rFonts w:ascii="Arial" w:hAnsi="Arial" w:cs="Arial"/>
          <w:b/>
          <w:sz w:val="24"/>
          <w:szCs w:val="24"/>
        </w:rPr>
        <w:t>TC</w:t>
      </w:r>
      <w:r w:rsidR="00340BC1" w:rsidRPr="00FE3368">
        <w:rPr>
          <w:rFonts w:ascii="Arial" w:hAnsi="Arial" w:cs="Arial"/>
          <w:b/>
          <w:sz w:val="24"/>
          <w:szCs w:val="24"/>
        </w:rPr>
        <w:t xml:space="preserve"> ABSTRACT</w:t>
      </w:r>
    </w:p>
    <w:p w14:paraId="4545E5D2" w14:textId="77777777" w:rsidR="0011025F" w:rsidRPr="00FE3368" w:rsidRDefault="0011025F" w:rsidP="0011025F">
      <w:pPr>
        <w:pStyle w:val="ListParagraph"/>
        <w:spacing w:before="120" w:after="240"/>
        <w:ind w:left="360"/>
        <w:rPr>
          <w:rFonts w:ascii="Arial" w:hAnsi="Arial" w:cs="Arial"/>
          <w:b/>
        </w:rPr>
      </w:pPr>
    </w:p>
    <w:p w14:paraId="258E7D6F" w14:textId="77777777" w:rsidR="0095711B" w:rsidRPr="00FE3368" w:rsidRDefault="0095711B" w:rsidP="0093010C">
      <w:pPr>
        <w:pStyle w:val="ListParagraph"/>
        <w:numPr>
          <w:ilvl w:val="0"/>
          <w:numId w:val="5"/>
        </w:numPr>
        <w:spacing w:before="120" w:after="240"/>
        <w:rPr>
          <w:rFonts w:ascii="Arial" w:hAnsi="Arial" w:cs="Arial"/>
          <w:b/>
          <w:sz w:val="24"/>
          <w:szCs w:val="24"/>
        </w:rPr>
      </w:pPr>
      <w:r w:rsidRPr="00FE3368">
        <w:rPr>
          <w:rFonts w:ascii="Arial" w:hAnsi="Arial" w:cs="Arial"/>
          <w:b/>
          <w:sz w:val="24"/>
          <w:szCs w:val="24"/>
        </w:rPr>
        <w:t>Basic project data</w:t>
      </w:r>
    </w:p>
    <w:tbl>
      <w:tblPr>
        <w:tblStyle w:val="TableGrid"/>
        <w:tblW w:w="0" w:type="auto"/>
        <w:tblInd w:w="8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90"/>
        <w:gridCol w:w="4855"/>
      </w:tblGrid>
      <w:tr w:rsidR="00F2521F" w:rsidRPr="00D27E66" w14:paraId="0DF2C3D6" w14:textId="77777777" w:rsidTr="00C65286">
        <w:tc>
          <w:tcPr>
            <w:tcW w:w="3690" w:type="dxa"/>
            <w:vAlign w:val="center"/>
          </w:tcPr>
          <w:p w14:paraId="666EE47D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Country/Region:</w:t>
            </w:r>
          </w:p>
        </w:tc>
        <w:tc>
          <w:tcPr>
            <w:tcW w:w="4855" w:type="dxa"/>
            <w:vAlign w:val="center"/>
          </w:tcPr>
          <w:p w14:paraId="47406F18" w14:textId="7B97764B" w:rsidR="00F2521F" w:rsidRPr="00D27E66" w:rsidRDefault="00061F11" w:rsidP="00061F11">
            <w:pPr>
              <w:ind w:left="-14"/>
              <w:rPr>
                <w:rFonts w:ascii="Arial" w:hAnsi="Arial" w:cs="Arial"/>
                <w:lang w:val="es-PR"/>
              </w:rPr>
            </w:pPr>
            <w:r w:rsidRPr="00D27E66">
              <w:rPr>
                <w:rFonts w:ascii="Arial" w:hAnsi="Arial" w:cs="Arial"/>
                <w:lang w:val="es-PR"/>
              </w:rPr>
              <w:t>Regional (</w:t>
            </w:r>
            <w:r w:rsidR="00012CF0" w:rsidRPr="00D27E66">
              <w:rPr>
                <w:rFonts w:ascii="Arial" w:hAnsi="Arial" w:cs="Arial"/>
                <w:lang w:val="es-PR"/>
              </w:rPr>
              <w:t>Colombia</w:t>
            </w:r>
            <w:r w:rsidR="003258FD">
              <w:rPr>
                <w:rFonts w:ascii="Arial" w:hAnsi="Arial" w:cs="Arial"/>
                <w:lang w:val="es-PR"/>
              </w:rPr>
              <w:t xml:space="preserve"> and</w:t>
            </w:r>
            <w:r w:rsidR="00012CF0" w:rsidRPr="00D27E66">
              <w:rPr>
                <w:rFonts w:ascii="Arial" w:hAnsi="Arial" w:cs="Arial"/>
                <w:lang w:val="es-PR"/>
              </w:rPr>
              <w:t xml:space="preserve"> Uruguay</w:t>
            </w:r>
            <w:r w:rsidR="003258FD">
              <w:rPr>
                <w:rFonts w:ascii="Arial" w:hAnsi="Arial" w:cs="Arial"/>
                <w:lang w:val="es-PR"/>
              </w:rPr>
              <w:t>)</w:t>
            </w:r>
          </w:p>
        </w:tc>
      </w:tr>
      <w:tr w:rsidR="00F2521F" w:rsidRPr="00FE3368" w14:paraId="03449ABC" w14:textId="77777777" w:rsidTr="00C65286">
        <w:tc>
          <w:tcPr>
            <w:tcW w:w="3690" w:type="dxa"/>
            <w:vAlign w:val="center"/>
          </w:tcPr>
          <w:p w14:paraId="354FB399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TC Name:</w:t>
            </w:r>
          </w:p>
        </w:tc>
        <w:tc>
          <w:tcPr>
            <w:tcW w:w="4855" w:type="dxa"/>
            <w:vAlign w:val="center"/>
          </w:tcPr>
          <w:p w14:paraId="4DA9B9AA" w14:textId="23BCE33E" w:rsidR="00F2521F" w:rsidRPr="00FE3368" w:rsidRDefault="00364D5E" w:rsidP="00FE3368">
            <w:pPr>
              <w:ind w:left="-14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Case study of N</w:t>
            </w:r>
            <w:r w:rsidR="00352C19" w:rsidRPr="00FE3368">
              <w:rPr>
                <w:rFonts w:ascii="Arial" w:hAnsi="Arial" w:cs="Arial"/>
              </w:rPr>
              <w:t>exus</w:t>
            </w:r>
            <w:r w:rsidRPr="00FE3368">
              <w:rPr>
                <w:rFonts w:ascii="Arial" w:hAnsi="Arial" w:cs="Arial"/>
              </w:rPr>
              <w:t xml:space="preserve"> in Korea and utilization for LAC countries</w:t>
            </w:r>
          </w:p>
        </w:tc>
      </w:tr>
      <w:tr w:rsidR="00F2521F" w:rsidRPr="00FE3368" w14:paraId="517A56A9" w14:textId="77777777" w:rsidTr="00C65286">
        <w:tc>
          <w:tcPr>
            <w:tcW w:w="3690" w:type="dxa"/>
            <w:vAlign w:val="center"/>
          </w:tcPr>
          <w:p w14:paraId="79F0C7F4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TC Number:</w:t>
            </w:r>
          </w:p>
        </w:tc>
        <w:tc>
          <w:tcPr>
            <w:tcW w:w="4855" w:type="dxa"/>
            <w:vAlign w:val="center"/>
          </w:tcPr>
          <w:p w14:paraId="2533DB8C" w14:textId="2066984B" w:rsidR="00F2521F" w:rsidRPr="00FE3368" w:rsidRDefault="00B457B1" w:rsidP="00FE3368">
            <w:pPr>
              <w:ind w:left="-14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RG-T</w:t>
            </w:r>
            <w:r w:rsidR="001D7B26" w:rsidRPr="00FE3368">
              <w:rPr>
                <w:rFonts w:ascii="Arial" w:hAnsi="Arial" w:cs="Arial"/>
              </w:rPr>
              <w:t>3427</w:t>
            </w:r>
          </w:p>
        </w:tc>
      </w:tr>
      <w:tr w:rsidR="00F2521F" w:rsidRPr="00FE3368" w14:paraId="2E0A3C00" w14:textId="77777777" w:rsidTr="00C65286">
        <w:tc>
          <w:tcPr>
            <w:tcW w:w="3690" w:type="dxa"/>
            <w:vAlign w:val="center"/>
          </w:tcPr>
          <w:p w14:paraId="5D5B7233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Team Leader/Members:</w:t>
            </w:r>
          </w:p>
        </w:tc>
        <w:tc>
          <w:tcPr>
            <w:tcW w:w="4855" w:type="dxa"/>
            <w:vAlign w:val="center"/>
          </w:tcPr>
          <w:p w14:paraId="79EA56A0" w14:textId="28EE967F" w:rsidR="003F42CB" w:rsidRPr="00D21D56" w:rsidRDefault="00B457B1" w:rsidP="00D21D56">
            <w:pPr>
              <w:ind w:left="-14"/>
              <w:jc w:val="both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Raul</w:t>
            </w:r>
            <w:r w:rsidR="00506AF0" w:rsidRPr="00FE3368">
              <w:rPr>
                <w:rFonts w:ascii="Arial" w:hAnsi="Arial" w:cs="Arial"/>
              </w:rPr>
              <w:t xml:space="preserve"> Muñoz Castillo</w:t>
            </w:r>
            <w:r w:rsidR="00FE3368">
              <w:rPr>
                <w:rFonts w:ascii="Arial" w:hAnsi="Arial" w:cs="Arial"/>
              </w:rPr>
              <w:t xml:space="preserve">, </w:t>
            </w:r>
            <w:r w:rsidR="00FE3368" w:rsidRPr="00FE3368">
              <w:rPr>
                <w:rFonts w:ascii="Arial" w:hAnsi="Arial" w:cs="Arial"/>
              </w:rPr>
              <w:t>Team Leader</w:t>
            </w:r>
            <w:r w:rsidR="00F7711D" w:rsidRPr="00FE3368">
              <w:rPr>
                <w:rFonts w:ascii="Arial" w:hAnsi="Arial" w:cs="Arial"/>
              </w:rPr>
              <w:t xml:space="preserve"> </w:t>
            </w:r>
            <w:r w:rsidR="00C65286">
              <w:rPr>
                <w:rFonts w:ascii="Arial" w:hAnsi="Arial" w:cs="Arial"/>
              </w:rPr>
              <w:t>(</w:t>
            </w:r>
            <w:r w:rsidR="00F7711D" w:rsidRPr="00FE3368">
              <w:rPr>
                <w:rFonts w:ascii="Arial" w:hAnsi="Arial" w:cs="Arial"/>
              </w:rPr>
              <w:t>INE/WSA)</w:t>
            </w:r>
            <w:r w:rsidR="00FE3368">
              <w:rPr>
                <w:rFonts w:ascii="Arial" w:hAnsi="Arial" w:cs="Arial"/>
              </w:rPr>
              <w:t xml:space="preserve">; </w:t>
            </w:r>
            <w:r w:rsidR="00F7711D" w:rsidRPr="00FE3368">
              <w:rPr>
                <w:rFonts w:ascii="Arial" w:hAnsi="Arial" w:cs="Arial"/>
              </w:rPr>
              <w:t>Byungwoo</w:t>
            </w:r>
            <w:r w:rsidR="00FE3368">
              <w:rPr>
                <w:rFonts w:ascii="Arial" w:hAnsi="Arial" w:cs="Arial"/>
              </w:rPr>
              <w:t xml:space="preserve"> Gil</w:t>
            </w:r>
            <w:r w:rsidR="00F7711D" w:rsidRPr="00FE3368">
              <w:rPr>
                <w:rFonts w:ascii="Arial" w:hAnsi="Arial" w:cs="Arial"/>
              </w:rPr>
              <w:t>, Seulkie Lee</w:t>
            </w:r>
            <w:r w:rsidR="00FE3368">
              <w:rPr>
                <w:rFonts w:ascii="Arial" w:hAnsi="Arial" w:cs="Arial"/>
              </w:rPr>
              <w:t>, Marilyn I. Guerrero (INE/WSA)</w:t>
            </w:r>
            <w:r w:rsidR="00D27E66">
              <w:rPr>
                <w:rFonts w:ascii="Arial" w:hAnsi="Arial" w:cs="Arial"/>
              </w:rPr>
              <w:t>;</w:t>
            </w:r>
            <w:r w:rsidR="00D27E66">
              <w:t xml:space="preserve"> </w:t>
            </w:r>
            <w:r w:rsidR="00D27E66" w:rsidRPr="00D27E66">
              <w:rPr>
                <w:rFonts w:ascii="Arial" w:hAnsi="Arial" w:cs="Arial"/>
              </w:rPr>
              <w:t>and Cesar Negret (LEG/SGO).</w:t>
            </w:r>
          </w:p>
        </w:tc>
      </w:tr>
      <w:tr w:rsidR="00F2521F" w:rsidRPr="00FE3368" w14:paraId="37394F2D" w14:textId="77777777" w:rsidTr="00C65286">
        <w:tc>
          <w:tcPr>
            <w:tcW w:w="3690" w:type="dxa"/>
          </w:tcPr>
          <w:p w14:paraId="59AC99D9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jc w:val="both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Indicate if: Operational Support, Client Support, or Research &amp; Dissemination.</w:t>
            </w:r>
          </w:p>
        </w:tc>
        <w:tc>
          <w:tcPr>
            <w:tcW w:w="4855" w:type="dxa"/>
            <w:vAlign w:val="center"/>
          </w:tcPr>
          <w:p w14:paraId="4D970F78" w14:textId="174F18C9" w:rsidR="00F2521F" w:rsidRPr="00FE3368" w:rsidRDefault="00C65286" w:rsidP="00FE3368">
            <w:pPr>
              <w:ind w:left="-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Client Support</w:t>
            </w:r>
          </w:p>
        </w:tc>
      </w:tr>
      <w:tr w:rsidR="00F2521F" w:rsidRPr="00FE3368" w14:paraId="3B339005" w14:textId="77777777" w:rsidTr="00C65286">
        <w:tc>
          <w:tcPr>
            <w:tcW w:w="3690" w:type="dxa"/>
            <w:vAlign w:val="center"/>
          </w:tcPr>
          <w:p w14:paraId="2C9F505C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Date of TC Abstract:</w:t>
            </w:r>
          </w:p>
        </w:tc>
        <w:tc>
          <w:tcPr>
            <w:tcW w:w="4855" w:type="dxa"/>
            <w:vAlign w:val="center"/>
          </w:tcPr>
          <w:p w14:paraId="76DA992F" w14:textId="5D5C484F" w:rsidR="00F2521F" w:rsidRPr="00FE3368" w:rsidRDefault="00D87E07" w:rsidP="00FE3368">
            <w:pPr>
              <w:ind w:left="-14"/>
              <w:rPr>
                <w:rFonts w:ascii="Arial" w:hAnsi="Arial" w:cs="Arial"/>
              </w:rPr>
            </w:pPr>
            <w:r w:rsidRPr="007E3DD4">
              <w:rPr>
                <w:rFonts w:ascii="Arial" w:hAnsi="Arial" w:cs="Arial"/>
              </w:rPr>
              <w:t>February 2</w:t>
            </w:r>
            <w:r w:rsidRPr="007E3DD4">
              <w:rPr>
                <w:rFonts w:ascii="Arial" w:hAnsi="Arial" w:cs="Arial"/>
                <w:vertAlign w:val="superscript"/>
              </w:rPr>
              <w:t>nd</w:t>
            </w:r>
            <w:r w:rsidR="008E0DC6" w:rsidRPr="007E3DD4">
              <w:rPr>
                <w:rFonts w:ascii="Arial" w:hAnsi="Arial" w:cs="Arial"/>
              </w:rPr>
              <w:t>, 201</w:t>
            </w:r>
            <w:r w:rsidRPr="007E3DD4">
              <w:rPr>
                <w:rFonts w:ascii="Arial" w:hAnsi="Arial" w:cs="Arial"/>
              </w:rPr>
              <w:t>9</w:t>
            </w:r>
          </w:p>
        </w:tc>
      </w:tr>
      <w:tr w:rsidR="00F2521F" w:rsidRPr="00FE3368" w14:paraId="52C8ACC4" w14:textId="77777777" w:rsidTr="00C65286">
        <w:tc>
          <w:tcPr>
            <w:tcW w:w="3690" w:type="dxa"/>
          </w:tcPr>
          <w:p w14:paraId="4428D1AE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jc w:val="both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Beneficiary (countries or entities which are the recipient of the technical assistance):</w:t>
            </w:r>
          </w:p>
        </w:tc>
        <w:tc>
          <w:tcPr>
            <w:tcW w:w="4855" w:type="dxa"/>
            <w:vAlign w:val="center"/>
          </w:tcPr>
          <w:p w14:paraId="6D00CD16" w14:textId="66F71179" w:rsidR="00F2521F" w:rsidRPr="00FE3368" w:rsidRDefault="00C65286" w:rsidP="00FE3368">
            <w:pPr>
              <w:ind w:left="-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Colombia, Uruguay, </w:t>
            </w:r>
            <w:r w:rsidRPr="00C65286">
              <w:rPr>
                <w:rFonts w:ascii="Arial" w:hAnsi="Arial" w:cs="Arial"/>
              </w:rPr>
              <w:t xml:space="preserve">Dominican </w:t>
            </w:r>
            <w:r>
              <w:rPr>
                <w:rFonts w:ascii="Arial" w:hAnsi="Arial" w:cs="Arial"/>
              </w:rPr>
              <w:t>R</w:t>
            </w:r>
            <w:r w:rsidRPr="00C65286">
              <w:rPr>
                <w:rFonts w:ascii="Arial" w:hAnsi="Arial" w:cs="Arial"/>
              </w:rPr>
              <w:t>epublic</w:t>
            </w:r>
          </w:p>
        </w:tc>
      </w:tr>
      <w:tr w:rsidR="00F2521F" w:rsidRPr="00FE3368" w14:paraId="69766D5D" w14:textId="77777777" w:rsidTr="00C65286">
        <w:tc>
          <w:tcPr>
            <w:tcW w:w="3690" w:type="dxa"/>
          </w:tcPr>
          <w:p w14:paraId="7798CB11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jc w:val="both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Executing Agency and contact name</w:t>
            </w:r>
            <w:r w:rsidR="00266F2E" w:rsidRPr="00FE3368">
              <w:rPr>
                <w:rFonts w:ascii="Arial" w:hAnsi="Arial" w:cs="Arial"/>
              </w:rPr>
              <w:t>:</w:t>
            </w:r>
          </w:p>
        </w:tc>
        <w:tc>
          <w:tcPr>
            <w:tcW w:w="4855" w:type="dxa"/>
            <w:vAlign w:val="center"/>
          </w:tcPr>
          <w:p w14:paraId="3BB352A6" w14:textId="77777777" w:rsidR="00F2521F" w:rsidRPr="00FE3368" w:rsidRDefault="00392041" w:rsidP="00FE3368">
            <w:pPr>
              <w:ind w:left="-14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Inter-American Development Bank (IDB) through its Water and Sanitation Division (INE/WSA)</w:t>
            </w:r>
          </w:p>
        </w:tc>
      </w:tr>
      <w:tr w:rsidR="00E21D8D" w:rsidRPr="00FE3368" w14:paraId="389A7AC2" w14:textId="77777777" w:rsidTr="00C65286">
        <w:tc>
          <w:tcPr>
            <w:tcW w:w="3690" w:type="dxa"/>
            <w:vAlign w:val="center"/>
          </w:tcPr>
          <w:p w14:paraId="7F4E786D" w14:textId="77777777" w:rsidR="00E21D8D" w:rsidRPr="00FE3368" w:rsidRDefault="00E21D8D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Donors providing funding</w:t>
            </w:r>
          </w:p>
        </w:tc>
        <w:tc>
          <w:tcPr>
            <w:tcW w:w="4855" w:type="dxa"/>
            <w:vAlign w:val="center"/>
          </w:tcPr>
          <w:p w14:paraId="006EE02B" w14:textId="3011AB22" w:rsidR="00E21D8D" w:rsidRPr="00FE3368" w:rsidRDefault="00F47AF5" w:rsidP="00FE3368">
            <w:pPr>
              <w:ind w:left="-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Korea Poverty Reduction fund (KPR)</w:t>
            </w:r>
          </w:p>
        </w:tc>
      </w:tr>
      <w:tr w:rsidR="00F2521F" w:rsidRPr="00FE3368" w14:paraId="435CED52" w14:textId="77777777" w:rsidTr="00C65286">
        <w:tc>
          <w:tcPr>
            <w:tcW w:w="3690" w:type="dxa"/>
            <w:vAlign w:val="center"/>
          </w:tcPr>
          <w:p w14:paraId="1964339B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IDB Funding Requested:</w:t>
            </w:r>
          </w:p>
        </w:tc>
        <w:tc>
          <w:tcPr>
            <w:tcW w:w="4855" w:type="dxa"/>
            <w:vAlign w:val="center"/>
          </w:tcPr>
          <w:p w14:paraId="341C790E" w14:textId="64745032" w:rsidR="00E21D8D" w:rsidRPr="00FE3368" w:rsidRDefault="00E21D8D" w:rsidP="00FE3368">
            <w:pPr>
              <w:ind w:left="-14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US$</w:t>
            </w:r>
            <w:r w:rsidR="007E3DD4">
              <w:rPr>
                <w:rFonts w:ascii="Arial" w:hAnsi="Arial" w:cs="Arial"/>
              </w:rPr>
              <w:t xml:space="preserve"> </w:t>
            </w:r>
            <w:r w:rsidR="00226CE5" w:rsidRPr="00FE3368">
              <w:rPr>
                <w:rFonts w:ascii="Arial" w:hAnsi="Arial" w:cs="Arial"/>
              </w:rPr>
              <w:t>550</w:t>
            </w:r>
            <w:r w:rsidRPr="00FE3368">
              <w:rPr>
                <w:rFonts w:ascii="Arial" w:hAnsi="Arial" w:cs="Arial"/>
              </w:rPr>
              <w:t>,000</w:t>
            </w:r>
            <w:r w:rsidR="00FE3368">
              <w:rPr>
                <w:rFonts w:ascii="Arial" w:hAnsi="Arial" w:cs="Arial"/>
              </w:rPr>
              <w:t>.00</w:t>
            </w:r>
          </w:p>
        </w:tc>
      </w:tr>
      <w:tr w:rsidR="00F2521F" w:rsidRPr="00FE3368" w14:paraId="6DFC79D3" w14:textId="77777777" w:rsidTr="00C65286">
        <w:tc>
          <w:tcPr>
            <w:tcW w:w="3690" w:type="dxa"/>
            <w:vAlign w:val="center"/>
          </w:tcPr>
          <w:p w14:paraId="5F093775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Local counterpart funding, if any:</w:t>
            </w:r>
          </w:p>
        </w:tc>
        <w:tc>
          <w:tcPr>
            <w:tcW w:w="4855" w:type="dxa"/>
            <w:vAlign w:val="center"/>
          </w:tcPr>
          <w:p w14:paraId="7FA16714" w14:textId="77777777" w:rsidR="00F2521F" w:rsidRPr="00FE3368" w:rsidRDefault="008638C1" w:rsidP="00FE3368">
            <w:pPr>
              <w:ind w:left="-14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N/A</w:t>
            </w:r>
          </w:p>
        </w:tc>
      </w:tr>
      <w:tr w:rsidR="00F2521F" w:rsidRPr="00FE3368" w14:paraId="34502962" w14:textId="77777777" w:rsidTr="00C65286">
        <w:tc>
          <w:tcPr>
            <w:tcW w:w="3690" w:type="dxa"/>
          </w:tcPr>
          <w:p w14:paraId="09DA94C2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Disbursement period (which includes execution period):</w:t>
            </w:r>
          </w:p>
        </w:tc>
        <w:tc>
          <w:tcPr>
            <w:tcW w:w="4855" w:type="dxa"/>
            <w:vAlign w:val="center"/>
          </w:tcPr>
          <w:p w14:paraId="3A7269A8" w14:textId="77777777" w:rsidR="007E3DD4" w:rsidRDefault="007E3DD4" w:rsidP="00FE3368">
            <w:pPr>
              <w:ind w:left="-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Execution: </w:t>
            </w:r>
            <w:r w:rsidR="00D8075C" w:rsidRPr="00FE3368">
              <w:rPr>
                <w:rFonts w:ascii="Arial" w:hAnsi="Arial" w:cs="Arial"/>
              </w:rPr>
              <w:t>24 months</w:t>
            </w:r>
          </w:p>
          <w:p w14:paraId="218988C1" w14:textId="57EFE97B" w:rsidR="00F2521F" w:rsidRPr="00FE3368" w:rsidRDefault="007E3DD4" w:rsidP="007E3DD4">
            <w:pPr>
              <w:ind w:left="-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8638C1" w:rsidRPr="00FE3368">
              <w:rPr>
                <w:rFonts w:ascii="Arial" w:hAnsi="Arial" w:cs="Arial"/>
              </w:rPr>
              <w:t>isbursement</w:t>
            </w:r>
            <w:r>
              <w:rPr>
                <w:rFonts w:ascii="Arial" w:hAnsi="Arial" w:cs="Arial"/>
              </w:rPr>
              <w:t>: 30 months</w:t>
            </w:r>
          </w:p>
        </w:tc>
      </w:tr>
      <w:tr w:rsidR="00F2521F" w:rsidRPr="00FE3368" w14:paraId="0691A501" w14:textId="77777777" w:rsidTr="00C65286">
        <w:tc>
          <w:tcPr>
            <w:tcW w:w="3690" w:type="dxa"/>
          </w:tcPr>
          <w:p w14:paraId="02506335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jc w:val="both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Required start date:</w:t>
            </w:r>
          </w:p>
        </w:tc>
        <w:tc>
          <w:tcPr>
            <w:tcW w:w="4855" w:type="dxa"/>
            <w:vAlign w:val="center"/>
          </w:tcPr>
          <w:p w14:paraId="60FA8A1F" w14:textId="6AF72151" w:rsidR="00F2521F" w:rsidRPr="00FE3368" w:rsidRDefault="008C5066" w:rsidP="00FE3368">
            <w:pPr>
              <w:ind w:left="-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August</w:t>
            </w:r>
            <w:r w:rsidR="007E3DD4" w:rsidRPr="007E3DD4">
              <w:rPr>
                <w:rFonts w:ascii="Arial" w:hAnsi="Arial" w:cs="Arial"/>
              </w:rPr>
              <w:t xml:space="preserve"> </w:t>
            </w:r>
            <w:r w:rsidR="0093029F" w:rsidRPr="007E3DD4">
              <w:rPr>
                <w:rFonts w:ascii="Arial" w:hAnsi="Arial" w:cs="Arial"/>
              </w:rPr>
              <w:t>1</w:t>
            </w:r>
            <w:r w:rsidR="007E3DD4" w:rsidRPr="007E3DD4">
              <w:rPr>
                <w:rFonts w:ascii="Arial" w:hAnsi="Arial" w:cs="Arial"/>
                <w:vertAlign w:val="superscript"/>
              </w:rPr>
              <w:t>st</w:t>
            </w:r>
            <w:r w:rsidR="008638C1" w:rsidRPr="007E3DD4">
              <w:rPr>
                <w:rFonts w:ascii="Arial" w:hAnsi="Arial" w:cs="Arial"/>
              </w:rPr>
              <w:t>, 2019</w:t>
            </w:r>
            <w:bookmarkStart w:id="0" w:name="_GoBack"/>
            <w:bookmarkEnd w:id="0"/>
          </w:p>
        </w:tc>
      </w:tr>
      <w:tr w:rsidR="00F2521F" w:rsidRPr="00FE3368" w14:paraId="2740F816" w14:textId="77777777" w:rsidTr="00C65286">
        <w:tc>
          <w:tcPr>
            <w:tcW w:w="3690" w:type="dxa"/>
          </w:tcPr>
          <w:p w14:paraId="1C73C466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jc w:val="both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Types of consultants (firm or individual consultants):</w:t>
            </w:r>
          </w:p>
        </w:tc>
        <w:tc>
          <w:tcPr>
            <w:tcW w:w="4855" w:type="dxa"/>
            <w:vAlign w:val="center"/>
          </w:tcPr>
          <w:p w14:paraId="204236E7" w14:textId="77777777" w:rsidR="00F2521F" w:rsidRPr="00FE3368" w:rsidRDefault="00A41F8D" w:rsidP="00FE3368">
            <w:pPr>
              <w:ind w:left="-14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Consulting firms</w:t>
            </w:r>
            <w:r w:rsidR="00D45165" w:rsidRPr="00FE3368">
              <w:rPr>
                <w:rFonts w:ascii="Arial" w:hAnsi="Arial" w:cs="Arial"/>
              </w:rPr>
              <w:t xml:space="preserve"> and individual consultants</w:t>
            </w:r>
          </w:p>
        </w:tc>
      </w:tr>
      <w:tr w:rsidR="00F2521F" w:rsidRPr="00FE3368" w14:paraId="604C2818" w14:textId="77777777" w:rsidTr="00C65286">
        <w:tc>
          <w:tcPr>
            <w:tcW w:w="3690" w:type="dxa"/>
          </w:tcPr>
          <w:p w14:paraId="027A385E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jc w:val="both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Prepared by Unit:</w:t>
            </w:r>
          </w:p>
        </w:tc>
        <w:tc>
          <w:tcPr>
            <w:tcW w:w="4855" w:type="dxa"/>
            <w:vAlign w:val="center"/>
          </w:tcPr>
          <w:p w14:paraId="25D10F7E" w14:textId="77777777" w:rsidR="00F2521F" w:rsidRPr="00FE3368" w:rsidRDefault="006E488A" w:rsidP="00FE3368">
            <w:pPr>
              <w:ind w:left="-14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Water and Sanitation Division</w:t>
            </w:r>
            <w:r w:rsidR="00DD5BAA" w:rsidRPr="00FE3368">
              <w:rPr>
                <w:rFonts w:ascii="Arial" w:hAnsi="Arial" w:cs="Arial"/>
              </w:rPr>
              <w:t xml:space="preserve"> (INE/WSA)</w:t>
            </w:r>
          </w:p>
        </w:tc>
      </w:tr>
      <w:tr w:rsidR="00F2521F" w:rsidRPr="00FE3368" w14:paraId="22FD8776" w14:textId="77777777" w:rsidTr="00C65286">
        <w:tc>
          <w:tcPr>
            <w:tcW w:w="3690" w:type="dxa"/>
          </w:tcPr>
          <w:p w14:paraId="64AB10F6" w14:textId="77777777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Unit of Disbursement Responsibility:</w:t>
            </w:r>
          </w:p>
        </w:tc>
        <w:tc>
          <w:tcPr>
            <w:tcW w:w="4855" w:type="dxa"/>
            <w:vAlign w:val="center"/>
          </w:tcPr>
          <w:p w14:paraId="11B68AF5" w14:textId="77777777" w:rsidR="00F2521F" w:rsidRPr="00FE3368" w:rsidRDefault="00DD5BAA" w:rsidP="00FE3368">
            <w:pPr>
              <w:ind w:left="-14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Water and Sanitation Division (INS/WSA)</w:t>
            </w:r>
          </w:p>
        </w:tc>
      </w:tr>
      <w:tr w:rsidR="00F2521F" w:rsidRPr="00FE3368" w14:paraId="4B491491" w14:textId="77777777" w:rsidTr="00C65286">
        <w:tc>
          <w:tcPr>
            <w:tcW w:w="3690" w:type="dxa"/>
          </w:tcPr>
          <w:p w14:paraId="73428504" w14:textId="53EB5CE8" w:rsidR="00F2521F" w:rsidRPr="00FE3368" w:rsidRDefault="00F2521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jc w:val="both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Included in Country Strategy (y/n)</w:t>
            </w:r>
            <w:r w:rsidR="006D173E">
              <w:rPr>
                <w:rFonts w:ascii="Arial" w:hAnsi="Arial" w:cs="Arial"/>
              </w:rPr>
              <w:t>:</w:t>
            </w:r>
          </w:p>
        </w:tc>
        <w:tc>
          <w:tcPr>
            <w:tcW w:w="4855" w:type="dxa"/>
            <w:vAlign w:val="center"/>
          </w:tcPr>
          <w:p w14:paraId="59F5F1C6" w14:textId="77777777" w:rsidR="00F2521F" w:rsidRPr="00FE3368" w:rsidRDefault="00B04AFA" w:rsidP="00FE3368">
            <w:pPr>
              <w:ind w:left="-14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No</w:t>
            </w:r>
          </w:p>
        </w:tc>
      </w:tr>
      <w:tr w:rsidR="0011025F" w:rsidRPr="00FE3368" w14:paraId="68CB0650" w14:textId="77777777" w:rsidTr="00C65286">
        <w:tc>
          <w:tcPr>
            <w:tcW w:w="3690" w:type="dxa"/>
          </w:tcPr>
          <w:p w14:paraId="4DA6DE22" w14:textId="07AEB1E5" w:rsidR="0011025F" w:rsidRPr="00FE3368" w:rsidRDefault="0011025F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jc w:val="both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TC included in CPD (y/n)</w:t>
            </w:r>
          </w:p>
        </w:tc>
        <w:tc>
          <w:tcPr>
            <w:tcW w:w="4855" w:type="dxa"/>
            <w:vAlign w:val="center"/>
          </w:tcPr>
          <w:p w14:paraId="15A4A7EE" w14:textId="77777777" w:rsidR="0011025F" w:rsidRPr="00FE3368" w:rsidRDefault="00B04AFA" w:rsidP="00FE3368">
            <w:pPr>
              <w:ind w:left="-14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No</w:t>
            </w:r>
          </w:p>
        </w:tc>
      </w:tr>
      <w:tr w:rsidR="00F2521F" w:rsidRPr="00FE3368" w14:paraId="0CB1B8B9" w14:textId="77777777" w:rsidTr="00C65286">
        <w:tc>
          <w:tcPr>
            <w:tcW w:w="3690" w:type="dxa"/>
          </w:tcPr>
          <w:p w14:paraId="4FBE1563" w14:textId="77777777" w:rsidR="00F2521F" w:rsidRPr="00FE3368" w:rsidRDefault="00433A55" w:rsidP="00FE3368">
            <w:pPr>
              <w:pStyle w:val="ListParagraph"/>
              <w:numPr>
                <w:ilvl w:val="0"/>
                <w:numId w:val="2"/>
              </w:numPr>
              <w:ind w:left="162" w:hanging="162"/>
              <w:jc w:val="both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Alignment</w:t>
            </w:r>
            <w:r w:rsidR="008C064F" w:rsidRPr="00FE3368">
              <w:rPr>
                <w:rFonts w:ascii="Arial" w:hAnsi="Arial" w:cs="Arial"/>
              </w:rPr>
              <w:t xml:space="preserve"> to the </w:t>
            </w:r>
            <w:r w:rsidR="001548B4" w:rsidRPr="00FE3368">
              <w:rPr>
                <w:rFonts w:ascii="Arial" w:hAnsi="Arial" w:cs="Arial"/>
              </w:rPr>
              <w:t>Update to the Institutional Strategy</w:t>
            </w:r>
            <w:r w:rsidR="007C303D" w:rsidRPr="00FE3368">
              <w:rPr>
                <w:rFonts w:ascii="Arial" w:hAnsi="Arial" w:cs="Arial"/>
              </w:rPr>
              <w:t xml:space="preserve"> 2010-2020</w:t>
            </w:r>
            <w:r w:rsidR="00F2521F" w:rsidRPr="00FE3368">
              <w:rPr>
                <w:rFonts w:ascii="Arial" w:hAnsi="Arial" w:cs="Arial"/>
              </w:rPr>
              <w:t>:</w:t>
            </w:r>
          </w:p>
        </w:tc>
        <w:tc>
          <w:tcPr>
            <w:tcW w:w="4855" w:type="dxa"/>
            <w:vAlign w:val="center"/>
          </w:tcPr>
          <w:p w14:paraId="4A474723" w14:textId="77777777" w:rsidR="00F2521F" w:rsidRPr="00FE3368" w:rsidRDefault="008968AE" w:rsidP="00D21D56">
            <w:pPr>
              <w:ind w:left="-14"/>
              <w:jc w:val="both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Low productivity and innovation (2B.2),</w:t>
            </w:r>
          </w:p>
          <w:p w14:paraId="2B80F131" w14:textId="77777777" w:rsidR="00BF798E" w:rsidRPr="00FE3368" w:rsidRDefault="00C300F8" w:rsidP="00D21D56">
            <w:pPr>
              <w:ind w:left="-14"/>
              <w:jc w:val="both"/>
              <w:rPr>
                <w:rFonts w:ascii="Arial" w:hAnsi="Arial" w:cs="Arial"/>
              </w:rPr>
            </w:pPr>
            <w:r w:rsidRPr="00FE3368">
              <w:rPr>
                <w:rFonts w:ascii="Arial" w:hAnsi="Arial" w:cs="Arial"/>
              </w:rPr>
              <w:t>Strengthening the IDB’s comparative</w:t>
            </w:r>
            <w:r w:rsidR="00BD2305" w:rsidRPr="00FE3368">
              <w:rPr>
                <w:rFonts w:ascii="Arial" w:hAnsi="Arial" w:cs="Arial"/>
              </w:rPr>
              <w:t xml:space="preserve"> </w:t>
            </w:r>
            <w:r w:rsidRPr="00FE3368">
              <w:rPr>
                <w:rFonts w:ascii="Arial" w:hAnsi="Arial" w:cs="Arial"/>
              </w:rPr>
              <w:t xml:space="preserve">advantages to harness catalytic capability </w:t>
            </w:r>
            <w:r w:rsidR="00BD2305" w:rsidRPr="00FE3368">
              <w:rPr>
                <w:rFonts w:ascii="Arial" w:hAnsi="Arial" w:cs="Arial"/>
              </w:rPr>
              <w:t>–</w:t>
            </w:r>
            <w:r w:rsidRPr="00FE3368">
              <w:rPr>
                <w:rFonts w:ascii="Arial" w:hAnsi="Arial" w:cs="Arial"/>
              </w:rPr>
              <w:t xml:space="preserve"> </w:t>
            </w:r>
            <w:r w:rsidR="00BD2305" w:rsidRPr="00FE3368">
              <w:rPr>
                <w:rFonts w:ascii="Arial" w:hAnsi="Arial" w:cs="Arial"/>
              </w:rPr>
              <w:t>Guiding Principle 2: Multi-</w:t>
            </w:r>
            <w:proofErr w:type="spellStart"/>
            <w:r w:rsidR="00BD2305" w:rsidRPr="00FE3368">
              <w:rPr>
                <w:rFonts w:ascii="Arial" w:hAnsi="Arial" w:cs="Arial"/>
              </w:rPr>
              <w:t>sectorality</w:t>
            </w:r>
            <w:proofErr w:type="spellEnd"/>
            <w:r w:rsidR="000743B2" w:rsidRPr="00FE3368">
              <w:rPr>
                <w:rFonts w:ascii="Arial" w:hAnsi="Arial" w:cs="Arial"/>
              </w:rPr>
              <w:t xml:space="preserve"> (4A.2)</w:t>
            </w:r>
          </w:p>
        </w:tc>
      </w:tr>
    </w:tbl>
    <w:p w14:paraId="19085578" w14:textId="77777777" w:rsidR="003125E1" w:rsidRPr="00FE3368" w:rsidRDefault="003125E1" w:rsidP="003125E1">
      <w:pPr>
        <w:pStyle w:val="ListParagraph"/>
        <w:spacing w:before="120" w:after="120"/>
        <w:ind w:left="360"/>
        <w:jc w:val="both"/>
        <w:rPr>
          <w:rFonts w:ascii="Arial" w:hAnsi="Arial" w:cs="Arial"/>
          <w:b/>
        </w:rPr>
      </w:pPr>
    </w:p>
    <w:p w14:paraId="6FC3A246" w14:textId="77777777" w:rsidR="00CF6C4D" w:rsidRPr="00FE3368" w:rsidRDefault="00C43E24" w:rsidP="00155190">
      <w:pPr>
        <w:pStyle w:val="ListParagraph"/>
        <w:numPr>
          <w:ilvl w:val="0"/>
          <w:numId w:val="5"/>
        </w:numPr>
        <w:spacing w:before="240"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E3368">
        <w:rPr>
          <w:rFonts w:ascii="Arial" w:hAnsi="Arial" w:cs="Arial"/>
          <w:b/>
          <w:sz w:val="24"/>
          <w:szCs w:val="24"/>
        </w:rPr>
        <w:t>Objective and Justification</w:t>
      </w:r>
      <w:r w:rsidR="00A12C27" w:rsidRPr="00FE3368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3F3554C9" w14:textId="1CCD3121" w:rsidR="00AC3686" w:rsidRPr="00FE3368" w:rsidRDefault="00BE717B" w:rsidP="00155190">
      <w:pPr>
        <w:pStyle w:val="ListParagraph"/>
        <w:numPr>
          <w:ilvl w:val="1"/>
          <w:numId w:val="5"/>
        </w:numPr>
        <w:spacing w:before="120" w:after="120"/>
        <w:ind w:left="360" w:hanging="540"/>
        <w:jc w:val="both"/>
        <w:rPr>
          <w:rFonts w:ascii="Arial" w:hAnsi="Arial" w:cs="Arial"/>
        </w:rPr>
      </w:pPr>
      <w:r w:rsidRPr="00FE3368">
        <w:rPr>
          <w:rFonts w:ascii="Arial" w:hAnsi="Arial" w:cs="Arial"/>
        </w:rPr>
        <w:t xml:space="preserve">The objective of this TC is </w:t>
      </w:r>
      <w:r w:rsidR="00560306" w:rsidRPr="00FE3368">
        <w:rPr>
          <w:rFonts w:ascii="Arial" w:hAnsi="Arial" w:cs="Arial"/>
        </w:rPr>
        <w:t>to</w:t>
      </w:r>
      <w:r w:rsidR="00AC3686" w:rsidRPr="00FE3368">
        <w:rPr>
          <w:rFonts w:ascii="Arial" w:hAnsi="Arial" w:cs="Arial"/>
        </w:rPr>
        <w:t xml:space="preserve"> contribute</w:t>
      </w:r>
      <w:r w:rsidR="00096D88" w:rsidRPr="00FE3368">
        <w:rPr>
          <w:rFonts w:ascii="Arial" w:hAnsi="Arial" w:cs="Arial"/>
        </w:rPr>
        <w:t xml:space="preserve"> an</w:t>
      </w:r>
      <w:r w:rsidR="00AC3686" w:rsidRPr="00FE3368">
        <w:rPr>
          <w:rFonts w:ascii="Arial" w:hAnsi="Arial" w:cs="Arial"/>
        </w:rPr>
        <w:t xml:space="preserve"> </w:t>
      </w:r>
      <w:r w:rsidR="00096D88" w:rsidRPr="00FE3368">
        <w:rPr>
          <w:rFonts w:ascii="Arial" w:hAnsi="Arial" w:cs="Arial"/>
        </w:rPr>
        <w:t xml:space="preserve">efficient </w:t>
      </w:r>
      <w:r w:rsidR="00D731DE" w:rsidRPr="00FE3368">
        <w:rPr>
          <w:rFonts w:ascii="Arial" w:hAnsi="Arial" w:cs="Arial"/>
        </w:rPr>
        <w:t xml:space="preserve">planning and </w:t>
      </w:r>
      <w:r w:rsidR="00E807DA" w:rsidRPr="00FE3368">
        <w:rPr>
          <w:rFonts w:ascii="Arial" w:hAnsi="Arial" w:cs="Arial"/>
        </w:rPr>
        <w:t>integrated</w:t>
      </w:r>
      <w:r w:rsidR="00E76D2F" w:rsidRPr="00FE3368">
        <w:rPr>
          <w:rFonts w:ascii="Arial" w:hAnsi="Arial" w:cs="Arial"/>
        </w:rPr>
        <w:t xml:space="preserve"> </w:t>
      </w:r>
      <w:r w:rsidR="00D731DE" w:rsidRPr="00FE3368">
        <w:rPr>
          <w:rFonts w:ascii="Arial" w:hAnsi="Arial" w:cs="Arial"/>
        </w:rPr>
        <w:t>management of</w:t>
      </w:r>
      <w:r w:rsidR="00555C03" w:rsidRPr="00FE3368">
        <w:rPr>
          <w:rFonts w:ascii="Arial" w:hAnsi="Arial" w:cs="Arial"/>
        </w:rPr>
        <w:t xml:space="preserve"> water, energy, food</w:t>
      </w:r>
      <w:r w:rsidR="00D731DE" w:rsidRPr="00FE3368">
        <w:rPr>
          <w:rFonts w:ascii="Arial" w:hAnsi="Arial" w:cs="Arial"/>
        </w:rPr>
        <w:t xml:space="preserve"> resources</w:t>
      </w:r>
      <w:r w:rsidR="00A74B4C" w:rsidRPr="00FE3368">
        <w:rPr>
          <w:rFonts w:ascii="Arial" w:hAnsi="Arial" w:cs="Arial"/>
        </w:rPr>
        <w:t xml:space="preserve"> </w:t>
      </w:r>
      <w:r w:rsidR="003E49F6" w:rsidRPr="00FE3368">
        <w:rPr>
          <w:rFonts w:ascii="Arial" w:hAnsi="Arial" w:cs="Arial"/>
        </w:rPr>
        <w:t>in</w:t>
      </w:r>
      <w:r w:rsidR="00A74B4C" w:rsidRPr="00FE3368">
        <w:rPr>
          <w:rFonts w:ascii="Arial" w:hAnsi="Arial" w:cs="Arial"/>
        </w:rPr>
        <w:t xml:space="preserve"> LAC countries</w:t>
      </w:r>
      <w:r w:rsidR="00AD7889" w:rsidRPr="00FE3368">
        <w:rPr>
          <w:rFonts w:ascii="Arial" w:hAnsi="Arial" w:cs="Arial"/>
        </w:rPr>
        <w:t xml:space="preserve"> to ensure water and food security, sustainable agriculture, and energy production </w:t>
      </w:r>
      <w:r w:rsidR="003E49F6" w:rsidRPr="00FE3368">
        <w:rPr>
          <w:rFonts w:ascii="Arial" w:hAnsi="Arial" w:cs="Arial"/>
        </w:rPr>
        <w:t xml:space="preserve">by </w:t>
      </w:r>
      <w:r w:rsidR="00D3516A" w:rsidRPr="00FE3368">
        <w:rPr>
          <w:rFonts w:ascii="Arial" w:hAnsi="Arial" w:cs="Arial"/>
        </w:rPr>
        <w:t xml:space="preserve">applying </w:t>
      </w:r>
      <w:r w:rsidR="00351671" w:rsidRPr="00FE3368">
        <w:rPr>
          <w:rFonts w:ascii="Arial" w:hAnsi="Arial" w:cs="Arial"/>
        </w:rPr>
        <w:t>the Nexus cases</w:t>
      </w:r>
      <w:r w:rsidR="00B70BF5" w:rsidRPr="00FE3368">
        <w:rPr>
          <w:rFonts w:ascii="Arial" w:hAnsi="Arial" w:cs="Arial"/>
        </w:rPr>
        <w:t xml:space="preserve"> </w:t>
      </w:r>
      <w:r w:rsidR="00351671" w:rsidRPr="00FE3368">
        <w:rPr>
          <w:rFonts w:ascii="Arial" w:hAnsi="Arial" w:cs="Arial"/>
        </w:rPr>
        <w:t>of Korea</w:t>
      </w:r>
      <w:r w:rsidR="00593D38" w:rsidRPr="00FE3368">
        <w:rPr>
          <w:rFonts w:ascii="Arial" w:hAnsi="Arial" w:cs="Arial"/>
        </w:rPr>
        <w:t xml:space="preserve"> </w:t>
      </w:r>
      <w:r w:rsidR="00BC21E0" w:rsidRPr="00FE3368">
        <w:rPr>
          <w:rFonts w:ascii="Arial" w:hAnsi="Arial" w:cs="Arial"/>
        </w:rPr>
        <w:t xml:space="preserve">such as </w:t>
      </w:r>
      <w:r w:rsidR="0015309F" w:rsidRPr="00FE3368">
        <w:rPr>
          <w:rFonts w:ascii="Arial" w:hAnsi="Arial" w:cs="Arial"/>
        </w:rPr>
        <w:t>multipurpose</w:t>
      </w:r>
      <w:r w:rsidR="000F1D54" w:rsidRPr="00FE3368">
        <w:rPr>
          <w:rFonts w:ascii="Arial" w:hAnsi="Arial" w:cs="Arial"/>
        </w:rPr>
        <w:t xml:space="preserve"> dams and</w:t>
      </w:r>
      <w:r w:rsidR="00C9058D" w:rsidRPr="00FE3368">
        <w:rPr>
          <w:rFonts w:ascii="Arial" w:hAnsi="Arial" w:cs="Arial"/>
        </w:rPr>
        <w:t xml:space="preserve"> </w:t>
      </w:r>
      <w:r w:rsidR="009F36C5" w:rsidRPr="00FE3368">
        <w:rPr>
          <w:rFonts w:ascii="Arial" w:hAnsi="Arial" w:cs="Arial"/>
        </w:rPr>
        <w:t>floating photovoltaic</w:t>
      </w:r>
      <w:r w:rsidR="005810D5" w:rsidRPr="00FE3368">
        <w:rPr>
          <w:rFonts w:ascii="Arial" w:hAnsi="Arial" w:cs="Arial"/>
        </w:rPr>
        <w:t xml:space="preserve"> </w:t>
      </w:r>
      <w:r w:rsidR="00C67FB9" w:rsidRPr="00FE3368">
        <w:rPr>
          <w:rFonts w:ascii="Arial" w:hAnsi="Arial" w:cs="Arial"/>
        </w:rPr>
        <w:t>power plants</w:t>
      </w:r>
      <w:r w:rsidR="00593D38" w:rsidRPr="00FE3368">
        <w:rPr>
          <w:rFonts w:ascii="Arial" w:hAnsi="Arial" w:cs="Arial"/>
        </w:rPr>
        <w:t>.</w:t>
      </w:r>
    </w:p>
    <w:p w14:paraId="7C027882" w14:textId="77777777" w:rsidR="00013AD7" w:rsidRPr="00FE3368" w:rsidRDefault="00013AD7" w:rsidP="00155190">
      <w:pPr>
        <w:pStyle w:val="ListParagraph"/>
        <w:spacing w:before="120" w:after="120"/>
        <w:ind w:left="360"/>
        <w:jc w:val="both"/>
        <w:rPr>
          <w:rFonts w:ascii="Arial" w:hAnsi="Arial" w:cs="Arial"/>
        </w:rPr>
      </w:pPr>
    </w:p>
    <w:p w14:paraId="7CA3C6BD" w14:textId="0262B302" w:rsidR="00D21D56" w:rsidRPr="00D21D56" w:rsidRDefault="00F91B0A" w:rsidP="00D21D56">
      <w:pPr>
        <w:pStyle w:val="ListParagraph"/>
        <w:numPr>
          <w:ilvl w:val="1"/>
          <w:numId w:val="5"/>
        </w:numPr>
        <w:spacing w:before="120" w:after="120"/>
        <w:ind w:left="360" w:hanging="540"/>
        <w:jc w:val="both"/>
        <w:rPr>
          <w:rFonts w:ascii="Arial" w:hAnsi="Arial" w:cs="Arial"/>
        </w:rPr>
      </w:pPr>
      <w:r w:rsidRPr="00FE3368">
        <w:rPr>
          <w:rFonts w:ascii="Arial" w:hAnsi="Arial" w:cs="Arial"/>
        </w:rPr>
        <w:t>Water, energy and food are</w:t>
      </w:r>
      <w:r w:rsidR="00413B3C" w:rsidRPr="00FE3368">
        <w:rPr>
          <w:rFonts w:ascii="Arial" w:hAnsi="Arial" w:cs="Arial"/>
        </w:rPr>
        <w:t xml:space="preserve"> indispensable </w:t>
      </w:r>
      <w:r w:rsidRPr="00FE3368">
        <w:rPr>
          <w:rFonts w:ascii="Arial" w:hAnsi="Arial" w:cs="Arial"/>
        </w:rPr>
        <w:t>resources for</w:t>
      </w:r>
      <w:r w:rsidR="005B7BA4" w:rsidRPr="00FE3368">
        <w:rPr>
          <w:rFonts w:ascii="Arial" w:hAnsi="Arial" w:cs="Arial"/>
        </w:rPr>
        <w:t xml:space="preserve"> the </w:t>
      </w:r>
      <w:r w:rsidR="00923C9A" w:rsidRPr="00FE3368">
        <w:rPr>
          <w:rFonts w:ascii="Arial" w:hAnsi="Arial" w:cs="Arial"/>
        </w:rPr>
        <w:t>life</w:t>
      </w:r>
      <w:r w:rsidR="005B7BA4" w:rsidRPr="00FE3368">
        <w:rPr>
          <w:rFonts w:ascii="Arial" w:hAnsi="Arial" w:cs="Arial"/>
        </w:rPr>
        <w:t xml:space="preserve"> of</w:t>
      </w:r>
      <w:r w:rsidR="00E4745B" w:rsidRPr="00FE3368">
        <w:rPr>
          <w:rFonts w:ascii="Arial" w:hAnsi="Arial" w:cs="Arial"/>
        </w:rPr>
        <w:t xml:space="preserve"> </w:t>
      </w:r>
      <w:r w:rsidR="00923C9A" w:rsidRPr="00FE3368">
        <w:rPr>
          <w:rFonts w:ascii="Arial" w:hAnsi="Arial" w:cs="Arial"/>
        </w:rPr>
        <w:t>people</w:t>
      </w:r>
      <w:r w:rsidR="004C3E40" w:rsidRPr="00FE3368">
        <w:rPr>
          <w:rFonts w:ascii="Arial" w:hAnsi="Arial" w:cs="Arial"/>
        </w:rPr>
        <w:t>.</w:t>
      </w:r>
      <w:r w:rsidR="00F00375" w:rsidRPr="00FE3368">
        <w:rPr>
          <w:rFonts w:ascii="Arial" w:hAnsi="Arial" w:cs="Arial"/>
        </w:rPr>
        <w:t xml:space="preserve"> </w:t>
      </w:r>
      <w:r w:rsidR="006161B1" w:rsidRPr="00FE3368">
        <w:rPr>
          <w:rFonts w:ascii="Arial" w:hAnsi="Arial" w:cs="Arial"/>
        </w:rPr>
        <w:t>The</w:t>
      </w:r>
      <w:r w:rsidR="006E7D7D" w:rsidRPr="00FE3368">
        <w:rPr>
          <w:rFonts w:ascii="Arial" w:hAnsi="Arial" w:cs="Arial"/>
        </w:rPr>
        <w:t>se</w:t>
      </w:r>
      <w:r w:rsidR="004008B2" w:rsidRPr="00FE3368">
        <w:rPr>
          <w:rFonts w:ascii="Arial" w:hAnsi="Arial" w:cs="Arial"/>
        </w:rPr>
        <w:t xml:space="preserve"> three </w:t>
      </w:r>
      <w:r w:rsidR="001142CB" w:rsidRPr="00FE3368">
        <w:rPr>
          <w:rFonts w:ascii="Arial" w:hAnsi="Arial" w:cs="Arial"/>
        </w:rPr>
        <w:t>resource</w:t>
      </w:r>
      <w:r w:rsidR="004008B2" w:rsidRPr="00FE3368">
        <w:rPr>
          <w:rFonts w:ascii="Arial" w:hAnsi="Arial" w:cs="Arial"/>
        </w:rPr>
        <w:t>s,</w:t>
      </w:r>
      <w:r w:rsidR="006C55AF" w:rsidRPr="00FE3368">
        <w:rPr>
          <w:rFonts w:ascii="Arial" w:hAnsi="Arial" w:cs="Arial"/>
        </w:rPr>
        <w:t xml:space="preserve"> </w:t>
      </w:r>
      <w:r w:rsidR="00C6131E" w:rsidRPr="00FE3368">
        <w:rPr>
          <w:rFonts w:ascii="Arial" w:hAnsi="Arial" w:cs="Arial"/>
        </w:rPr>
        <w:t xml:space="preserve">known </w:t>
      </w:r>
      <w:r w:rsidR="00446924" w:rsidRPr="00FE3368">
        <w:rPr>
          <w:rFonts w:ascii="Arial" w:hAnsi="Arial" w:cs="Arial"/>
        </w:rPr>
        <w:t>for</w:t>
      </w:r>
      <w:r w:rsidR="00C6131E" w:rsidRPr="00FE3368">
        <w:rPr>
          <w:rFonts w:ascii="Arial" w:hAnsi="Arial" w:cs="Arial"/>
        </w:rPr>
        <w:t xml:space="preserve"> the</w:t>
      </w:r>
      <w:r w:rsidR="004008B2" w:rsidRPr="00FE3368">
        <w:rPr>
          <w:rFonts w:ascii="Arial" w:hAnsi="Arial" w:cs="Arial"/>
        </w:rPr>
        <w:t xml:space="preserve"> Water-Energy-Food</w:t>
      </w:r>
      <w:r w:rsidR="00B66AF4" w:rsidRPr="00FE3368">
        <w:rPr>
          <w:rFonts w:ascii="Arial" w:hAnsi="Arial" w:cs="Arial"/>
        </w:rPr>
        <w:t xml:space="preserve"> N</w:t>
      </w:r>
      <w:r w:rsidR="00C42124" w:rsidRPr="00FE3368">
        <w:rPr>
          <w:rFonts w:ascii="Arial" w:hAnsi="Arial" w:cs="Arial"/>
        </w:rPr>
        <w:t>exus</w:t>
      </w:r>
      <w:r w:rsidR="00CF5DDE" w:rsidRPr="00FE3368">
        <w:rPr>
          <w:rFonts w:ascii="Arial" w:hAnsi="Arial" w:cs="Arial"/>
        </w:rPr>
        <w:t xml:space="preserve"> </w:t>
      </w:r>
      <w:r w:rsidR="002B6287" w:rsidRPr="00FE3368">
        <w:rPr>
          <w:rFonts w:ascii="Arial" w:hAnsi="Arial" w:cs="Arial"/>
        </w:rPr>
        <w:t>for their close interaction</w:t>
      </w:r>
      <w:r w:rsidR="004008B2" w:rsidRPr="00FE3368">
        <w:rPr>
          <w:rFonts w:ascii="Arial" w:hAnsi="Arial" w:cs="Arial"/>
        </w:rPr>
        <w:t>,</w:t>
      </w:r>
      <w:r w:rsidR="00D41AC9" w:rsidRPr="00FE3368">
        <w:rPr>
          <w:rFonts w:ascii="Arial" w:hAnsi="Arial" w:cs="Arial"/>
        </w:rPr>
        <w:t xml:space="preserve"> </w:t>
      </w:r>
      <w:proofErr w:type="gramStart"/>
      <w:r w:rsidR="0040279F" w:rsidRPr="00FE3368">
        <w:rPr>
          <w:rFonts w:ascii="Arial" w:hAnsi="Arial" w:cs="Arial"/>
        </w:rPr>
        <w:t>are</w:t>
      </w:r>
      <w:proofErr w:type="gramEnd"/>
      <w:r w:rsidR="0040279F" w:rsidRPr="00FE3368">
        <w:rPr>
          <w:rFonts w:ascii="Arial" w:hAnsi="Arial" w:cs="Arial"/>
        </w:rPr>
        <w:t xml:space="preserve"> </w:t>
      </w:r>
      <w:r w:rsidR="0040279F" w:rsidRPr="00FE3368">
        <w:rPr>
          <w:rFonts w:ascii="Arial" w:hAnsi="Arial" w:cs="Arial"/>
        </w:rPr>
        <w:lastRenderedPageBreak/>
        <w:t>inextricably linked</w:t>
      </w:r>
      <w:r w:rsidR="00D946E1" w:rsidRPr="00FE3368">
        <w:rPr>
          <w:rFonts w:ascii="Arial" w:hAnsi="Arial" w:cs="Arial"/>
        </w:rPr>
        <w:t xml:space="preserve"> </w:t>
      </w:r>
      <w:r w:rsidR="00216703" w:rsidRPr="00FE3368">
        <w:rPr>
          <w:rFonts w:ascii="Arial" w:hAnsi="Arial" w:cs="Arial"/>
        </w:rPr>
        <w:t xml:space="preserve">each other </w:t>
      </w:r>
      <w:r w:rsidR="0005327C" w:rsidRPr="00FE3368">
        <w:rPr>
          <w:rFonts w:ascii="Arial" w:hAnsi="Arial" w:cs="Arial"/>
        </w:rPr>
        <w:t xml:space="preserve">that </w:t>
      </w:r>
      <w:r w:rsidR="001A7500" w:rsidRPr="00FE3368">
        <w:rPr>
          <w:rFonts w:ascii="Arial" w:hAnsi="Arial" w:cs="Arial"/>
        </w:rPr>
        <w:t>they</w:t>
      </w:r>
      <w:r w:rsidR="008A5FCF" w:rsidRPr="00FE3368">
        <w:rPr>
          <w:rFonts w:ascii="Arial" w:hAnsi="Arial" w:cs="Arial"/>
        </w:rPr>
        <w:t xml:space="preserve"> always </w:t>
      </w:r>
      <w:r w:rsidR="009F010B" w:rsidRPr="00FE3368">
        <w:rPr>
          <w:rFonts w:ascii="Arial" w:hAnsi="Arial" w:cs="Arial"/>
        </w:rPr>
        <w:t>require a suitabl</w:t>
      </w:r>
      <w:r w:rsidR="005F6A48" w:rsidRPr="00FE3368">
        <w:rPr>
          <w:rFonts w:ascii="Arial" w:hAnsi="Arial" w:cs="Arial"/>
        </w:rPr>
        <w:t>y integrated approach to ensure</w:t>
      </w:r>
      <w:r w:rsidR="00C92AB4" w:rsidRPr="00FE3368">
        <w:rPr>
          <w:rFonts w:ascii="Arial" w:hAnsi="Arial" w:cs="Arial"/>
        </w:rPr>
        <w:t xml:space="preserve"> resource </w:t>
      </w:r>
      <w:r w:rsidR="005359C5" w:rsidRPr="00FE3368">
        <w:rPr>
          <w:rFonts w:ascii="Arial" w:hAnsi="Arial" w:cs="Arial"/>
        </w:rPr>
        <w:t>s</w:t>
      </w:r>
      <w:r w:rsidR="00C92AB4" w:rsidRPr="00FE3368">
        <w:rPr>
          <w:rFonts w:ascii="Arial" w:hAnsi="Arial" w:cs="Arial"/>
        </w:rPr>
        <w:t>ecurity</w:t>
      </w:r>
      <w:r w:rsidR="0029057C" w:rsidRPr="00FE3368">
        <w:rPr>
          <w:rFonts w:ascii="Arial" w:hAnsi="Arial" w:cs="Arial"/>
        </w:rPr>
        <w:t>.</w:t>
      </w:r>
      <w:r w:rsidR="001A7500" w:rsidRPr="00FE3368">
        <w:rPr>
          <w:rFonts w:ascii="Arial" w:hAnsi="Arial" w:cs="Arial"/>
        </w:rPr>
        <w:t xml:space="preserve"> </w:t>
      </w:r>
      <w:r w:rsidR="00875BC8" w:rsidRPr="00FE3368">
        <w:rPr>
          <w:rFonts w:ascii="Arial" w:hAnsi="Arial" w:cs="Arial"/>
        </w:rPr>
        <w:t>According to the FAO</w:t>
      </w:r>
      <w:r w:rsidR="00CD023A" w:rsidRPr="00FE3368">
        <w:rPr>
          <w:rFonts w:ascii="Arial" w:hAnsi="Arial" w:cs="Arial"/>
        </w:rPr>
        <w:t>,</w:t>
      </w:r>
      <w:r w:rsidR="00530583" w:rsidRPr="00FE3368">
        <w:rPr>
          <w:rFonts w:ascii="Arial" w:hAnsi="Arial" w:cs="Arial"/>
        </w:rPr>
        <w:t xml:space="preserve"> </w:t>
      </w:r>
      <w:r w:rsidR="005D2371" w:rsidRPr="00FE3368">
        <w:rPr>
          <w:rFonts w:ascii="Arial" w:hAnsi="Arial" w:cs="Arial"/>
        </w:rPr>
        <w:t>agriculture accounts for 70</w:t>
      </w:r>
      <w:r w:rsidR="00D21D56">
        <w:rPr>
          <w:rFonts w:ascii="Arial" w:hAnsi="Arial" w:cs="Arial"/>
        </w:rPr>
        <w:t>%</w:t>
      </w:r>
      <w:r w:rsidR="005D2371" w:rsidRPr="00FE3368">
        <w:rPr>
          <w:rFonts w:ascii="Arial" w:hAnsi="Arial" w:cs="Arial"/>
        </w:rPr>
        <w:t xml:space="preserve"> of total global freshwater withdraw</w:t>
      </w:r>
      <w:r w:rsidR="00F20EE7" w:rsidRPr="00FE3368">
        <w:rPr>
          <w:rFonts w:ascii="Arial" w:hAnsi="Arial" w:cs="Arial"/>
        </w:rPr>
        <w:t xml:space="preserve">als </w:t>
      </w:r>
      <w:r w:rsidR="00C52FB8" w:rsidRPr="00FE3368">
        <w:rPr>
          <w:rFonts w:ascii="Arial" w:hAnsi="Arial" w:cs="Arial"/>
        </w:rPr>
        <w:t>making it the largest user of water</w:t>
      </w:r>
      <w:r w:rsidR="00BC0ADF" w:rsidRPr="00FE3368">
        <w:rPr>
          <w:rStyle w:val="FootnoteReference"/>
          <w:rFonts w:ascii="Arial" w:hAnsi="Arial" w:cs="Arial"/>
        </w:rPr>
        <w:footnoteReference w:id="1"/>
      </w:r>
      <w:r w:rsidR="00C52FB8" w:rsidRPr="00FE3368">
        <w:rPr>
          <w:rFonts w:ascii="Arial" w:hAnsi="Arial" w:cs="Arial"/>
        </w:rPr>
        <w:t>.</w:t>
      </w:r>
      <w:r w:rsidR="00FA51EA" w:rsidRPr="00FE3368">
        <w:rPr>
          <w:rFonts w:ascii="Arial" w:hAnsi="Arial" w:cs="Arial"/>
        </w:rPr>
        <w:t xml:space="preserve"> </w:t>
      </w:r>
      <w:r w:rsidR="00137827" w:rsidRPr="00FE3368">
        <w:rPr>
          <w:rFonts w:ascii="Arial" w:hAnsi="Arial" w:cs="Arial"/>
        </w:rPr>
        <w:t xml:space="preserve">In the case of </w:t>
      </w:r>
      <w:r w:rsidR="00D52579" w:rsidRPr="00FE3368">
        <w:rPr>
          <w:rFonts w:ascii="Arial" w:hAnsi="Arial" w:cs="Arial"/>
        </w:rPr>
        <w:t>industrial water withdrawals, almost 75</w:t>
      </w:r>
      <w:r w:rsidR="00D21D56">
        <w:rPr>
          <w:rFonts w:ascii="Arial" w:hAnsi="Arial" w:cs="Arial"/>
        </w:rPr>
        <w:t>%</w:t>
      </w:r>
      <w:r w:rsidR="008D7677" w:rsidRPr="00FE3368">
        <w:rPr>
          <w:rFonts w:ascii="Arial" w:hAnsi="Arial" w:cs="Arial"/>
        </w:rPr>
        <w:t xml:space="preserve"> of them</w:t>
      </w:r>
      <w:r w:rsidR="00E771ED" w:rsidRPr="00FE3368">
        <w:rPr>
          <w:rFonts w:ascii="Arial" w:hAnsi="Arial" w:cs="Arial"/>
        </w:rPr>
        <w:t xml:space="preserve"> are used for energy production</w:t>
      </w:r>
      <w:r w:rsidR="00555250" w:rsidRPr="00FE3368">
        <w:rPr>
          <w:rFonts w:ascii="Arial" w:hAnsi="Arial" w:cs="Arial"/>
        </w:rPr>
        <w:t>.</w:t>
      </w:r>
      <w:r w:rsidR="00E771ED" w:rsidRPr="00FE3368">
        <w:rPr>
          <w:rStyle w:val="FootnoteReference"/>
          <w:rFonts w:ascii="Arial" w:hAnsi="Arial" w:cs="Arial"/>
        </w:rPr>
        <w:footnoteReference w:id="2"/>
      </w:r>
      <w:r w:rsidR="00A3463F" w:rsidRPr="00FE3368">
        <w:rPr>
          <w:rFonts w:ascii="Arial" w:hAnsi="Arial" w:cs="Arial"/>
        </w:rPr>
        <w:t xml:space="preserve"> Also,</w:t>
      </w:r>
      <w:r w:rsidR="00AD20C7" w:rsidRPr="00FE3368">
        <w:rPr>
          <w:rFonts w:ascii="Arial" w:hAnsi="Arial" w:cs="Arial"/>
        </w:rPr>
        <w:t xml:space="preserve"> </w:t>
      </w:r>
      <w:r w:rsidR="00A3463F" w:rsidRPr="00FE3368">
        <w:rPr>
          <w:rFonts w:ascii="Arial" w:hAnsi="Arial" w:cs="Arial"/>
        </w:rPr>
        <w:t>t</w:t>
      </w:r>
      <w:r w:rsidR="00AD20C7" w:rsidRPr="00FE3368">
        <w:rPr>
          <w:rFonts w:ascii="Arial" w:hAnsi="Arial" w:cs="Arial"/>
        </w:rPr>
        <w:t xml:space="preserve">he food production and </w:t>
      </w:r>
      <w:r w:rsidR="00AB3A30" w:rsidRPr="00FE3368">
        <w:rPr>
          <w:rFonts w:ascii="Arial" w:hAnsi="Arial" w:cs="Arial"/>
        </w:rPr>
        <w:t xml:space="preserve">its </w:t>
      </w:r>
      <w:r w:rsidR="00AD20C7" w:rsidRPr="00FE3368">
        <w:rPr>
          <w:rFonts w:ascii="Arial" w:hAnsi="Arial" w:cs="Arial"/>
        </w:rPr>
        <w:t xml:space="preserve">supply chain </w:t>
      </w:r>
      <w:r w:rsidR="003B367D" w:rsidRPr="00FE3368">
        <w:rPr>
          <w:rFonts w:ascii="Arial" w:hAnsi="Arial" w:cs="Arial"/>
        </w:rPr>
        <w:t xml:space="preserve">are known to </w:t>
      </w:r>
      <w:r w:rsidR="005639EC" w:rsidRPr="00FE3368">
        <w:rPr>
          <w:rFonts w:ascii="Arial" w:hAnsi="Arial" w:cs="Arial"/>
        </w:rPr>
        <w:t>contribute</w:t>
      </w:r>
      <w:r w:rsidR="003B367D" w:rsidRPr="00FE3368">
        <w:rPr>
          <w:rFonts w:ascii="Arial" w:hAnsi="Arial" w:cs="Arial"/>
        </w:rPr>
        <w:t xml:space="preserve"> </w:t>
      </w:r>
      <w:r w:rsidR="00AD20C7" w:rsidRPr="00FE3368">
        <w:rPr>
          <w:rFonts w:ascii="Arial" w:hAnsi="Arial" w:cs="Arial"/>
        </w:rPr>
        <w:t>30</w:t>
      </w:r>
      <w:r w:rsidR="00D21D56">
        <w:rPr>
          <w:rFonts w:ascii="Arial" w:hAnsi="Arial" w:cs="Arial"/>
        </w:rPr>
        <w:t>%</w:t>
      </w:r>
      <w:r w:rsidR="00AD20C7" w:rsidRPr="00FE3368">
        <w:rPr>
          <w:rFonts w:ascii="Arial" w:hAnsi="Arial" w:cs="Arial"/>
        </w:rPr>
        <w:t xml:space="preserve"> of total global energy</w:t>
      </w:r>
      <w:r w:rsidR="005639EC" w:rsidRPr="00FE3368">
        <w:rPr>
          <w:rFonts w:ascii="Arial" w:hAnsi="Arial" w:cs="Arial"/>
        </w:rPr>
        <w:t xml:space="preserve"> consumption</w:t>
      </w:r>
      <w:r w:rsidR="008D2588" w:rsidRPr="00FE3368">
        <w:rPr>
          <w:rFonts w:ascii="Arial" w:hAnsi="Arial" w:cs="Arial"/>
          <w:vertAlign w:val="superscript"/>
        </w:rPr>
        <w:footnoteReference w:id="3"/>
      </w:r>
      <w:r w:rsidR="00AD20C7" w:rsidRPr="00FE3368">
        <w:rPr>
          <w:rFonts w:ascii="Arial" w:hAnsi="Arial" w:cs="Arial"/>
        </w:rPr>
        <w:t>.</w:t>
      </w:r>
      <w:r w:rsidR="00340ADB" w:rsidRPr="00FE3368">
        <w:rPr>
          <w:rFonts w:ascii="Arial" w:hAnsi="Arial" w:cs="Arial"/>
        </w:rPr>
        <w:t xml:space="preserve"> I</w:t>
      </w:r>
      <w:r w:rsidR="008932BE" w:rsidRPr="00FE3368">
        <w:rPr>
          <w:rFonts w:ascii="Arial" w:hAnsi="Arial" w:cs="Arial"/>
        </w:rPr>
        <w:t>t is important to note that</w:t>
      </w:r>
      <w:r w:rsidR="00454A4C" w:rsidRPr="00FE3368">
        <w:rPr>
          <w:rFonts w:ascii="Arial" w:hAnsi="Arial" w:cs="Arial"/>
        </w:rPr>
        <w:t xml:space="preserve"> </w:t>
      </w:r>
      <w:r w:rsidR="00E460F8" w:rsidRPr="00FE3368">
        <w:rPr>
          <w:rFonts w:ascii="Arial" w:hAnsi="Arial" w:cs="Arial"/>
        </w:rPr>
        <w:t>th</w:t>
      </w:r>
      <w:r w:rsidR="001B11F5" w:rsidRPr="00FE3368">
        <w:rPr>
          <w:rFonts w:ascii="Arial" w:hAnsi="Arial" w:cs="Arial"/>
        </w:rPr>
        <w:t>is</w:t>
      </w:r>
      <w:r w:rsidR="00E460F8" w:rsidRPr="00FE3368">
        <w:rPr>
          <w:rFonts w:ascii="Arial" w:hAnsi="Arial" w:cs="Arial"/>
        </w:rPr>
        <w:t xml:space="preserve"> </w:t>
      </w:r>
      <w:r w:rsidR="00715EF0" w:rsidRPr="00FE3368">
        <w:rPr>
          <w:rFonts w:ascii="Arial" w:hAnsi="Arial" w:cs="Arial"/>
        </w:rPr>
        <w:t xml:space="preserve">inextricable linkage </w:t>
      </w:r>
      <w:r w:rsidR="00721A4B" w:rsidRPr="00FE3368">
        <w:rPr>
          <w:rFonts w:ascii="Arial" w:hAnsi="Arial" w:cs="Arial"/>
        </w:rPr>
        <w:t>among</w:t>
      </w:r>
      <w:r w:rsidR="00715EF0" w:rsidRPr="00FE3368">
        <w:rPr>
          <w:rFonts w:ascii="Arial" w:hAnsi="Arial" w:cs="Arial"/>
        </w:rPr>
        <w:t xml:space="preserve"> </w:t>
      </w:r>
      <w:r w:rsidR="004E0D44" w:rsidRPr="00FE3368">
        <w:rPr>
          <w:rFonts w:ascii="Arial" w:hAnsi="Arial" w:cs="Arial"/>
        </w:rPr>
        <w:t>water, energy and food</w:t>
      </w:r>
      <w:r w:rsidR="00715EF0" w:rsidRPr="00FE3368">
        <w:rPr>
          <w:rFonts w:ascii="Arial" w:hAnsi="Arial" w:cs="Arial"/>
        </w:rPr>
        <w:t xml:space="preserve"> is expected to be </w:t>
      </w:r>
      <w:r w:rsidR="00E126EC" w:rsidRPr="00FE3368">
        <w:rPr>
          <w:rFonts w:ascii="Arial" w:hAnsi="Arial" w:cs="Arial"/>
        </w:rPr>
        <w:t xml:space="preserve">more </w:t>
      </w:r>
      <w:r w:rsidR="0005300D" w:rsidRPr="00FE3368">
        <w:rPr>
          <w:rFonts w:ascii="Arial" w:hAnsi="Arial" w:cs="Arial"/>
        </w:rPr>
        <w:t xml:space="preserve">significant </w:t>
      </w:r>
      <w:r w:rsidR="00715EF0" w:rsidRPr="00FE3368">
        <w:rPr>
          <w:rFonts w:ascii="Arial" w:hAnsi="Arial" w:cs="Arial"/>
        </w:rPr>
        <w:t>in the fu</w:t>
      </w:r>
      <w:r w:rsidR="00F1290B" w:rsidRPr="00FE3368">
        <w:rPr>
          <w:rFonts w:ascii="Arial" w:hAnsi="Arial" w:cs="Arial"/>
        </w:rPr>
        <w:t>ture</w:t>
      </w:r>
      <w:r w:rsidR="00ED7838" w:rsidRPr="00FE3368">
        <w:rPr>
          <w:rFonts w:ascii="Arial" w:hAnsi="Arial" w:cs="Arial"/>
        </w:rPr>
        <w:t xml:space="preserve"> </w:t>
      </w:r>
      <w:r w:rsidR="00E51F2C" w:rsidRPr="00FE3368">
        <w:rPr>
          <w:rFonts w:ascii="Arial" w:hAnsi="Arial" w:cs="Arial"/>
        </w:rPr>
        <w:t xml:space="preserve">due to </w:t>
      </w:r>
      <w:r w:rsidR="00E53E92" w:rsidRPr="00FE3368">
        <w:rPr>
          <w:rFonts w:ascii="Arial" w:hAnsi="Arial" w:cs="Arial"/>
        </w:rPr>
        <w:t>global climate change, population growth, and</w:t>
      </w:r>
      <w:r w:rsidR="002D5D51" w:rsidRPr="00FE3368">
        <w:rPr>
          <w:rFonts w:ascii="Arial" w:hAnsi="Arial" w:cs="Arial"/>
        </w:rPr>
        <w:t xml:space="preserve"> rapid</w:t>
      </w:r>
      <w:r w:rsidR="004136D7" w:rsidRPr="00FE3368">
        <w:rPr>
          <w:rFonts w:ascii="Arial" w:hAnsi="Arial" w:cs="Arial"/>
        </w:rPr>
        <w:t xml:space="preserve"> urbanization.</w:t>
      </w:r>
    </w:p>
    <w:p w14:paraId="34860406" w14:textId="77777777" w:rsidR="00D21D56" w:rsidRDefault="00D21D56" w:rsidP="00D21D56">
      <w:pPr>
        <w:pStyle w:val="ListParagraph"/>
        <w:spacing w:before="120" w:after="120"/>
        <w:ind w:left="360"/>
        <w:jc w:val="both"/>
        <w:rPr>
          <w:rFonts w:ascii="Arial" w:hAnsi="Arial" w:cs="Arial"/>
        </w:rPr>
      </w:pPr>
    </w:p>
    <w:p w14:paraId="07A7F6E9" w14:textId="1559E3D4" w:rsidR="002517A0" w:rsidRDefault="00B660A9" w:rsidP="00155190">
      <w:pPr>
        <w:pStyle w:val="ListParagraph"/>
        <w:numPr>
          <w:ilvl w:val="1"/>
          <w:numId w:val="5"/>
        </w:numPr>
        <w:spacing w:before="120" w:after="120"/>
        <w:ind w:left="360" w:hanging="540"/>
        <w:jc w:val="both"/>
        <w:rPr>
          <w:rFonts w:ascii="Arial" w:hAnsi="Arial" w:cs="Arial"/>
        </w:rPr>
      </w:pPr>
      <w:r w:rsidRPr="00FE3368">
        <w:rPr>
          <w:rFonts w:ascii="Arial" w:hAnsi="Arial" w:cs="Arial"/>
        </w:rPr>
        <w:t xml:space="preserve">Although people have known from </w:t>
      </w:r>
      <w:proofErr w:type="gramStart"/>
      <w:r w:rsidRPr="00FE3368">
        <w:rPr>
          <w:rFonts w:ascii="Arial" w:hAnsi="Arial" w:cs="Arial"/>
        </w:rPr>
        <w:t>past experience</w:t>
      </w:r>
      <w:proofErr w:type="gramEnd"/>
      <w:r w:rsidRPr="00FE3368">
        <w:rPr>
          <w:rFonts w:ascii="Arial" w:hAnsi="Arial" w:cs="Arial"/>
        </w:rPr>
        <w:t xml:space="preserve"> that </w:t>
      </w:r>
      <w:r w:rsidR="00C12201" w:rsidRPr="00FE3368">
        <w:rPr>
          <w:rFonts w:ascii="Arial" w:hAnsi="Arial" w:cs="Arial"/>
        </w:rPr>
        <w:t>the resources</w:t>
      </w:r>
      <w:r w:rsidRPr="00FE3368">
        <w:rPr>
          <w:rFonts w:ascii="Arial" w:hAnsi="Arial" w:cs="Arial"/>
        </w:rPr>
        <w:t xml:space="preserve"> are closely related</w:t>
      </w:r>
      <w:r w:rsidR="00711282" w:rsidRPr="00FE3368">
        <w:rPr>
          <w:rFonts w:ascii="Arial" w:hAnsi="Arial" w:cs="Arial"/>
        </w:rPr>
        <w:t xml:space="preserve"> </w:t>
      </w:r>
      <w:r w:rsidR="00A97CFF" w:rsidRPr="00FE3368">
        <w:rPr>
          <w:rFonts w:ascii="Arial" w:hAnsi="Arial" w:cs="Arial"/>
        </w:rPr>
        <w:t xml:space="preserve">to </w:t>
      </w:r>
      <w:r w:rsidR="00711282" w:rsidRPr="00FE3368">
        <w:rPr>
          <w:rFonts w:ascii="Arial" w:hAnsi="Arial" w:cs="Arial"/>
        </w:rPr>
        <w:t>each other</w:t>
      </w:r>
      <w:r w:rsidRPr="00FE3368">
        <w:rPr>
          <w:rFonts w:ascii="Arial" w:hAnsi="Arial" w:cs="Arial"/>
        </w:rPr>
        <w:t xml:space="preserve">, it was more common </w:t>
      </w:r>
      <w:r w:rsidR="000853B8" w:rsidRPr="00FE3368">
        <w:rPr>
          <w:rFonts w:ascii="Arial" w:hAnsi="Arial" w:cs="Arial"/>
        </w:rPr>
        <w:t xml:space="preserve">for both </w:t>
      </w:r>
      <w:r w:rsidR="00A97CFF" w:rsidRPr="00FE3368">
        <w:rPr>
          <w:rFonts w:ascii="Arial" w:hAnsi="Arial" w:cs="Arial"/>
        </w:rPr>
        <w:t xml:space="preserve">the </w:t>
      </w:r>
      <w:r w:rsidR="000853B8" w:rsidRPr="00FE3368">
        <w:rPr>
          <w:rFonts w:ascii="Arial" w:hAnsi="Arial" w:cs="Arial"/>
        </w:rPr>
        <w:t>public and private sector</w:t>
      </w:r>
      <w:r w:rsidR="00A137F6" w:rsidRPr="00FE3368">
        <w:rPr>
          <w:rFonts w:ascii="Arial" w:hAnsi="Arial" w:cs="Arial"/>
        </w:rPr>
        <w:t>s</w:t>
      </w:r>
      <w:r w:rsidR="000853B8" w:rsidRPr="00FE3368">
        <w:rPr>
          <w:rFonts w:ascii="Arial" w:hAnsi="Arial" w:cs="Arial"/>
        </w:rPr>
        <w:t xml:space="preserve"> </w:t>
      </w:r>
      <w:r w:rsidRPr="00FE3368">
        <w:rPr>
          <w:rFonts w:ascii="Arial" w:hAnsi="Arial" w:cs="Arial"/>
        </w:rPr>
        <w:t>to</w:t>
      </w:r>
      <w:r w:rsidR="00B50447" w:rsidRPr="00FE3368">
        <w:rPr>
          <w:rFonts w:ascii="Arial" w:hAnsi="Arial" w:cs="Arial"/>
        </w:rPr>
        <w:t xml:space="preserve"> manage</w:t>
      </w:r>
      <w:r w:rsidR="00774BBC" w:rsidRPr="00FE3368">
        <w:rPr>
          <w:rFonts w:ascii="Arial" w:hAnsi="Arial" w:cs="Arial"/>
        </w:rPr>
        <w:t xml:space="preserve"> </w:t>
      </w:r>
      <w:r w:rsidR="00B50447" w:rsidRPr="00FE3368">
        <w:rPr>
          <w:rFonts w:ascii="Arial" w:hAnsi="Arial" w:cs="Arial"/>
        </w:rPr>
        <w:t xml:space="preserve">them </w:t>
      </w:r>
      <w:r w:rsidR="008E7734" w:rsidRPr="00FE3368">
        <w:rPr>
          <w:rFonts w:ascii="Arial" w:hAnsi="Arial" w:cs="Arial"/>
        </w:rPr>
        <w:t>separately</w:t>
      </w:r>
      <w:r w:rsidR="00E01C24" w:rsidRPr="00FE3368">
        <w:rPr>
          <w:rFonts w:ascii="Arial" w:hAnsi="Arial" w:cs="Arial"/>
        </w:rPr>
        <w:t xml:space="preserve">. </w:t>
      </w:r>
      <w:r w:rsidR="00261F63" w:rsidRPr="00FE3368">
        <w:rPr>
          <w:rFonts w:ascii="Arial" w:hAnsi="Arial" w:cs="Arial"/>
        </w:rPr>
        <w:t xml:space="preserve">However, </w:t>
      </w:r>
      <w:r w:rsidR="008840CA" w:rsidRPr="00FE3368">
        <w:rPr>
          <w:rFonts w:ascii="Arial" w:hAnsi="Arial" w:cs="Arial"/>
        </w:rPr>
        <w:t>a</w:t>
      </w:r>
      <w:r w:rsidR="00643450" w:rsidRPr="00FE3368">
        <w:rPr>
          <w:rFonts w:ascii="Arial" w:hAnsi="Arial" w:cs="Arial"/>
        </w:rPr>
        <w:t xml:space="preserve">s population growth and industrialization </w:t>
      </w:r>
      <w:r w:rsidR="008923C5" w:rsidRPr="00FE3368">
        <w:rPr>
          <w:rFonts w:ascii="Arial" w:hAnsi="Arial" w:cs="Arial"/>
        </w:rPr>
        <w:t xml:space="preserve">drastically </w:t>
      </w:r>
      <w:r w:rsidR="00643450" w:rsidRPr="00FE3368">
        <w:rPr>
          <w:rFonts w:ascii="Arial" w:hAnsi="Arial" w:cs="Arial"/>
        </w:rPr>
        <w:t>increase the use of resources,</w:t>
      </w:r>
      <w:r w:rsidR="008C5841" w:rsidRPr="00FE3368">
        <w:rPr>
          <w:rFonts w:ascii="Arial" w:hAnsi="Arial" w:cs="Arial"/>
        </w:rPr>
        <w:t xml:space="preserve"> </w:t>
      </w:r>
      <w:r w:rsidR="00261F63" w:rsidRPr="00FE3368">
        <w:rPr>
          <w:rFonts w:ascii="Arial" w:hAnsi="Arial" w:cs="Arial"/>
        </w:rPr>
        <w:t>t</w:t>
      </w:r>
      <w:r w:rsidR="004304F2" w:rsidRPr="00FE3368">
        <w:rPr>
          <w:rFonts w:ascii="Arial" w:hAnsi="Arial" w:cs="Arial"/>
        </w:rPr>
        <w:t>he</w:t>
      </w:r>
      <w:r w:rsidR="007B5001" w:rsidRPr="00FE3368">
        <w:rPr>
          <w:rFonts w:ascii="Arial" w:hAnsi="Arial" w:cs="Arial"/>
        </w:rPr>
        <w:t xml:space="preserve"> lack of </w:t>
      </w:r>
      <w:r w:rsidR="008E56A6" w:rsidRPr="00FE3368">
        <w:rPr>
          <w:rFonts w:ascii="Arial" w:hAnsi="Arial" w:cs="Arial"/>
        </w:rPr>
        <w:t>integrated management</w:t>
      </w:r>
      <w:r w:rsidR="00771781" w:rsidRPr="00FE3368">
        <w:rPr>
          <w:rFonts w:ascii="Arial" w:hAnsi="Arial" w:cs="Arial"/>
        </w:rPr>
        <w:t xml:space="preserve"> has</w:t>
      </w:r>
      <w:r w:rsidR="00B93EB5" w:rsidRPr="00FE3368">
        <w:rPr>
          <w:rFonts w:ascii="Arial" w:hAnsi="Arial" w:cs="Arial"/>
        </w:rPr>
        <w:t xml:space="preserve"> begun to cause seriou</w:t>
      </w:r>
      <w:r w:rsidR="0094408D" w:rsidRPr="00FE3368">
        <w:rPr>
          <w:rFonts w:ascii="Arial" w:hAnsi="Arial" w:cs="Arial"/>
        </w:rPr>
        <w:t>s inefficienc</w:t>
      </w:r>
      <w:r w:rsidR="00852F47" w:rsidRPr="00FE3368">
        <w:rPr>
          <w:rFonts w:ascii="Arial" w:hAnsi="Arial" w:cs="Arial"/>
        </w:rPr>
        <w:t>ies</w:t>
      </w:r>
      <w:r w:rsidR="0094408D" w:rsidRPr="00FE3368">
        <w:rPr>
          <w:rFonts w:ascii="Arial" w:hAnsi="Arial" w:cs="Arial"/>
        </w:rPr>
        <w:t xml:space="preserve"> </w:t>
      </w:r>
      <w:r w:rsidR="00462C7B" w:rsidRPr="00FE3368">
        <w:rPr>
          <w:rFonts w:ascii="Arial" w:hAnsi="Arial" w:cs="Arial"/>
        </w:rPr>
        <w:t xml:space="preserve">and conflicts </w:t>
      </w:r>
      <w:r w:rsidR="0094408D" w:rsidRPr="00FE3368">
        <w:rPr>
          <w:rFonts w:ascii="Arial" w:hAnsi="Arial" w:cs="Arial"/>
        </w:rPr>
        <w:t xml:space="preserve">in </w:t>
      </w:r>
      <w:r w:rsidR="00771781" w:rsidRPr="00FE3368">
        <w:rPr>
          <w:rFonts w:ascii="Arial" w:hAnsi="Arial" w:cs="Arial"/>
        </w:rPr>
        <w:t>resource</w:t>
      </w:r>
      <w:r w:rsidR="0094408D" w:rsidRPr="00FE3368">
        <w:rPr>
          <w:rFonts w:ascii="Arial" w:hAnsi="Arial" w:cs="Arial"/>
        </w:rPr>
        <w:t xml:space="preserve"> management </w:t>
      </w:r>
      <w:r w:rsidR="00BD61B8" w:rsidRPr="00FE3368">
        <w:rPr>
          <w:rFonts w:ascii="Arial" w:hAnsi="Arial" w:cs="Arial"/>
        </w:rPr>
        <w:t>across all industr</w:t>
      </w:r>
      <w:r w:rsidR="00F53FBA" w:rsidRPr="00FE3368">
        <w:rPr>
          <w:rFonts w:ascii="Arial" w:hAnsi="Arial" w:cs="Arial"/>
        </w:rPr>
        <w:t>ies</w:t>
      </w:r>
      <w:r w:rsidR="00462C7B" w:rsidRPr="00FE3368">
        <w:rPr>
          <w:rFonts w:ascii="Arial" w:hAnsi="Arial" w:cs="Arial"/>
        </w:rPr>
        <w:t xml:space="preserve">. </w:t>
      </w:r>
      <w:r w:rsidR="00852F47" w:rsidRPr="00FE3368">
        <w:rPr>
          <w:rFonts w:ascii="Arial" w:hAnsi="Arial" w:cs="Arial"/>
        </w:rPr>
        <w:t>In the case of</w:t>
      </w:r>
      <w:r w:rsidR="000B3735" w:rsidRPr="00FE3368">
        <w:rPr>
          <w:rFonts w:ascii="Arial" w:hAnsi="Arial" w:cs="Arial"/>
        </w:rPr>
        <w:t xml:space="preserve"> </w:t>
      </w:r>
      <w:r w:rsidR="00852F47" w:rsidRPr="00FE3368">
        <w:rPr>
          <w:rFonts w:ascii="Arial" w:hAnsi="Arial" w:cs="Arial"/>
        </w:rPr>
        <w:t xml:space="preserve">LAC </w:t>
      </w:r>
      <w:r w:rsidR="000B3735" w:rsidRPr="00FE3368">
        <w:rPr>
          <w:rFonts w:ascii="Arial" w:hAnsi="Arial" w:cs="Arial"/>
        </w:rPr>
        <w:t>countries</w:t>
      </w:r>
      <w:r w:rsidR="00852F47" w:rsidRPr="00FE3368">
        <w:rPr>
          <w:rFonts w:ascii="Arial" w:hAnsi="Arial" w:cs="Arial"/>
        </w:rPr>
        <w:t xml:space="preserve">, </w:t>
      </w:r>
      <w:r w:rsidR="0082634F" w:rsidRPr="00FE3368">
        <w:rPr>
          <w:rFonts w:ascii="Arial" w:hAnsi="Arial" w:cs="Arial"/>
        </w:rPr>
        <w:t xml:space="preserve">the unevenly distributed </w:t>
      </w:r>
      <w:r w:rsidR="009B37EB" w:rsidRPr="00FE3368">
        <w:rPr>
          <w:rFonts w:ascii="Arial" w:hAnsi="Arial" w:cs="Arial"/>
        </w:rPr>
        <w:t xml:space="preserve">water resources </w:t>
      </w:r>
      <w:r w:rsidR="006C55B2" w:rsidRPr="00FE3368">
        <w:rPr>
          <w:rFonts w:ascii="Arial" w:hAnsi="Arial" w:cs="Arial"/>
        </w:rPr>
        <w:t>and</w:t>
      </w:r>
      <w:r w:rsidR="00F03181" w:rsidRPr="00FE3368">
        <w:rPr>
          <w:rFonts w:ascii="Arial" w:hAnsi="Arial" w:cs="Arial"/>
        </w:rPr>
        <w:t xml:space="preserve"> the </w:t>
      </w:r>
      <w:r w:rsidR="004F2ABF" w:rsidRPr="00FE3368">
        <w:rPr>
          <w:rFonts w:ascii="Arial" w:hAnsi="Arial" w:cs="Arial"/>
        </w:rPr>
        <w:t>high dependency on hydropower and</w:t>
      </w:r>
      <w:r w:rsidR="004234CD" w:rsidRPr="00FE3368">
        <w:rPr>
          <w:rFonts w:ascii="Arial" w:hAnsi="Arial" w:cs="Arial"/>
        </w:rPr>
        <w:t>/or</w:t>
      </w:r>
      <w:r w:rsidR="004F2ABF" w:rsidRPr="00FE3368">
        <w:rPr>
          <w:rFonts w:ascii="Arial" w:hAnsi="Arial" w:cs="Arial"/>
        </w:rPr>
        <w:t xml:space="preserve"> </w:t>
      </w:r>
      <w:r w:rsidR="003444F1" w:rsidRPr="00FE3368">
        <w:rPr>
          <w:rFonts w:ascii="Arial" w:hAnsi="Arial" w:cs="Arial"/>
        </w:rPr>
        <w:t>agriculture industry further highlight the importance of integrated resource management applying the Nexus concept.</w:t>
      </w:r>
      <w:r w:rsidR="008A1364" w:rsidRPr="00FE3368">
        <w:rPr>
          <w:rFonts w:ascii="Arial" w:hAnsi="Arial" w:cs="Arial"/>
        </w:rPr>
        <w:t xml:space="preserve"> </w:t>
      </w:r>
      <w:r w:rsidR="00215105" w:rsidRPr="00FE3368">
        <w:rPr>
          <w:rFonts w:ascii="Arial" w:hAnsi="Arial" w:cs="Arial"/>
        </w:rPr>
        <w:t>For example, the Peruvian Amazon basin contains 97.5% of the country’s surface water</w:t>
      </w:r>
      <w:r w:rsidR="00D0088B" w:rsidRPr="00FE3368">
        <w:rPr>
          <w:rFonts w:ascii="Arial" w:hAnsi="Arial" w:cs="Arial"/>
        </w:rPr>
        <w:t xml:space="preserve"> </w:t>
      </w:r>
      <w:r w:rsidR="00230F43" w:rsidRPr="00FE3368">
        <w:rPr>
          <w:rFonts w:ascii="Arial" w:hAnsi="Arial" w:cs="Arial"/>
        </w:rPr>
        <w:t>while</w:t>
      </w:r>
      <w:r w:rsidR="00D667CD" w:rsidRPr="00FE3368">
        <w:rPr>
          <w:rFonts w:ascii="Arial" w:hAnsi="Arial" w:cs="Arial"/>
        </w:rPr>
        <w:t xml:space="preserve"> it covers</w:t>
      </w:r>
      <w:r w:rsidR="00D0088B" w:rsidRPr="00FE3368">
        <w:rPr>
          <w:rFonts w:ascii="Arial" w:hAnsi="Arial" w:cs="Arial"/>
        </w:rPr>
        <w:t xml:space="preserve"> only 30% </w:t>
      </w:r>
      <w:r w:rsidR="00D667CD" w:rsidRPr="00FE3368">
        <w:rPr>
          <w:rFonts w:ascii="Arial" w:hAnsi="Arial" w:cs="Arial"/>
        </w:rPr>
        <w:t>of the population</w:t>
      </w:r>
      <w:r w:rsidR="00555250" w:rsidRPr="00FE3368">
        <w:rPr>
          <w:rFonts w:ascii="Arial" w:hAnsi="Arial" w:cs="Arial"/>
        </w:rPr>
        <w:t>.</w:t>
      </w:r>
      <w:r w:rsidR="00AF1449" w:rsidRPr="00FE3368">
        <w:rPr>
          <w:rStyle w:val="FootnoteReference"/>
          <w:rFonts w:ascii="Arial" w:hAnsi="Arial" w:cs="Arial"/>
        </w:rPr>
        <w:footnoteReference w:id="4"/>
      </w:r>
      <w:r w:rsidR="004676B4" w:rsidRPr="00FE3368">
        <w:rPr>
          <w:rFonts w:ascii="Arial" w:hAnsi="Arial" w:cs="Arial"/>
        </w:rPr>
        <w:t xml:space="preserve"> </w:t>
      </w:r>
      <w:r w:rsidR="00317117" w:rsidRPr="00FE3368">
        <w:rPr>
          <w:rFonts w:ascii="Arial" w:hAnsi="Arial" w:cs="Arial"/>
        </w:rPr>
        <w:t xml:space="preserve">In </w:t>
      </w:r>
      <w:r w:rsidR="00510543" w:rsidRPr="00FE3368">
        <w:rPr>
          <w:rFonts w:ascii="Arial" w:hAnsi="Arial" w:cs="Arial"/>
        </w:rPr>
        <w:t>Paraguay</w:t>
      </w:r>
      <w:r w:rsidR="00317117" w:rsidRPr="00FE3368">
        <w:rPr>
          <w:rFonts w:ascii="Arial" w:hAnsi="Arial" w:cs="Arial"/>
        </w:rPr>
        <w:t xml:space="preserve">, </w:t>
      </w:r>
      <w:r w:rsidR="00910034" w:rsidRPr="00FE3368">
        <w:rPr>
          <w:rFonts w:ascii="Arial" w:hAnsi="Arial" w:cs="Arial"/>
        </w:rPr>
        <w:t>a single</w:t>
      </w:r>
      <w:r w:rsidR="00F64CAC" w:rsidRPr="00FE3368">
        <w:rPr>
          <w:rFonts w:ascii="Arial" w:hAnsi="Arial" w:cs="Arial"/>
        </w:rPr>
        <w:t xml:space="preserve"> </w:t>
      </w:r>
      <w:r w:rsidR="006D0345" w:rsidRPr="00FE3368">
        <w:rPr>
          <w:rFonts w:ascii="Arial" w:hAnsi="Arial" w:cs="Arial"/>
        </w:rPr>
        <w:t>hydropower plant</w:t>
      </w:r>
      <w:r w:rsidR="00C17260" w:rsidRPr="00FE3368">
        <w:rPr>
          <w:rFonts w:ascii="Arial" w:hAnsi="Arial" w:cs="Arial"/>
        </w:rPr>
        <w:t xml:space="preserve"> </w:t>
      </w:r>
      <w:r w:rsidR="00910034" w:rsidRPr="00FE3368">
        <w:rPr>
          <w:rFonts w:ascii="Arial" w:hAnsi="Arial" w:cs="Arial"/>
        </w:rPr>
        <w:t>provide</w:t>
      </w:r>
      <w:r w:rsidR="00CD2048" w:rsidRPr="00FE3368">
        <w:rPr>
          <w:rFonts w:ascii="Arial" w:hAnsi="Arial" w:cs="Arial"/>
        </w:rPr>
        <w:t xml:space="preserve">s over </w:t>
      </w:r>
      <w:r w:rsidR="006F6989" w:rsidRPr="00FE3368">
        <w:rPr>
          <w:rFonts w:ascii="Arial" w:hAnsi="Arial" w:cs="Arial"/>
        </w:rPr>
        <w:t>99</w:t>
      </w:r>
      <w:r w:rsidR="006D0345" w:rsidRPr="00FE3368">
        <w:rPr>
          <w:rFonts w:ascii="Arial" w:hAnsi="Arial" w:cs="Arial"/>
        </w:rPr>
        <w:t>%</w:t>
      </w:r>
      <w:r w:rsidR="00C17260" w:rsidRPr="00FE3368">
        <w:rPr>
          <w:rFonts w:ascii="Arial" w:hAnsi="Arial" w:cs="Arial"/>
        </w:rPr>
        <w:t xml:space="preserve"> of</w:t>
      </w:r>
      <w:r w:rsidR="00D3599D" w:rsidRPr="00FE3368">
        <w:rPr>
          <w:rFonts w:ascii="Arial" w:hAnsi="Arial" w:cs="Arial"/>
        </w:rPr>
        <w:t xml:space="preserve"> the</w:t>
      </w:r>
      <w:r w:rsidR="00D2693B" w:rsidRPr="00FE3368">
        <w:rPr>
          <w:rFonts w:ascii="Arial" w:hAnsi="Arial" w:cs="Arial"/>
        </w:rPr>
        <w:t xml:space="preserve"> country’s</w:t>
      </w:r>
      <w:r w:rsidR="00C17260" w:rsidRPr="00FE3368">
        <w:rPr>
          <w:rFonts w:ascii="Arial" w:hAnsi="Arial" w:cs="Arial"/>
        </w:rPr>
        <w:t xml:space="preserve"> </w:t>
      </w:r>
      <w:r w:rsidR="00D2693B" w:rsidRPr="00FE3368">
        <w:rPr>
          <w:rFonts w:ascii="Arial" w:hAnsi="Arial" w:cs="Arial"/>
        </w:rPr>
        <w:t>electricity</w:t>
      </w:r>
      <w:r w:rsidR="00C17260" w:rsidRPr="00FE3368">
        <w:rPr>
          <w:rFonts w:ascii="Arial" w:hAnsi="Arial" w:cs="Arial"/>
        </w:rPr>
        <w:t xml:space="preserve"> generation</w:t>
      </w:r>
      <w:r w:rsidR="008868CD" w:rsidRPr="00FE3368">
        <w:rPr>
          <w:rStyle w:val="FootnoteReference"/>
          <w:rFonts w:ascii="Arial" w:hAnsi="Arial" w:cs="Arial"/>
        </w:rPr>
        <w:footnoteReference w:id="5"/>
      </w:r>
      <w:r w:rsidR="00D2693B" w:rsidRPr="00FE3368">
        <w:rPr>
          <w:rFonts w:ascii="Arial" w:hAnsi="Arial" w:cs="Arial"/>
        </w:rPr>
        <w:t xml:space="preserve"> </w:t>
      </w:r>
      <w:r w:rsidR="006C35D8" w:rsidRPr="00FE3368">
        <w:rPr>
          <w:rFonts w:ascii="Arial" w:hAnsi="Arial" w:cs="Arial"/>
        </w:rPr>
        <w:t xml:space="preserve">and the share of agriculture in GDP </w:t>
      </w:r>
      <w:r w:rsidR="00033BA4" w:rsidRPr="00FE3368">
        <w:rPr>
          <w:rFonts w:ascii="Arial" w:hAnsi="Arial" w:cs="Arial"/>
        </w:rPr>
        <w:t>is almost</w:t>
      </w:r>
      <w:r w:rsidR="008A51A6" w:rsidRPr="00FE3368">
        <w:rPr>
          <w:rFonts w:ascii="Arial" w:hAnsi="Arial" w:cs="Arial"/>
        </w:rPr>
        <w:t xml:space="preserve"> </w:t>
      </w:r>
      <w:r w:rsidR="0038076C" w:rsidRPr="00FE3368">
        <w:rPr>
          <w:rFonts w:ascii="Arial" w:hAnsi="Arial" w:cs="Arial"/>
        </w:rPr>
        <w:t>18</w:t>
      </w:r>
      <w:r w:rsidR="002A2398" w:rsidRPr="00FE3368">
        <w:rPr>
          <w:rFonts w:ascii="Arial" w:hAnsi="Arial" w:cs="Arial"/>
        </w:rPr>
        <w:t>%</w:t>
      </w:r>
      <w:r w:rsidR="003D3ACD" w:rsidRPr="00FE3368">
        <w:rPr>
          <w:rFonts w:ascii="Arial" w:hAnsi="Arial" w:cs="Arial"/>
        </w:rPr>
        <w:t xml:space="preserve"> </w:t>
      </w:r>
      <w:r w:rsidR="002F1029" w:rsidRPr="00FE3368">
        <w:rPr>
          <w:rFonts w:ascii="Arial" w:hAnsi="Arial" w:cs="Arial"/>
        </w:rPr>
        <w:t xml:space="preserve">which is </w:t>
      </w:r>
      <w:r w:rsidR="00A24918" w:rsidRPr="00FE3368">
        <w:rPr>
          <w:rFonts w:ascii="Arial" w:hAnsi="Arial" w:cs="Arial"/>
        </w:rPr>
        <w:t xml:space="preserve">the highest in LAC </w:t>
      </w:r>
      <w:r w:rsidR="00D163E8" w:rsidRPr="00FE3368">
        <w:rPr>
          <w:rFonts w:ascii="Arial" w:hAnsi="Arial" w:cs="Arial"/>
        </w:rPr>
        <w:t>countrie</w:t>
      </w:r>
      <w:r w:rsidR="00A24918" w:rsidRPr="00FE3368">
        <w:rPr>
          <w:rFonts w:ascii="Arial" w:hAnsi="Arial" w:cs="Arial"/>
        </w:rPr>
        <w:t>s</w:t>
      </w:r>
      <w:r w:rsidR="00555250" w:rsidRPr="00FE3368">
        <w:rPr>
          <w:rFonts w:ascii="Arial" w:hAnsi="Arial" w:cs="Arial"/>
        </w:rPr>
        <w:t>.</w:t>
      </w:r>
      <w:r w:rsidR="00813A16" w:rsidRPr="00FE3368">
        <w:rPr>
          <w:rStyle w:val="FootnoteReference"/>
          <w:rFonts w:ascii="Arial" w:hAnsi="Arial" w:cs="Arial"/>
        </w:rPr>
        <w:footnoteReference w:id="6"/>
      </w:r>
    </w:p>
    <w:p w14:paraId="42DAAB3E" w14:textId="77777777" w:rsidR="006074C0" w:rsidRPr="00155190" w:rsidRDefault="006074C0" w:rsidP="006074C0">
      <w:pPr>
        <w:pStyle w:val="ListParagraph"/>
        <w:spacing w:before="120" w:after="120"/>
        <w:ind w:left="360"/>
        <w:jc w:val="both"/>
        <w:rPr>
          <w:rFonts w:ascii="Arial" w:hAnsi="Arial" w:cs="Arial"/>
        </w:rPr>
      </w:pPr>
    </w:p>
    <w:p w14:paraId="51B80B1B" w14:textId="623C817C" w:rsidR="00D81F54" w:rsidRPr="00FE3368" w:rsidRDefault="006316AE" w:rsidP="00155190">
      <w:pPr>
        <w:pStyle w:val="ListParagraph"/>
        <w:numPr>
          <w:ilvl w:val="1"/>
          <w:numId w:val="5"/>
        </w:numPr>
        <w:spacing w:before="120" w:after="120"/>
        <w:ind w:left="360" w:hanging="540"/>
        <w:jc w:val="both"/>
        <w:rPr>
          <w:rFonts w:ascii="Arial" w:hAnsi="Arial" w:cs="Arial"/>
        </w:rPr>
      </w:pPr>
      <w:r w:rsidRPr="00FE3368">
        <w:rPr>
          <w:rFonts w:ascii="Arial" w:hAnsi="Arial" w:cs="Arial"/>
        </w:rPr>
        <w:t>The Inter-American Development Bank</w:t>
      </w:r>
      <w:r w:rsidR="00923C9A" w:rsidRPr="00FE3368">
        <w:rPr>
          <w:rFonts w:ascii="Arial" w:hAnsi="Arial" w:cs="Arial"/>
        </w:rPr>
        <w:t xml:space="preserve"> </w:t>
      </w:r>
      <w:r w:rsidR="00422A70" w:rsidRPr="00FE3368">
        <w:rPr>
          <w:rFonts w:ascii="Arial" w:hAnsi="Arial" w:cs="Arial"/>
        </w:rPr>
        <w:t xml:space="preserve">has been supporting </w:t>
      </w:r>
      <w:r w:rsidR="00BE2B93" w:rsidRPr="00FE3368">
        <w:rPr>
          <w:rFonts w:ascii="Arial" w:hAnsi="Arial" w:cs="Arial"/>
        </w:rPr>
        <w:t>it strategically through</w:t>
      </w:r>
      <w:r w:rsidR="00636593" w:rsidRPr="00FE3368">
        <w:rPr>
          <w:rFonts w:ascii="Arial" w:hAnsi="Arial" w:cs="Arial"/>
        </w:rPr>
        <w:t xml:space="preserve"> </w:t>
      </w:r>
      <w:r w:rsidR="00C8528A" w:rsidRPr="00FE3368">
        <w:rPr>
          <w:rFonts w:ascii="Arial" w:hAnsi="Arial" w:cs="Arial"/>
        </w:rPr>
        <w:t xml:space="preserve">various programs. The </w:t>
      </w:r>
      <w:r w:rsidR="007F742E" w:rsidRPr="00FE3368">
        <w:rPr>
          <w:rFonts w:ascii="Arial" w:hAnsi="Arial" w:cs="Arial"/>
        </w:rPr>
        <w:t xml:space="preserve">Energy Division (INE/ENE), </w:t>
      </w:r>
      <w:r w:rsidR="00720900" w:rsidRPr="00FE3368">
        <w:rPr>
          <w:rFonts w:ascii="Arial" w:hAnsi="Arial" w:cs="Arial"/>
        </w:rPr>
        <w:t>Rural Development and Disaster Risk Management Division (CSD/RND), as well as Water and Sanitation Division (INE/</w:t>
      </w:r>
      <w:r w:rsidR="00597894" w:rsidRPr="00FE3368">
        <w:rPr>
          <w:rFonts w:ascii="Arial" w:hAnsi="Arial" w:cs="Arial"/>
        </w:rPr>
        <w:t>WSA</w:t>
      </w:r>
      <w:r w:rsidR="00720900" w:rsidRPr="00FE3368">
        <w:rPr>
          <w:rFonts w:ascii="Arial" w:hAnsi="Arial" w:cs="Arial"/>
        </w:rPr>
        <w:t>)</w:t>
      </w:r>
      <w:r w:rsidR="00F1127E" w:rsidRPr="00FE3368">
        <w:rPr>
          <w:rFonts w:ascii="Arial" w:hAnsi="Arial" w:cs="Arial"/>
        </w:rPr>
        <w:t xml:space="preserve"> actively generate knowledge on inter</w:t>
      </w:r>
      <w:r w:rsidR="007673D5" w:rsidRPr="00FE3368">
        <w:rPr>
          <w:rFonts w:ascii="Arial" w:hAnsi="Arial" w:cs="Arial"/>
        </w:rPr>
        <w:t xml:space="preserve">disciplinary </w:t>
      </w:r>
      <w:r w:rsidR="005721E0" w:rsidRPr="00FE3368">
        <w:rPr>
          <w:rFonts w:ascii="Arial" w:hAnsi="Arial" w:cs="Arial"/>
        </w:rPr>
        <w:t>interaction promoting integrated planning.</w:t>
      </w:r>
      <w:r w:rsidR="000D0C7B" w:rsidRPr="00FE3368">
        <w:rPr>
          <w:rFonts w:ascii="Arial" w:hAnsi="Arial" w:cs="Arial"/>
        </w:rPr>
        <w:t xml:space="preserve"> </w:t>
      </w:r>
      <w:r w:rsidR="00597894" w:rsidRPr="00FE3368">
        <w:rPr>
          <w:rFonts w:ascii="Arial" w:hAnsi="Arial" w:cs="Arial"/>
        </w:rPr>
        <w:t xml:space="preserve">The Water and Sanitation Division (INE/WSA) </w:t>
      </w:r>
      <w:r w:rsidR="00371E32" w:rsidRPr="00FE3368">
        <w:rPr>
          <w:rFonts w:ascii="Arial" w:hAnsi="Arial" w:cs="Arial"/>
        </w:rPr>
        <w:t xml:space="preserve">is </w:t>
      </w:r>
      <w:r w:rsidR="004D2CCA" w:rsidRPr="00FE3368">
        <w:rPr>
          <w:rFonts w:ascii="Arial" w:hAnsi="Arial" w:cs="Arial"/>
        </w:rPr>
        <w:t>developing analytical tools</w:t>
      </w:r>
      <w:r w:rsidR="00174149" w:rsidRPr="00FE3368">
        <w:rPr>
          <w:rFonts w:ascii="Arial" w:hAnsi="Arial" w:cs="Arial"/>
        </w:rPr>
        <w:t xml:space="preserve"> and case studies</w:t>
      </w:r>
      <w:r w:rsidR="004D2CCA" w:rsidRPr="00FE3368">
        <w:rPr>
          <w:rFonts w:ascii="Arial" w:hAnsi="Arial" w:cs="Arial"/>
        </w:rPr>
        <w:t xml:space="preserve"> </w:t>
      </w:r>
      <w:r w:rsidR="00CB5EF0" w:rsidRPr="00FE3368">
        <w:rPr>
          <w:rFonts w:ascii="Arial" w:hAnsi="Arial" w:cs="Arial"/>
        </w:rPr>
        <w:t>to support</w:t>
      </w:r>
      <w:r w:rsidR="007D18D7" w:rsidRPr="00FE3368">
        <w:rPr>
          <w:rFonts w:ascii="Arial" w:hAnsi="Arial" w:cs="Arial"/>
        </w:rPr>
        <w:t xml:space="preserve"> the</w:t>
      </w:r>
      <w:r w:rsidR="00CB5EF0" w:rsidRPr="00FE3368">
        <w:rPr>
          <w:rFonts w:ascii="Arial" w:hAnsi="Arial" w:cs="Arial"/>
        </w:rPr>
        <w:t xml:space="preserve"> decision-making</w:t>
      </w:r>
      <w:r w:rsidR="0037372D" w:rsidRPr="00FE3368">
        <w:rPr>
          <w:rFonts w:ascii="Arial" w:hAnsi="Arial" w:cs="Arial"/>
        </w:rPr>
        <w:t xml:space="preserve"> </w:t>
      </w:r>
      <w:r w:rsidR="00DF4167" w:rsidRPr="00FE3368">
        <w:rPr>
          <w:rFonts w:ascii="Arial" w:hAnsi="Arial" w:cs="Arial"/>
        </w:rPr>
        <w:t>process</w:t>
      </w:r>
      <w:r w:rsidR="00CB5EF0" w:rsidRPr="00FE3368">
        <w:rPr>
          <w:rFonts w:ascii="Arial" w:hAnsi="Arial" w:cs="Arial"/>
        </w:rPr>
        <w:t xml:space="preserve"> of public policies </w:t>
      </w:r>
      <w:r w:rsidR="000B3DBC" w:rsidRPr="00FE3368">
        <w:rPr>
          <w:rFonts w:ascii="Arial" w:hAnsi="Arial" w:cs="Arial"/>
        </w:rPr>
        <w:t>and</w:t>
      </w:r>
      <w:r w:rsidR="00174149" w:rsidRPr="00FE3368">
        <w:rPr>
          <w:rFonts w:ascii="Arial" w:hAnsi="Arial" w:cs="Arial"/>
        </w:rPr>
        <w:t xml:space="preserve"> water infrastructure</w:t>
      </w:r>
      <w:r w:rsidR="00330893" w:rsidRPr="00FE3368">
        <w:rPr>
          <w:rFonts w:ascii="Arial" w:hAnsi="Arial" w:cs="Arial"/>
        </w:rPr>
        <w:t xml:space="preserve"> planning</w:t>
      </w:r>
      <w:r w:rsidR="000B3DBC" w:rsidRPr="00FE3368">
        <w:rPr>
          <w:rFonts w:ascii="Arial" w:hAnsi="Arial" w:cs="Arial"/>
        </w:rPr>
        <w:t>.</w:t>
      </w:r>
      <w:r w:rsidR="008A3F7A" w:rsidRPr="00FE3368">
        <w:rPr>
          <w:rStyle w:val="FootnoteReference"/>
          <w:rFonts w:ascii="Arial" w:hAnsi="Arial" w:cs="Arial"/>
        </w:rPr>
        <w:footnoteReference w:id="7"/>
      </w:r>
    </w:p>
    <w:p w14:paraId="1C8EE912" w14:textId="77777777" w:rsidR="00023EA9" w:rsidRPr="00FE3368" w:rsidRDefault="00023EA9" w:rsidP="00023EA9">
      <w:pPr>
        <w:pStyle w:val="ListParagraph"/>
        <w:rPr>
          <w:rFonts w:ascii="Arial" w:hAnsi="Arial" w:cs="Arial"/>
        </w:rPr>
      </w:pPr>
    </w:p>
    <w:p w14:paraId="00E908C3" w14:textId="349B7D8D" w:rsidR="00CF6C4D" w:rsidRPr="005A265C" w:rsidRDefault="003207A5" w:rsidP="005A265C">
      <w:pPr>
        <w:pStyle w:val="ListParagraph"/>
        <w:numPr>
          <w:ilvl w:val="1"/>
          <w:numId w:val="5"/>
        </w:numPr>
        <w:spacing w:before="120" w:after="120"/>
        <w:ind w:left="360" w:hanging="540"/>
        <w:jc w:val="both"/>
        <w:rPr>
          <w:rFonts w:ascii="Arial" w:hAnsi="Arial" w:cs="Arial"/>
        </w:rPr>
      </w:pPr>
      <w:r w:rsidRPr="00FE3368">
        <w:rPr>
          <w:rFonts w:ascii="Arial" w:hAnsi="Arial" w:cs="Arial"/>
        </w:rPr>
        <w:t xml:space="preserve">As part of the national strategy </w:t>
      </w:r>
      <w:r w:rsidR="00CB3558" w:rsidRPr="00FE3368">
        <w:rPr>
          <w:rFonts w:ascii="Arial" w:hAnsi="Arial" w:cs="Arial"/>
        </w:rPr>
        <w:t xml:space="preserve">for </w:t>
      </w:r>
      <w:r w:rsidR="0008250F" w:rsidRPr="00FE3368">
        <w:rPr>
          <w:rFonts w:ascii="Arial" w:hAnsi="Arial" w:cs="Arial"/>
        </w:rPr>
        <w:t>promoting new industry</w:t>
      </w:r>
      <w:r w:rsidR="00EE096B" w:rsidRPr="00FE3368">
        <w:rPr>
          <w:rFonts w:ascii="Arial" w:hAnsi="Arial" w:cs="Arial"/>
        </w:rPr>
        <w:t>,</w:t>
      </w:r>
      <w:r w:rsidR="0008250F" w:rsidRPr="00FE3368">
        <w:rPr>
          <w:rFonts w:ascii="Arial" w:hAnsi="Arial" w:cs="Arial"/>
        </w:rPr>
        <w:t xml:space="preserve"> </w:t>
      </w:r>
      <w:r w:rsidRPr="00FE3368">
        <w:rPr>
          <w:rFonts w:ascii="Arial" w:hAnsi="Arial" w:cs="Arial"/>
        </w:rPr>
        <w:t>technological innovation</w:t>
      </w:r>
      <w:r w:rsidR="000F4E2B" w:rsidRPr="00FE3368">
        <w:rPr>
          <w:rFonts w:ascii="Arial" w:hAnsi="Arial" w:cs="Arial"/>
        </w:rPr>
        <w:t>,</w:t>
      </w:r>
      <w:r w:rsidR="00EE096B" w:rsidRPr="00FE3368">
        <w:rPr>
          <w:rFonts w:ascii="Arial" w:hAnsi="Arial" w:cs="Arial"/>
        </w:rPr>
        <w:t xml:space="preserve"> and efficient use of resources, </w:t>
      </w:r>
      <w:r w:rsidR="003C1C03" w:rsidRPr="00FE3368">
        <w:rPr>
          <w:rFonts w:ascii="Arial" w:hAnsi="Arial" w:cs="Arial"/>
        </w:rPr>
        <w:t>Korea</w:t>
      </w:r>
      <w:r w:rsidR="00D425B8" w:rsidRPr="00FE3368">
        <w:rPr>
          <w:rFonts w:ascii="Arial" w:hAnsi="Arial" w:cs="Arial"/>
        </w:rPr>
        <w:t xml:space="preserve"> </w:t>
      </w:r>
      <w:r w:rsidR="00072817" w:rsidRPr="00FE3368">
        <w:rPr>
          <w:rFonts w:ascii="Arial" w:hAnsi="Arial" w:cs="Arial"/>
        </w:rPr>
        <w:t xml:space="preserve">has been </w:t>
      </w:r>
      <w:r w:rsidR="00DE1F09" w:rsidRPr="00FE3368">
        <w:rPr>
          <w:rFonts w:ascii="Arial" w:hAnsi="Arial" w:cs="Arial"/>
        </w:rPr>
        <w:t>actively</w:t>
      </w:r>
      <w:r w:rsidR="00CC0A60" w:rsidRPr="00FE3368">
        <w:rPr>
          <w:rFonts w:ascii="Arial" w:hAnsi="Arial" w:cs="Arial"/>
        </w:rPr>
        <w:t xml:space="preserve"> conduct</w:t>
      </w:r>
      <w:r w:rsidR="00072817" w:rsidRPr="00FE3368">
        <w:rPr>
          <w:rFonts w:ascii="Arial" w:hAnsi="Arial" w:cs="Arial"/>
        </w:rPr>
        <w:t>ing</w:t>
      </w:r>
      <w:r w:rsidR="00E55DBE" w:rsidRPr="00FE3368">
        <w:rPr>
          <w:rFonts w:ascii="Arial" w:hAnsi="Arial" w:cs="Arial"/>
        </w:rPr>
        <w:t xml:space="preserve"> projects and </w:t>
      </w:r>
      <w:r w:rsidR="00676026" w:rsidRPr="00FE3368">
        <w:rPr>
          <w:rFonts w:ascii="Arial" w:hAnsi="Arial" w:cs="Arial"/>
        </w:rPr>
        <w:t xml:space="preserve">researches </w:t>
      </w:r>
      <w:r w:rsidR="00DE1F09" w:rsidRPr="00FE3368">
        <w:rPr>
          <w:rFonts w:ascii="Arial" w:hAnsi="Arial" w:cs="Arial"/>
        </w:rPr>
        <w:t>on Nexus</w:t>
      </w:r>
      <w:r w:rsidR="009F73C8" w:rsidRPr="00FE3368">
        <w:rPr>
          <w:rFonts w:ascii="Arial" w:hAnsi="Arial" w:cs="Arial"/>
        </w:rPr>
        <w:t xml:space="preserve">. </w:t>
      </w:r>
      <w:r w:rsidR="00923C9A" w:rsidRPr="00FE3368">
        <w:rPr>
          <w:rFonts w:ascii="Arial" w:hAnsi="Arial" w:cs="Arial"/>
        </w:rPr>
        <w:t>The government of Korea</w:t>
      </w:r>
      <w:r w:rsidR="00176A5F" w:rsidRPr="00FE3368">
        <w:rPr>
          <w:rFonts w:ascii="Arial" w:hAnsi="Arial" w:cs="Arial"/>
        </w:rPr>
        <w:t xml:space="preserve">, for example, </w:t>
      </w:r>
      <w:r w:rsidR="0088205C" w:rsidRPr="00FE3368">
        <w:rPr>
          <w:rFonts w:ascii="Arial" w:hAnsi="Arial" w:cs="Arial"/>
        </w:rPr>
        <w:t xml:space="preserve">has </w:t>
      </w:r>
      <w:r w:rsidR="00676026" w:rsidRPr="00FE3368">
        <w:rPr>
          <w:rFonts w:ascii="Arial" w:hAnsi="Arial" w:cs="Arial"/>
        </w:rPr>
        <w:t>built</w:t>
      </w:r>
      <w:r w:rsidR="00D214CA" w:rsidRPr="00FE3368">
        <w:rPr>
          <w:rFonts w:ascii="Arial" w:hAnsi="Arial" w:cs="Arial"/>
        </w:rPr>
        <w:t xml:space="preserve"> </w:t>
      </w:r>
      <w:r w:rsidR="00A36647" w:rsidRPr="00FE3368">
        <w:rPr>
          <w:rFonts w:ascii="Arial" w:hAnsi="Arial" w:cs="Arial"/>
        </w:rPr>
        <w:t xml:space="preserve">many </w:t>
      </w:r>
      <w:r w:rsidR="00962F8B" w:rsidRPr="00FE3368">
        <w:rPr>
          <w:rFonts w:ascii="Arial" w:hAnsi="Arial" w:cs="Arial"/>
        </w:rPr>
        <w:t xml:space="preserve">multi-purpose dams </w:t>
      </w:r>
      <w:r w:rsidR="00317FBE" w:rsidRPr="00FE3368">
        <w:rPr>
          <w:rFonts w:ascii="Arial" w:hAnsi="Arial" w:cs="Arial"/>
        </w:rPr>
        <w:t xml:space="preserve">for efficient use of water resources </w:t>
      </w:r>
      <w:r w:rsidR="00962F8B" w:rsidRPr="00FE3368">
        <w:rPr>
          <w:rFonts w:ascii="Arial" w:hAnsi="Arial" w:cs="Arial"/>
        </w:rPr>
        <w:t>since 19</w:t>
      </w:r>
      <w:r w:rsidR="00233929" w:rsidRPr="00FE3368">
        <w:rPr>
          <w:rFonts w:ascii="Arial" w:hAnsi="Arial" w:cs="Arial"/>
        </w:rPr>
        <w:t>60s</w:t>
      </w:r>
      <w:r w:rsidR="00EE201F" w:rsidRPr="00FE3368">
        <w:rPr>
          <w:rFonts w:ascii="Arial" w:hAnsi="Arial" w:cs="Arial"/>
        </w:rPr>
        <w:t>.</w:t>
      </w:r>
      <w:r w:rsidR="00A843AB" w:rsidRPr="00FE3368">
        <w:rPr>
          <w:rFonts w:ascii="Arial" w:hAnsi="Arial" w:cs="Arial"/>
        </w:rPr>
        <w:t xml:space="preserve"> For the same reason,</w:t>
      </w:r>
      <w:r w:rsidR="00F01163" w:rsidRPr="00FE3368">
        <w:rPr>
          <w:rFonts w:ascii="Arial" w:hAnsi="Arial" w:cs="Arial"/>
        </w:rPr>
        <w:t xml:space="preserve"> </w:t>
      </w:r>
      <w:r w:rsidR="00731812" w:rsidRPr="00FE3368">
        <w:rPr>
          <w:rFonts w:ascii="Arial" w:hAnsi="Arial" w:cs="Arial"/>
        </w:rPr>
        <w:t>Korea</w:t>
      </w:r>
      <w:r w:rsidR="00A843AB" w:rsidRPr="00FE3368">
        <w:rPr>
          <w:rFonts w:ascii="Arial" w:hAnsi="Arial" w:cs="Arial"/>
        </w:rPr>
        <w:t xml:space="preserve"> recently</w:t>
      </w:r>
      <w:r w:rsidR="0061098A" w:rsidRPr="00FE3368">
        <w:rPr>
          <w:rFonts w:ascii="Arial" w:hAnsi="Arial" w:cs="Arial"/>
        </w:rPr>
        <w:t xml:space="preserve"> put</w:t>
      </w:r>
      <w:r w:rsidR="00F01163" w:rsidRPr="00FE3368">
        <w:rPr>
          <w:rFonts w:ascii="Arial" w:hAnsi="Arial" w:cs="Arial"/>
        </w:rPr>
        <w:t xml:space="preserve"> much effort </w:t>
      </w:r>
      <w:r w:rsidR="00116198" w:rsidRPr="00FE3368">
        <w:rPr>
          <w:rFonts w:ascii="Arial" w:hAnsi="Arial" w:cs="Arial"/>
        </w:rPr>
        <w:t>into</w:t>
      </w:r>
      <w:r w:rsidR="00DB1BFC" w:rsidRPr="00FE3368">
        <w:rPr>
          <w:rFonts w:ascii="Arial" w:hAnsi="Arial" w:cs="Arial"/>
        </w:rPr>
        <w:t xml:space="preserve"> Integrated Water Management System</w:t>
      </w:r>
      <w:r w:rsidR="00116198" w:rsidRPr="00FE3368">
        <w:rPr>
          <w:rFonts w:ascii="Arial" w:hAnsi="Arial" w:cs="Arial"/>
        </w:rPr>
        <w:t xml:space="preserve"> </w:t>
      </w:r>
      <w:r w:rsidR="00DB1BFC" w:rsidRPr="00FE3368">
        <w:rPr>
          <w:rFonts w:ascii="Arial" w:hAnsi="Arial" w:cs="Arial"/>
        </w:rPr>
        <w:t>(IWRM) applying ICT technology</w:t>
      </w:r>
      <w:r w:rsidR="00FF43AA" w:rsidRPr="00FE3368">
        <w:rPr>
          <w:rFonts w:ascii="Arial" w:hAnsi="Arial" w:cs="Arial"/>
        </w:rPr>
        <w:t xml:space="preserve"> and </w:t>
      </w:r>
      <w:r w:rsidR="00572216" w:rsidRPr="00FE3368">
        <w:rPr>
          <w:rFonts w:ascii="Arial" w:hAnsi="Arial" w:cs="Arial"/>
        </w:rPr>
        <w:t>Floating Solar Photovoltaic (FPV)</w:t>
      </w:r>
      <w:r w:rsidR="002D0E78" w:rsidRPr="00FE3368">
        <w:rPr>
          <w:rFonts w:ascii="Arial" w:hAnsi="Arial" w:cs="Arial"/>
        </w:rPr>
        <w:t xml:space="preserve"> power plants. In the case of </w:t>
      </w:r>
      <w:r w:rsidR="00BD69A6" w:rsidRPr="00FE3368">
        <w:rPr>
          <w:rFonts w:ascii="Arial" w:hAnsi="Arial" w:cs="Arial"/>
        </w:rPr>
        <w:t xml:space="preserve">the </w:t>
      </w:r>
      <w:r w:rsidR="00103A83" w:rsidRPr="00FE3368">
        <w:rPr>
          <w:rFonts w:ascii="Arial" w:hAnsi="Arial" w:cs="Arial"/>
        </w:rPr>
        <w:t>Ministry of Trade, Industry and Energy (MOTIE)</w:t>
      </w:r>
      <w:r w:rsidR="002D0E78" w:rsidRPr="00FE3368">
        <w:rPr>
          <w:rFonts w:ascii="Arial" w:hAnsi="Arial" w:cs="Arial"/>
        </w:rPr>
        <w:t>, they</w:t>
      </w:r>
      <w:r w:rsidR="007006E9" w:rsidRPr="00FE3368">
        <w:rPr>
          <w:rFonts w:ascii="Arial" w:hAnsi="Arial" w:cs="Arial"/>
        </w:rPr>
        <w:t xml:space="preserve"> </w:t>
      </w:r>
      <w:r w:rsidR="007B1E5A" w:rsidRPr="00FE3368">
        <w:rPr>
          <w:rFonts w:ascii="Arial" w:hAnsi="Arial" w:cs="Arial"/>
        </w:rPr>
        <w:t>ha</w:t>
      </w:r>
      <w:r w:rsidR="002D0E78" w:rsidRPr="00FE3368">
        <w:rPr>
          <w:rFonts w:ascii="Arial" w:hAnsi="Arial" w:cs="Arial"/>
        </w:rPr>
        <w:t>ve</w:t>
      </w:r>
      <w:r w:rsidR="007B1E5A" w:rsidRPr="00FE3368">
        <w:rPr>
          <w:rFonts w:ascii="Arial" w:hAnsi="Arial" w:cs="Arial"/>
        </w:rPr>
        <w:t xml:space="preserve"> acquired much knowledge in integrated energy management and </w:t>
      </w:r>
      <w:r w:rsidR="007B13CA" w:rsidRPr="00FE3368">
        <w:rPr>
          <w:rFonts w:ascii="Arial" w:hAnsi="Arial" w:cs="Arial"/>
        </w:rPr>
        <w:t xml:space="preserve">energy efficiency by establishing </w:t>
      </w:r>
      <w:r w:rsidR="002811EA" w:rsidRPr="00FE3368">
        <w:rPr>
          <w:rFonts w:ascii="Arial" w:hAnsi="Arial" w:cs="Arial"/>
        </w:rPr>
        <w:lastRenderedPageBreak/>
        <w:t xml:space="preserve">the </w:t>
      </w:r>
      <w:r w:rsidR="000F4E2B" w:rsidRPr="00FE3368">
        <w:rPr>
          <w:rFonts w:ascii="Arial" w:hAnsi="Arial" w:cs="Arial"/>
        </w:rPr>
        <w:t>world’s largest smart grid demonstration complex</w:t>
      </w:r>
      <w:r w:rsidR="007B13CA" w:rsidRPr="00FE3368">
        <w:rPr>
          <w:rFonts w:ascii="Arial" w:hAnsi="Arial" w:cs="Arial"/>
        </w:rPr>
        <w:t>.</w:t>
      </w:r>
      <w:r w:rsidR="00555250" w:rsidRPr="00FE3368">
        <w:rPr>
          <w:rFonts w:ascii="Arial" w:hAnsi="Arial" w:cs="Arial"/>
        </w:rPr>
        <w:t xml:space="preserve"> </w:t>
      </w:r>
      <w:r w:rsidR="00B47A81" w:rsidRPr="00FE3368">
        <w:rPr>
          <w:rFonts w:ascii="Arial" w:hAnsi="Arial" w:cs="Arial"/>
        </w:rPr>
        <w:t>The Ministry</w:t>
      </w:r>
      <w:r w:rsidR="00AE7761" w:rsidRPr="00FE3368">
        <w:rPr>
          <w:rFonts w:ascii="Arial" w:hAnsi="Arial" w:cs="Arial"/>
        </w:rPr>
        <w:t xml:space="preserve"> </w:t>
      </w:r>
      <w:r w:rsidR="00B47A81" w:rsidRPr="00FE3368">
        <w:rPr>
          <w:rFonts w:ascii="Arial" w:hAnsi="Arial" w:cs="Arial"/>
        </w:rPr>
        <w:t xml:space="preserve">for </w:t>
      </w:r>
      <w:r w:rsidR="00AE7761" w:rsidRPr="00FE3368">
        <w:rPr>
          <w:rFonts w:ascii="Arial" w:hAnsi="Arial" w:cs="Arial"/>
        </w:rPr>
        <w:t>Food, Agriculture, Forestry and Fisheries</w:t>
      </w:r>
      <w:r w:rsidR="00EF1FCB" w:rsidRPr="00FE3368">
        <w:rPr>
          <w:rFonts w:ascii="Arial" w:hAnsi="Arial" w:cs="Arial"/>
        </w:rPr>
        <w:t xml:space="preserve"> (</w:t>
      </w:r>
      <w:r w:rsidR="00E00917" w:rsidRPr="00FE3368">
        <w:rPr>
          <w:rFonts w:ascii="Arial" w:hAnsi="Arial" w:cs="Arial"/>
        </w:rPr>
        <w:t>MIFAFF</w:t>
      </w:r>
      <w:r w:rsidR="00EF1FCB" w:rsidRPr="00FE3368">
        <w:rPr>
          <w:rFonts w:ascii="Arial" w:hAnsi="Arial" w:cs="Arial"/>
        </w:rPr>
        <w:t>)</w:t>
      </w:r>
      <w:r w:rsidR="00AE7761" w:rsidRPr="00FE3368">
        <w:rPr>
          <w:rFonts w:ascii="Arial" w:hAnsi="Arial" w:cs="Arial"/>
        </w:rPr>
        <w:t xml:space="preserve"> </w:t>
      </w:r>
      <w:r w:rsidR="00116699" w:rsidRPr="00FE3368">
        <w:rPr>
          <w:rFonts w:ascii="Arial" w:hAnsi="Arial" w:cs="Arial"/>
        </w:rPr>
        <w:t>is</w:t>
      </w:r>
      <w:r w:rsidR="00E00917" w:rsidRPr="00FE3368">
        <w:rPr>
          <w:rFonts w:ascii="Arial" w:hAnsi="Arial" w:cs="Arial"/>
        </w:rPr>
        <w:t xml:space="preserve"> </w:t>
      </w:r>
      <w:r w:rsidR="00143EE4" w:rsidRPr="00FE3368">
        <w:rPr>
          <w:rFonts w:ascii="Arial" w:hAnsi="Arial" w:cs="Arial"/>
        </w:rPr>
        <w:t xml:space="preserve">actively promoting </w:t>
      </w:r>
      <w:r w:rsidR="00E00917" w:rsidRPr="00FE3368">
        <w:rPr>
          <w:rFonts w:ascii="Arial" w:hAnsi="Arial" w:cs="Arial"/>
        </w:rPr>
        <w:t>energy and water saving</w:t>
      </w:r>
      <w:r w:rsidR="00023AD7" w:rsidRPr="00FE3368">
        <w:rPr>
          <w:rFonts w:ascii="Arial" w:hAnsi="Arial" w:cs="Arial"/>
        </w:rPr>
        <w:t xml:space="preserve"> </w:t>
      </w:r>
      <w:r w:rsidR="00E0778E" w:rsidRPr="00FE3368">
        <w:rPr>
          <w:rFonts w:ascii="Arial" w:hAnsi="Arial" w:cs="Arial"/>
        </w:rPr>
        <w:t>technolog</w:t>
      </w:r>
      <w:r w:rsidR="002702BA" w:rsidRPr="00FE3368">
        <w:rPr>
          <w:rFonts w:ascii="Arial" w:hAnsi="Arial" w:cs="Arial"/>
        </w:rPr>
        <w:t>ies</w:t>
      </w:r>
      <w:r w:rsidR="00E0778E" w:rsidRPr="00FE3368">
        <w:rPr>
          <w:rFonts w:ascii="Arial" w:hAnsi="Arial" w:cs="Arial"/>
        </w:rPr>
        <w:t xml:space="preserve"> in production of agricultural products</w:t>
      </w:r>
      <w:r w:rsidR="000121D3" w:rsidRPr="00FE3368">
        <w:rPr>
          <w:rFonts w:ascii="Arial" w:hAnsi="Arial" w:cs="Arial"/>
        </w:rPr>
        <w:t xml:space="preserve"> and bio energy production technolog</w:t>
      </w:r>
      <w:r w:rsidR="002702BA" w:rsidRPr="00FE3368">
        <w:rPr>
          <w:rFonts w:ascii="Arial" w:hAnsi="Arial" w:cs="Arial"/>
        </w:rPr>
        <w:t xml:space="preserve">ies </w:t>
      </w:r>
      <w:r w:rsidR="006E59AC" w:rsidRPr="00FE3368">
        <w:rPr>
          <w:rFonts w:ascii="Arial" w:hAnsi="Arial" w:cs="Arial"/>
        </w:rPr>
        <w:t xml:space="preserve">having the </w:t>
      </w:r>
      <w:r w:rsidR="00806AC0" w:rsidRPr="00FE3368">
        <w:rPr>
          <w:rFonts w:ascii="Arial" w:hAnsi="Arial" w:cs="Arial"/>
        </w:rPr>
        <w:t xml:space="preserve">Nexus concept </w:t>
      </w:r>
      <w:r w:rsidR="00DD79AA" w:rsidRPr="00FE3368">
        <w:rPr>
          <w:rFonts w:ascii="Arial" w:hAnsi="Arial" w:cs="Arial"/>
        </w:rPr>
        <w:t>in mind</w:t>
      </w:r>
      <w:r w:rsidR="00116699" w:rsidRPr="00FE3368">
        <w:rPr>
          <w:rFonts w:ascii="Arial" w:hAnsi="Arial" w:cs="Arial"/>
        </w:rPr>
        <w:t xml:space="preserve">. </w:t>
      </w:r>
    </w:p>
    <w:p w14:paraId="0701DECF" w14:textId="77777777" w:rsidR="0095711B" w:rsidRPr="00FE3368" w:rsidRDefault="00D95606" w:rsidP="00155190">
      <w:pPr>
        <w:pStyle w:val="ListParagraph"/>
        <w:numPr>
          <w:ilvl w:val="0"/>
          <w:numId w:val="5"/>
        </w:numPr>
        <w:spacing w:before="240"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E3368">
        <w:rPr>
          <w:rFonts w:ascii="Arial" w:hAnsi="Arial" w:cs="Arial"/>
          <w:b/>
          <w:sz w:val="24"/>
          <w:szCs w:val="24"/>
        </w:rPr>
        <w:t>D</w:t>
      </w:r>
      <w:r w:rsidR="0095711B" w:rsidRPr="00FE3368">
        <w:rPr>
          <w:rFonts w:ascii="Arial" w:hAnsi="Arial" w:cs="Arial"/>
          <w:b/>
          <w:sz w:val="24"/>
          <w:szCs w:val="24"/>
        </w:rPr>
        <w:t xml:space="preserve">escription </w:t>
      </w:r>
      <w:r w:rsidR="00A12C27" w:rsidRPr="00FE3368">
        <w:rPr>
          <w:rFonts w:ascii="Arial" w:hAnsi="Arial" w:cs="Arial"/>
          <w:b/>
          <w:sz w:val="24"/>
          <w:szCs w:val="24"/>
        </w:rPr>
        <w:t>of activities</w:t>
      </w:r>
      <w:r w:rsidR="00F2521F" w:rsidRPr="00FE3368">
        <w:rPr>
          <w:rFonts w:ascii="Arial" w:hAnsi="Arial" w:cs="Arial"/>
          <w:b/>
          <w:sz w:val="24"/>
          <w:szCs w:val="24"/>
        </w:rPr>
        <w:t xml:space="preserve"> and outputs </w:t>
      </w:r>
    </w:p>
    <w:p w14:paraId="4C6DCE2F" w14:textId="63D9A20D" w:rsidR="00584891" w:rsidRDefault="00003132" w:rsidP="00155190">
      <w:pPr>
        <w:pStyle w:val="ListParagraph"/>
        <w:numPr>
          <w:ilvl w:val="1"/>
          <w:numId w:val="5"/>
        </w:numPr>
        <w:spacing w:before="120" w:after="120"/>
        <w:ind w:left="360" w:hanging="540"/>
        <w:jc w:val="both"/>
        <w:rPr>
          <w:rFonts w:ascii="Arial" w:hAnsi="Arial" w:cs="Arial"/>
        </w:rPr>
      </w:pPr>
      <w:r w:rsidRPr="00FE3368">
        <w:rPr>
          <w:rFonts w:ascii="Arial" w:hAnsi="Arial" w:cs="Arial"/>
          <w:b/>
        </w:rPr>
        <w:t>Component 1:</w:t>
      </w:r>
      <w:r w:rsidR="007E4189" w:rsidRPr="00FE3368">
        <w:rPr>
          <w:rFonts w:ascii="Arial" w:hAnsi="Arial" w:cs="Arial"/>
        </w:rPr>
        <w:t xml:space="preserve"> </w:t>
      </w:r>
      <w:r w:rsidR="00731812" w:rsidRPr="00FE3368">
        <w:rPr>
          <w:rFonts w:ascii="Arial" w:hAnsi="Arial" w:cs="Arial"/>
          <w:b/>
        </w:rPr>
        <w:t xml:space="preserve">Case studies on </w:t>
      </w:r>
      <w:r w:rsidR="00DC7C04" w:rsidRPr="00FE3368">
        <w:rPr>
          <w:rFonts w:ascii="Arial" w:hAnsi="Arial" w:cs="Arial"/>
          <w:b/>
        </w:rPr>
        <w:t>N</w:t>
      </w:r>
      <w:r w:rsidR="00DC7C04">
        <w:rPr>
          <w:rFonts w:ascii="Arial" w:hAnsi="Arial" w:cs="Arial"/>
          <w:b/>
        </w:rPr>
        <w:t>exus</w:t>
      </w:r>
      <w:r w:rsidR="00DC7C04" w:rsidRPr="00FE3368">
        <w:rPr>
          <w:rFonts w:ascii="Arial" w:hAnsi="Arial" w:cs="Arial"/>
          <w:b/>
        </w:rPr>
        <w:t xml:space="preserve"> </w:t>
      </w:r>
      <w:r w:rsidR="00731812" w:rsidRPr="00FE3368">
        <w:rPr>
          <w:rFonts w:ascii="Arial" w:hAnsi="Arial" w:cs="Arial"/>
          <w:b/>
        </w:rPr>
        <w:t>in Korea and</w:t>
      </w:r>
      <w:r w:rsidR="00731812" w:rsidRPr="00FE3368">
        <w:rPr>
          <w:rFonts w:ascii="Arial" w:hAnsi="Arial" w:cs="Arial"/>
        </w:rPr>
        <w:t xml:space="preserve"> </w:t>
      </w:r>
      <w:r w:rsidR="00DB0324" w:rsidRPr="00FE3368">
        <w:rPr>
          <w:rFonts w:ascii="Arial" w:hAnsi="Arial" w:cs="Arial"/>
          <w:b/>
        </w:rPr>
        <w:t xml:space="preserve">Identification of </w:t>
      </w:r>
      <w:r w:rsidR="00230F9D" w:rsidRPr="00FE3368">
        <w:rPr>
          <w:rFonts w:ascii="Arial" w:hAnsi="Arial" w:cs="Arial"/>
          <w:b/>
        </w:rPr>
        <w:t>potential Nexus projects</w:t>
      </w:r>
      <w:r w:rsidR="00DB0324" w:rsidRPr="00FE3368">
        <w:rPr>
          <w:rFonts w:ascii="Arial" w:hAnsi="Arial" w:cs="Arial"/>
          <w:b/>
        </w:rPr>
        <w:t xml:space="preserve"> </w:t>
      </w:r>
      <w:r w:rsidR="001032EE" w:rsidRPr="00FE3368">
        <w:rPr>
          <w:rFonts w:ascii="Arial" w:hAnsi="Arial" w:cs="Arial"/>
          <w:b/>
        </w:rPr>
        <w:t>for</w:t>
      </w:r>
      <w:r w:rsidR="00DB0324" w:rsidRPr="00FE3368">
        <w:rPr>
          <w:rFonts w:ascii="Arial" w:hAnsi="Arial" w:cs="Arial"/>
          <w:b/>
        </w:rPr>
        <w:t xml:space="preserve"> LAC region </w:t>
      </w:r>
      <w:r w:rsidRPr="00FE3368">
        <w:rPr>
          <w:rFonts w:ascii="Arial" w:hAnsi="Arial" w:cs="Arial"/>
          <w:b/>
        </w:rPr>
        <w:t>(US$2</w:t>
      </w:r>
      <w:r w:rsidR="00DB0324" w:rsidRPr="00FE3368">
        <w:rPr>
          <w:rFonts w:ascii="Arial" w:hAnsi="Arial" w:cs="Arial"/>
          <w:b/>
        </w:rPr>
        <w:t>0</w:t>
      </w:r>
      <w:r w:rsidRPr="00FE3368">
        <w:rPr>
          <w:rFonts w:ascii="Arial" w:hAnsi="Arial" w:cs="Arial"/>
          <w:b/>
        </w:rPr>
        <w:t>0,000).</w:t>
      </w:r>
      <w:r w:rsidR="00E4580A" w:rsidRPr="00FE3368">
        <w:rPr>
          <w:rFonts w:ascii="Arial" w:hAnsi="Arial" w:cs="Arial"/>
          <w:b/>
        </w:rPr>
        <w:t xml:space="preserve"> </w:t>
      </w:r>
      <w:r w:rsidR="00E4580A" w:rsidRPr="00FE3368">
        <w:rPr>
          <w:rFonts w:ascii="Arial" w:hAnsi="Arial" w:cs="Arial"/>
        </w:rPr>
        <w:t>This component will finance a series of activities to identify potential Nexus projects</w:t>
      </w:r>
      <w:r w:rsidR="00894673" w:rsidRPr="00FE3368">
        <w:rPr>
          <w:rFonts w:ascii="Arial" w:hAnsi="Arial" w:cs="Arial"/>
        </w:rPr>
        <w:t xml:space="preserve"> </w:t>
      </w:r>
      <w:r w:rsidR="00EA60A9" w:rsidRPr="00FE3368">
        <w:rPr>
          <w:rFonts w:ascii="Arial" w:hAnsi="Arial" w:cs="Arial"/>
        </w:rPr>
        <w:t xml:space="preserve">in LAC region </w:t>
      </w:r>
      <w:r w:rsidR="0080720B" w:rsidRPr="00FE3368">
        <w:rPr>
          <w:rFonts w:ascii="Arial" w:hAnsi="Arial" w:cs="Arial"/>
        </w:rPr>
        <w:t xml:space="preserve">applying </w:t>
      </w:r>
      <w:r w:rsidR="00F92485" w:rsidRPr="00FE3368">
        <w:rPr>
          <w:rFonts w:ascii="Arial" w:hAnsi="Arial" w:cs="Arial"/>
        </w:rPr>
        <w:t>experience</w:t>
      </w:r>
      <w:r w:rsidR="008455D5" w:rsidRPr="00FE3368">
        <w:rPr>
          <w:rFonts w:ascii="Arial" w:hAnsi="Arial" w:cs="Arial"/>
        </w:rPr>
        <w:t>s</w:t>
      </w:r>
      <w:r w:rsidR="00F92485" w:rsidRPr="00FE3368">
        <w:rPr>
          <w:rFonts w:ascii="Arial" w:hAnsi="Arial" w:cs="Arial"/>
        </w:rPr>
        <w:t xml:space="preserve"> of Korea.</w:t>
      </w:r>
      <w:r w:rsidR="006C49FD" w:rsidRPr="00FE3368">
        <w:rPr>
          <w:rFonts w:ascii="Arial" w:hAnsi="Arial" w:cs="Arial"/>
        </w:rPr>
        <w:t xml:space="preserve"> </w:t>
      </w:r>
      <w:r w:rsidR="001032EE" w:rsidRPr="00FE3368">
        <w:rPr>
          <w:rFonts w:ascii="Arial" w:hAnsi="Arial" w:cs="Arial"/>
        </w:rPr>
        <w:t xml:space="preserve">The first activity will identify successful </w:t>
      </w:r>
      <w:r w:rsidR="00A31E19" w:rsidRPr="00FE3368">
        <w:rPr>
          <w:rFonts w:ascii="Arial" w:hAnsi="Arial" w:cs="Arial"/>
        </w:rPr>
        <w:t>N</w:t>
      </w:r>
      <w:r w:rsidR="00A31E19">
        <w:rPr>
          <w:rFonts w:ascii="Arial" w:hAnsi="Arial" w:cs="Arial"/>
        </w:rPr>
        <w:t>exus</w:t>
      </w:r>
      <w:r w:rsidR="00A31E19" w:rsidRPr="00FE3368">
        <w:rPr>
          <w:rFonts w:ascii="Arial" w:hAnsi="Arial" w:cs="Arial"/>
        </w:rPr>
        <w:t xml:space="preserve"> </w:t>
      </w:r>
      <w:r w:rsidR="001032EE" w:rsidRPr="00FE3368">
        <w:rPr>
          <w:rFonts w:ascii="Arial" w:hAnsi="Arial" w:cs="Arial"/>
        </w:rPr>
        <w:t xml:space="preserve">cases of Korea. </w:t>
      </w:r>
      <w:r w:rsidR="006A1553" w:rsidRPr="00FE3368">
        <w:rPr>
          <w:rFonts w:ascii="Arial" w:hAnsi="Arial" w:cs="Arial"/>
        </w:rPr>
        <w:t xml:space="preserve">Their </w:t>
      </w:r>
      <w:r w:rsidR="008605AC" w:rsidRPr="00FE3368">
        <w:rPr>
          <w:rFonts w:ascii="Arial" w:hAnsi="Arial" w:cs="Arial"/>
        </w:rPr>
        <w:t>contents such as background, project scope, cost and benefit will be reviewed and effectiveness and efficiency</w:t>
      </w:r>
      <w:r w:rsidR="0066230D" w:rsidRPr="00FE3368">
        <w:rPr>
          <w:rFonts w:ascii="Arial" w:hAnsi="Arial" w:cs="Arial"/>
        </w:rPr>
        <w:t xml:space="preserve"> through the integration of water, energy and food</w:t>
      </w:r>
      <w:r w:rsidR="008605AC" w:rsidRPr="00FE3368">
        <w:rPr>
          <w:rFonts w:ascii="Arial" w:hAnsi="Arial" w:cs="Arial"/>
        </w:rPr>
        <w:t xml:space="preserve"> will be assessed. </w:t>
      </w:r>
      <w:r w:rsidR="006C49FD" w:rsidRPr="00FE3368">
        <w:rPr>
          <w:rFonts w:ascii="Arial" w:hAnsi="Arial" w:cs="Arial"/>
        </w:rPr>
        <w:t xml:space="preserve">The </w:t>
      </w:r>
      <w:r w:rsidR="008605AC" w:rsidRPr="00FE3368">
        <w:rPr>
          <w:rFonts w:ascii="Arial" w:hAnsi="Arial" w:cs="Arial"/>
        </w:rPr>
        <w:t>second</w:t>
      </w:r>
      <w:r w:rsidR="006C49FD" w:rsidRPr="00FE3368">
        <w:rPr>
          <w:rFonts w:ascii="Arial" w:hAnsi="Arial" w:cs="Arial"/>
        </w:rPr>
        <w:t xml:space="preserve"> activity will </w:t>
      </w:r>
      <w:r w:rsidR="00BB4BF3" w:rsidRPr="00FE3368">
        <w:rPr>
          <w:rFonts w:ascii="Arial" w:hAnsi="Arial" w:cs="Arial"/>
        </w:rPr>
        <w:t xml:space="preserve">identify </w:t>
      </w:r>
      <w:r w:rsidR="006C49FD" w:rsidRPr="00FE3368">
        <w:rPr>
          <w:rFonts w:ascii="Arial" w:hAnsi="Arial" w:cs="Arial"/>
        </w:rPr>
        <w:t>demand</w:t>
      </w:r>
      <w:r w:rsidR="00150EAB" w:rsidRPr="00FE3368">
        <w:rPr>
          <w:rFonts w:ascii="Arial" w:hAnsi="Arial" w:cs="Arial"/>
        </w:rPr>
        <w:t>s</w:t>
      </w:r>
      <w:r w:rsidR="0066230D" w:rsidRPr="00FE3368">
        <w:rPr>
          <w:rFonts w:ascii="Arial" w:hAnsi="Arial" w:cs="Arial"/>
        </w:rPr>
        <w:t xml:space="preserve"> for </w:t>
      </w:r>
      <w:r w:rsidR="00A31E19" w:rsidRPr="00FE3368">
        <w:rPr>
          <w:rFonts w:ascii="Arial" w:hAnsi="Arial" w:cs="Arial"/>
        </w:rPr>
        <w:t>N</w:t>
      </w:r>
      <w:r w:rsidR="00A31E19">
        <w:rPr>
          <w:rFonts w:ascii="Arial" w:hAnsi="Arial" w:cs="Arial"/>
        </w:rPr>
        <w:t>exus</w:t>
      </w:r>
      <w:r w:rsidR="00A31E19" w:rsidRPr="00FE3368">
        <w:rPr>
          <w:rFonts w:ascii="Arial" w:hAnsi="Arial" w:cs="Arial"/>
        </w:rPr>
        <w:t xml:space="preserve"> </w:t>
      </w:r>
      <w:r w:rsidR="006C49FD" w:rsidRPr="00FE3368">
        <w:rPr>
          <w:rFonts w:ascii="Arial" w:hAnsi="Arial" w:cs="Arial"/>
        </w:rPr>
        <w:t xml:space="preserve">in LAC region by mapping </w:t>
      </w:r>
      <w:r w:rsidR="0066230D" w:rsidRPr="00FE3368">
        <w:rPr>
          <w:rFonts w:ascii="Arial" w:hAnsi="Arial" w:cs="Arial"/>
        </w:rPr>
        <w:t>water, energy and food</w:t>
      </w:r>
      <w:r w:rsidR="006C49FD" w:rsidRPr="00FE3368">
        <w:rPr>
          <w:rFonts w:ascii="Arial" w:hAnsi="Arial" w:cs="Arial"/>
        </w:rPr>
        <w:t xml:space="preserve"> needs in different countries as a part of preliminary identification of pilot</w:t>
      </w:r>
      <w:r w:rsidR="00C31728" w:rsidRPr="00FE3368">
        <w:rPr>
          <w:rFonts w:ascii="Arial" w:hAnsi="Arial" w:cs="Arial"/>
        </w:rPr>
        <w:t xml:space="preserve"> projects</w:t>
      </w:r>
      <w:r w:rsidR="006C49FD" w:rsidRPr="00FE3368">
        <w:rPr>
          <w:rFonts w:ascii="Arial" w:hAnsi="Arial" w:cs="Arial"/>
        </w:rPr>
        <w:t>.</w:t>
      </w:r>
      <w:r w:rsidR="003E42DF" w:rsidRPr="00FE3368">
        <w:rPr>
          <w:rFonts w:ascii="Arial" w:hAnsi="Arial" w:cs="Arial"/>
        </w:rPr>
        <w:t xml:space="preserve"> </w:t>
      </w:r>
      <w:r w:rsidR="004D3D46" w:rsidRPr="00FE3368">
        <w:rPr>
          <w:rFonts w:ascii="Arial" w:hAnsi="Arial" w:cs="Arial"/>
        </w:rPr>
        <w:t>Surveys</w:t>
      </w:r>
      <w:r w:rsidR="006643BA" w:rsidRPr="00FE3368">
        <w:rPr>
          <w:rFonts w:ascii="Arial" w:hAnsi="Arial" w:cs="Arial"/>
        </w:rPr>
        <w:t xml:space="preserve"> </w:t>
      </w:r>
      <w:r w:rsidR="004D3D46" w:rsidRPr="00FE3368">
        <w:rPr>
          <w:rFonts w:ascii="Arial" w:hAnsi="Arial" w:cs="Arial"/>
        </w:rPr>
        <w:t xml:space="preserve">will </w:t>
      </w:r>
      <w:r w:rsidR="00C258D9" w:rsidRPr="00FE3368">
        <w:rPr>
          <w:rFonts w:ascii="Arial" w:hAnsi="Arial" w:cs="Arial"/>
        </w:rPr>
        <w:t>be conducted</w:t>
      </w:r>
      <w:r w:rsidR="00DB6971" w:rsidRPr="00FE3368">
        <w:rPr>
          <w:rFonts w:ascii="Arial" w:hAnsi="Arial" w:cs="Arial"/>
        </w:rPr>
        <w:t xml:space="preserve"> with</w:t>
      </w:r>
      <w:r w:rsidR="00C258D9" w:rsidRPr="00FE3368">
        <w:rPr>
          <w:rFonts w:ascii="Arial" w:hAnsi="Arial" w:cs="Arial"/>
        </w:rPr>
        <w:t xml:space="preserve"> IDB member countries to confirm their interest </w:t>
      </w:r>
      <w:r w:rsidR="00957901" w:rsidRPr="00FE3368">
        <w:rPr>
          <w:rFonts w:ascii="Arial" w:hAnsi="Arial" w:cs="Arial"/>
        </w:rPr>
        <w:t xml:space="preserve">and environment </w:t>
      </w:r>
      <w:r w:rsidR="00EE0A06" w:rsidRPr="00FE3368">
        <w:rPr>
          <w:rFonts w:ascii="Arial" w:hAnsi="Arial" w:cs="Arial"/>
        </w:rPr>
        <w:t>for</w:t>
      </w:r>
      <w:r w:rsidR="008F0880" w:rsidRPr="00FE3368">
        <w:rPr>
          <w:rFonts w:ascii="Arial" w:hAnsi="Arial" w:cs="Arial"/>
        </w:rPr>
        <w:t xml:space="preserve"> </w:t>
      </w:r>
      <w:r w:rsidR="00540F59" w:rsidRPr="00FE3368">
        <w:rPr>
          <w:rFonts w:ascii="Arial" w:hAnsi="Arial" w:cs="Arial"/>
        </w:rPr>
        <w:t xml:space="preserve">potential </w:t>
      </w:r>
      <w:r w:rsidR="008F0880" w:rsidRPr="00FE3368">
        <w:rPr>
          <w:rFonts w:ascii="Arial" w:hAnsi="Arial" w:cs="Arial"/>
        </w:rPr>
        <w:t>Nexus</w:t>
      </w:r>
      <w:r w:rsidR="00EE0A06" w:rsidRPr="00FE3368">
        <w:rPr>
          <w:rFonts w:ascii="Arial" w:hAnsi="Arial" w:cs="Arial"/>
        </w:rPr>
        <w:t xml:space="preserve"> projects</w:t>
      </w:r>
      <w:r w:rsidR="00DA6A4F" w:rsidRPr="00FE3368">
        <w:rPr>
          <w:rFonts w:ascii="Arial" w:hAnsi="Arial" w:cs="Arial"/>
        </w:rPr>
        <w:t xml:space="preserve"> which correspond to</w:t>
      </w:r>
      <w:r w:rsidR="00DB4B94" w:rsidRPr="00FE3368">
        <w:rPr>
          <w:rFonts w:ascii="Arial" w:hAnsi="Arial" w:cs="Arial"/>
        </w:rPr>
        <w:t xml:space="preserve"> the</w:t>
      </w:r>
      <w:r w:rsidR="00DA6A4F" w:rsidRPr="00FE3368">
        <w:rPr>
          <w:rFonts w:ascii="Arial" w:hAnsi="Arial" w:cs="Arial"/>
        </w:rPr>
        <w:t xml:space="preserve"> </w:t>
      </w:r>
      <w:r w:rsidR="00A428B7" w:rsidRPr="00FE3368">
        <w:rPr>
          <w:rFonts w:ascii="Arial" w:hAnsi="Arial" w:cs="Arial"/>
        </w:rPr>
        <w:t>potential Nexus projects</w:t>
      </w:r>
      <w:r w:rsidR="00AD3720" w:rsidRPr="00FE3368">
        <w:rPr>
          <w:rFonts w:ascii="Arial" w:hAnsi="Arial" w:cs="Arial"/>
        </w:rPr>
        <w:t xml:space="preserve"> identified by the first activity</w:t>
      </w:r>
      <w:r w:rsidR="00A428B7" w:rsidRPr="00FE3368">
        <w:rPr>
          <w:rFonts w:ascii="Arial" w:hAnsi="Arial" w:cs="Arial"/>
        </w:rPr>
        <w:t>.</w:t>
      </w:r>
      <w:r w:rsidR="009D1BB3" w:rsidRPr="00FE3368">
        <w:rPr>
          <w:rFonts w:ascii="Arial" w:hAnsi="Arial" w:cs="Arial"/>
        </w:rPr>
        <w:t xml:space="preserve"> </w:t>
      </w:r>
      <w:r w:rsidR="00AE1108" w:rsidRPr="00FE3368">
        <w:rPr>
          <w:rFonts w:ascii="Arial" w:hAnsi="Arial" w:cs="Arial"/>
        </w:rPr>
        <w:t xml:space="preserve">At the end of this activity, </w:t>
      </w:r>
      <w:r w:rsidR="00725FC2" w:rsidRPr="00FE3368">
        <w:rPr>
          <w:rFonts w:ascii="Arial" w:hAnsi="Arial" w:cs="Arial"/>
        </w:rPr>
        <w:t>a workshop will be held</w:t>
      </w:r>
      <w:r w:rsidR="00AE1108" w:rsidRPr="00FE3368">
        <w:rPr>
          <w:rFonts w:ascii="Arial" w:hAnsi="Arial" w:cs="Arial"/>
        </w:rPr>
        <w:t xml:space="preserve"> </w:t>
      </w:r>
      <w:r w:rsidR="00527688" w:rsidRPr="00FE3368">
        <w:rPr>
          <w:rFonts w:ascii="Arial" w:hAnsi="Arial" w:cs="Arial"/>
        </w:rPr>
        <w:t>for</w:t>
      </w:r>
      <w:r w:rsidR="00763EB3" w:rsidRPr="00FE3368">
        <w:rPr>
          <w:rFonts w:ascii="Arial" w:hAnsi="Arial" w:cs="Arial"/>
        </w:rPr>
        <w:t xml:space="preserve"> </w:t>
      </w:r>
      <w:r w:rsidR="00B020ED" w:rsidRPr="00FE3368">
        <w:rPr>
          <w:rFonts w:ascii="Arial" w:hAnsi="Arial" w:cs="Arial"/>
        </w:rPr>
        <w:t xml:space="preserve">LAC </w:t>
      </w:r>
      <w:r w:rsidR="00527688" w:rsidRPr="00FE3368">
        <w:rPr>
          <w:rFonts w:ascii="Arial" w:hAnsi="Arial" w:cs="Arial"/>
        </w:rPr>
        <w:t xml:space="preserve">countries </w:t>
      </w:r>
      <w:r w:rsidR="00032271" w:rsidRPr="00FE3368">
        <w:rPr>
          <w:rFonts w:ascii="Arial" w:hAnsi="Arial" w:cs="Arial"/>
        </w:rPr>
        <w:t>wh</w:t>
      </w:r>
      <w:r w:rsidR="00AF43E6" w:rsidRPr="00FE3368">
        <w:rPr>
          <w:rFonts w:ascii="Arial" w:hAnsi="Arial" w:cs="Arial"/>
        </w:rPr>
        <w:t>i</w:t>
      </w:r>
      <w:r w:rsidR="00032271" w:rsidRPr="00FE3368">
        <w:rPr>
          <w:rFonts w:ascii="Arial" w:hAnsi="Arial" w:cs="Arial"/>
        </w:rPr>
        <w:t>ch</w:t>
      </w:r>
      <w:r w:rsidR="007F46B9" w:rsidRPr="00FE3368">
        <w:rPr>
          <w:rFonts w:ascii="Arial" w:hAnsi="Arial" w:cs="Arial"/>
        </w:rPr>
        <w:t xml:space="preserve"> showed much </w:t>
      </w:r>
      <w:r w:rsidR="00527688" w:rsidRPr="00FE3368">
        <w:rPr>
          <w:rFonts w:ascii="Arial" w:hAnsi="Arial" w:cs="Arial"/>
        </w:rPr>
        <w:t>interest</w:t>
      </w:r>
      <w:r w:rsidR="007F46B9" w:rsidRPr="00FE3368">
        <w:rPr>
          <w:rFonts w:ascii="Arial" w:hAnsi="Arial" w:cs="Arial"/>
        </w:rPr>
        <w:t xml:space="preserve"> on</w:t>
      </w:r>
      <w:r w:rsidR="00763EB3" w:rsidRPr="00FE3368">
        <w:rPr>
          <w:rFonts w:ascii="Arial" w:hAnsi="Arial" w:cs="Arial"/>
        </w:rPr>
        <w:t xml:space="preserve"> Nexus. </w:t>
      </w:r>
      <w:r w:rsidR="00E8071C" w:rsidRPr="00FE3368">
        <w:rPr>
          <w:rFonts w:ascii="Arial" w:hAnsi="Arial" w:cs="Arial"/>
        </w:rPr>
        <w:t xml:space="preserve">The workshop will comprise lectures and site-visits on the Nexus cases </w:t>
      </w:r>
      <w:r w:rsidR="00286B10" w:rsidRPr="00FE3368">
        <w:rPr>
          <w:rFonts w:ascii="Arial" w:hAnsi="Arial" w:cs="Arial"/>
        </w:rPr>
        <w:t>related to</w:t>
      </w:r>
      <w:r w:rsidR="00E8071C" w:rsidRPr="00FE3368">
        <w:rPr>
          <w:rFonts w:ascii="Arial" w:hAnsi="Arial" w:cs="Arial"/>
        </w:rPr>
        <w:t xml:space="preserve"> major areas of interest </w:t>
      </w:r>
      <w:r w:rsidR="007A146A" w:rsidRPr="00FE3368">
        <w:rPr>
          <w:rFonts w:ascii="Arial" w:hAnsi="Arial" w:cs="Arial"/>
        </w:rPr>
        <w:t>of</w:t>
      </w:r>
      <w:r w:rsidR="00086DD5" w:rsidRPr="00FE3368">
        <w:rPr>
          <w:rFonts w:ascii="Arial" w:hAnsi="Arial" w:cs="Arial"/>
        </w:rPr>
        <w:t xml:space="preserve"> </w:t>
      </w:r>
      <w:r w:rsidR="00E8071C" w:rsidRPr="00FE3368">
        <w:rPr>
          <w:rFonts w:ascii="Arial" w:hAnsi="Arial" w:cs="Arial"/>
        </w:rPr>
        <w:t>Korea and the participant countries.</w:t>
      </w:r>
      <w:r w:rsidR="00B80E05" w:rsidRPr="00FE3368">
        <w:rPr>
          <w:rFonts w:ascii="Arial" w:hAnsi="Arial" w:cs="Arial"/>
        </w:rPr>
        <w:t xml:space="preserve"> E</w:t>
      </w:r>
      <w:r w:rsidR="00E8071C" w:rsidRPr="00FE3368">
        <w:rPr>
          <w:rFonts w:ascii="Arial" w:hAnsi="Arial" w:cs="Arial"/>
        </w:rPr>
        <w:t>ach participant country will submit a proposal to develop a new Nexus project</w:t>
      </w:r>
      <w:r w:rsidR="00B80E05" w:rsidRPr="00FE3368">
        <w:rPr>
          <w:rFonts w:ascii="Arial" w:hAnsi="Arial" w:cs="Arial"/>
        </w:rPr>
        <w:t xml:space="preserve"> </w:t>
      </w:r>
      <w:r w:rsidR="00E8071C" w:rsidRPr="00FE3368">
        <w:rPr>
          <w:rFonts w:ascii="Arial" w:hAnsi="Arial" w:cs="Arial"/>
        </w:rPr>
        <w:t>in accordance with the development strategy of both the participant country and the IDB water and sanitation division.</w:t>
      </w:r>
      <w:r w:rsidR="00CD4C02" w:rsidRPr="00FE3368">
        <w:rPr>
          <w:rFonts w:ascii="Arial" w:hAnsi="Arial" w:cs="Arial"/>
        </w:rPr>
        <w:t xml:space="preserve"> </w:t>
      </w:r>
      <w:r w:rsidR="00AE5A98" w:rsidRPr="00FE3368">
        <w:rPr>
          <w:rFonts w:ascii="Arial" w:hAnsi="Arial" w:cs="Arial"/>
        </w:rPr>
        <w:t xml:space="preserve">After </w:t>
      </w:r>
      <w:r w:rsidR="005177BE" w:rsidRPr="00FE3368">
        <w:rPr>
          <w:rFonts w:ascii="Arial" w:hAnsi="Arial" w:cs="Arial"/>
        </w:rPr>
        <w:t>the</w:t>
      </w:r>
      <w:r w:rsidR="00AE5A98" w:rsidRPr="00FE3368">
        <w:rPr>
          <w:rFonts w:ascii="Arial" w:hAnsi="Arial" w:cs="Arial"/>
        </w:rPr>
        <w:t xml:space="preserve"> workshop, </w:t>
      </w:r>
      <w:r w:rsidR="00AF43E6" w:rsidRPr="00FE3368">
        <w:rPr>
          <w:rFonts w:ascii="Arial" w:hAnsi="Arial" w:cs="Arial"/>
        </w:rPr>
        <w:t>two or</w:t>
      </w:r>
      <w:r w:rsidR="00864057" w:rsidRPr="00FE3368">
        <w:rPr>
          <w:rFonts w:ascii="Arial" w:hAnsi="Arial" w:cs="Arial"/>
        </w:rPr>
        <w:t xml:space="preserve"> three</w:t>
      </w:r>
      <w:r w:rsidR="00FE76D2" w:rsidRPr="00FE3368">
        <w:rPr>
          <w:rFonts w:ascii="Arial" w:hAnsi="Arial" w:cs="Arial"/>
        </w:rPr>
        <w:t xml:space="preserve"> </w:t>
      </w:r>
      <w:r w:rsidR="00AE5A98" w:rsidRPr="00FE3368">
        <w:rPr>
          <w:rFonts w:ascii="Arial" w:hAnsi="Arial" w:cs="Arial"/>
        </w:rPr>
        <w:t>potential project</w:t>
      </w:r>
      <w:r w:rsidR="00FE76D2" w:rsidRPr="00FE3368">
        <w:rPr>
          <w:rFonts w:ascii="Arial" w:hAnsi="Arial" w:cs="Arial"/>
        </w:rPr>
        <w:t>s</w:t>
      </w:r>
      <w:r w:rsidR="00AE5A98" w:rsidRPr="00FE3368">
        <w:rPr>
          <w:rFonts w:ascii="Arial" w:hAnsi="Arial" w:cs="Arial"/>
        </w:rPr>
        <w:t xml:space="preserve"> will be selected to proceed with </w:t>
      </w:r>
      <w:r w:rsidR="00FB7275" w:rsidRPr="00FE3368">
        <w:rPr>
          <w:rFonts w:ascii="Arial" w:hAnsi="Arial" w:cs="Arial"/>
        </w:rPr>
        <w:t xml:space="preserve">pilot </w:t>
      </w:r>
      <w:r w:rsidR="00AE5A98" w:rsidRPr="00FE3368">
        <w:rPr>
          <w:rFonts w:ascii="Arial" w:hAnsi="Arial" w:cs="Arial"/>
        </w:rPr>
        <w:t>pre-feasibility stud</w:t>
      </w:r>
      <w:r w:rsidR="00FB7275" w:rsidRPr="00FE3368">
        <w:rPr>
          <w:rFonts w:ascii="Arial" w:hAnsi="Arial" w:cs="Arial"/>
        </w:rPr>
        <w:t>ies</w:t>
      </w:r>
      <w:r w:rsidR="00AE5A98" w:rsidRPr="00FE3368">
        <w:rPr>
          <w:rFonts w:ascii="Arial" w:hAnsi="Arial" w:cs="Arial"/>
        </w:rPr>
        <w:t>.</w:t>
      </w:r>
      <w:r w:rsidR="00584891" w:rsidRPr="00FE3368">
        <w:rPr>
          <w:rFonts w:ascii="Arial" w:hAnsi="Arial" w:cs="Arial"/>
        </w:rPr>
        <w:t xml:space="preserve"> </w:t>
      </w:r>
      <w:r w:rsidR="00A50D44" w:rsidRPr="00FE3368">
        <w:rPr>
          <w:rFonts w:ascii="Arial" w:hAnsi="Arial" w:cs="Arial"/>
        </w:rPr>
        <w:t xml:space="preserve">The third activity </w:t>
      </w:r>
      <w:r w:rsidR="002D23F4" w:rsidRPr="00FE3368">
        <w:rPr>
          <w:rFonts w:ascii="Arial" w:hAnsi="Arial" w:cs="Arial"/>
        </w:rPr>
        <w:t>will</w:t>
      </w:r>
      <w:r w:rsidR="00F5581C" w:rsidRPr="00FE3368">
        <w:rPr>
          <w:rFonts w:ascii="Arial" w:hAnsi="Arial" w:cs="Arial"/>
        </w:rPr>
        <w:t xml:space="preserve"> </w:t>
      </w:r>
      <w:r w:rsidR="006903E4" w:rsidRPr="00FE3368">
        <w:rPr>
          <w:rFonts w:ascii="Arial" w:hAnsi="Arial" w:cs="Arial"/>
        </w:rPr>
        <w:t xml:space="preserve">evaluate </w:t>
      </w:r>
      <w:r w:rsidR="00030ED6" w:rsidRPr="00FE3368">
        <w:rPr>
          <w:rFonts w:ascii="Arial" w:hAnsi="Arial" w:cs="Arial"/>
        </w:rPr>
        <w:t xml:space="preserve">the </w:t>
      </w:r>
      <w:r w:rsidR="006903E4" w:rsidRPr="00FE3368">
        <w:rPr>
          <w:rFonts w:ascii="Arial" w:hAnsi="Arial" w:cs="Arial"/>
        </w:rPr>
        <w:t>expected outcomes</w:t>
      </w:r>
      <w:r w:rsidR="00374E84" w:rsidRPr="00FE3368">
        <w:rPr>
          <w:rFonts w:ascii="Arial" w:hAnsi="Arial" w:cs="Arial"/>
        </w:rPr>
        <w:t xml:space="preserve"> of the selected potential projects</w:t>
      </w:r>
      <w:r w:rsidR="006E5750" w:rsidRPr="00FE3368">
        <w:rPr>
          <w:rFonts w:ascii="Arial" w:hAnsi="Arial" w:cs="Arial"/>
        </w:rPr>
        <w:t xml:space="preserve"> </w:t>
      </w:r>
      <w:r w:rsidR="009F20EC" w:rsidRPr="00FE3368">
        <w:rPr>
          <w:rFonts w:ascii="Arial" w:hAnsi="Arial" w:cs="Arial"/>
        </w:rPr>
        <w:t xml:space="preserve">from a Nexus perspective. </w:t>
      </w:r>
      <w:r w:rsidR="00A95AE1" w:rsidRPr="00FE3368">
        <w:rPr>
          <w:rFonts w:ascii="Arial" w:hAnsi="Arial" w:cs="Arial"/>
        </w:rPr>
        <w:t>N</w:t>
      </w:r>
      <w:r w:rsidR="002D23F4" w:rsidRPr="00FE3368">
        <w:rPr>
          <w:rFonts w:ascii="Arial" w:hAnsi="Arial" w:cs="Arial"/>
        </w:rPr>
        <w:t>exus scenario analysis</w:t>
      </w:r>
      <w:r w:rsidR="00A95AE1" w:rsidRPr="00FE3368">
        <w:rPr>
          <w:rFonts w:ascii="Arial" w:hAnsi="Arial" w:cs="Arial"/>
        </w:rPr>
        <w:t xml:space="preserve"> </w:t>
      </w:r>
      <w:r w:rsidR="00337537" w:rsidRPr="00FE3368">
        <w:rPr>
          <w:rFonts w:ascii="Arial" w:hAnsi="Arial" w:cs="Arial"/>
        </w:rPr>
        <w:t xml:space="preserve">will </w:t>
      </w:r>
      <w:r w:rsidR="00A95AE1" w:rsidRPr="00FE3368">
        <w:rPr>
          <w:rFonts w:ascii="Arial" w:hAnsi="Arial" w:cs="Arial"/>
        </w:rPr>
        <w:t>be applied to each potential project</w:t>
      </w:r>
      <w:r w:rsidR="00073131" w:rsidRPr="00FE3368">
        <w:rPr>
          <w:rFonts w:ascii="Arial" w:hAnsi="Arial" w:cs="Arial"/>
        </w:rPr>
        <w:t xml:space="preserve"> </w:t>
      </w:r>
      <w:r w:rsidR="003842E8" w:rsidRPr="00FE3368">
        <w:rPr>
          <w:rFonts w:ascii="Arial" w:hAnsi="Arial" w:cs="Arial"/>
        </w:rPr>
        <w:t>f</w:t>
      </w:r>
      <w:r w:rsidR="006B0E15" w:rsidRPr="00FE3368">
        <w:rPr>
          <w:rFonts w:ascii="Arial" w:hAnsi="Arial" w:cs="Arial"/>
        </w:rPr>
        <w:t xml:space="preserve">or </w:t>
      </w:r>
      <w:r w:rsidR="003842E8" w:rsidRPr="00FE3368">
        <w:rPr>
          <w:rFonts w:ascii="Arial" w:hAnsi="Arial" w:cs="Arial"/>
        </w:rPr>
        <w:t xml:space="preserve">the </w:t>
      </w:r>
      <w:r w:rsidR="006B0E15" w:rsidRPr="00FE3368">
        <w:rPr>
          <w:rFonts w:ascii="Arial" w:hAnsi="Arial" w:cs="Arial"/>
        </w:rPr>
        <w:t>comprehensive management</w:t>
      </w:r>
      <w:r w:rsidR="00E30F7E" w:rsidRPr="00FE3368">
        <w:rPr>
          <w:rFonts w:ascii="Arial" w:hAnsi="Arial" w:cs="Arial"/>
        </w:rPr>
        <w:t xml:space="preserve"> of </w:t>
      </w:r>
      <w:r w:rsidR="002B1D87" w:rsidRPr="00FE3368">
        <w:rPr>
          <w:rFonts w:ascii="Arial" w:hAnsi="Arial" w:cs="Arial"/>
        </w:rPr>
        <w:t>water, energy, f</w:t>
      </w:r>
      <w:r w:rsidR="00E30F7E" w:rsidRPr="00FE3368">
        <w:rPr>
          <w:rFonts w:ascii="Arial" w:hAnsi="Arial" w:cs="Arial"/>
        </w:rPr>
        <w:t>ood resources.</w:t>
      </w:r>
    </w:p>
    <w:p w14:paraId="613586CD" w14:textId="77777777" w:rsidR="006074C0" w:rsidRPr="00155190" w:rsidRDefault="006074C0" w:rsidP="00D21D56">
      <w:pPr>
        <w:pStyle w:val="ListParagraph"/>
        <w:spacing w:before="120" w:after="120"/>
        <w:ind w:left="360"/>
        <w:jc w:val="both"/>
        <w:rPr>
          <w:rFonts w:ascii="Arial" w:hAnsi="Arial" w:cs="Arial"/>
        </w:rPr>
      </w:pPr>
    </w:p>
    <w:p w14:paraId="3BDC5B5C" w14:textId="233AD42E" w:rsidR="00CE394E" w:rsidRPr="00FE3368" w:rsidRDefault="00074B68" w:rsidP="00155190">
      <w:pPr>
        <w:pStyle w:val="ListParagraph"/>
        <w:numPr>
          <w:ilvl w:val="1"/>
          <w:numId w:val="5"/>
        </w:numPr>
        <w:spacing w:before="120" w:after="120"/>
        <w:ind w:left="360" w:hanging="540"/>
        <w:jc w:val="both"/>
        <w:rPr>
          <w:rFonts w:ascii="Arial" w:hAnsi="Arial" w:cs="Arial"/>
        </w:rPr>
      </w:pPr>
      <w:r w:rsidRPr="00FE3368">
        <w:rPr>
          <w:rFonts w:ascii="Arial" w:hAnsi="Arial" w:cs="Arial"/>
          <w:b/>
        </w:rPr>
        <w:t>Component 2: Pilot pre-</w:t>
      </w:r>
      <w:r w:rsidR="00C44D60" w:rsidRPr="00FE3368">
        <w:rPr>
          <w:rFonts w:ascii="Arial" w:hAnsi="Arial" w:cs="Arial"/>
          <w:b/>
        </w:rPr>
        <w:t>feasibility stud</w:t>
      </w:r>
      <w:r w:rsidR="00FE76D2" w:rsidRPr="00FE3368">
        <w:rPr>
          <w:rFonts w:ascii="Arial" w:hAnsi="Arial" w:cs="Arial"/>
          <w:b/>
        </w:rPr>
        <w:t>ies</w:t>
      </w:r>
      <w:r w:rsidR="001269FA" w:rsidRPr="00FE3368">
        <w:rPr>
          <w:rFonts w:ascii="Arial" w:hAnsi="Arial" w:cs="Arial"/>
          <w:b/>
        </w:rPr>
        <w:t xml:space="preserve"> on Nexus projects</w:t>
      </w:r>
      <w:r w:rsidR="00001201" w:rsidRPr="00FE3368">
        <w:rPr>
          <w:rFonts w:ascii="Arial" w:hAnsi="Arial" w:cs="Arial"/>
          <w:b/>
        </w:rPr>
        <w:t xml:space="preserve"> </w:t>
      </w:r>
      <w:r w:rsidR="00C44D60" w:rsidRPr="00FE3368">
        <w:rPr>
          <w:rFonts w:ascii="Arial" w:hAnsi="Arial" w:cs="Arial"/>
          <w:b/>
        </w:rPr>
        <w:t>(US$</w:t>
      </w:r>
      <w:r w:rsidR="00226CE5" w:rsidRPr="00FE3368">
        <w:rPr>
          <w:rFonts w:ascii="Arial" w:hAnsi="Arial" w:cs="Arial"/>
          <w:b/>
        </w:rPr>
        <w:t>300</w:t>
      </w:r>
      <w:r w:rsidR="00C44D60" w:rsidRPr="00FE3368">
        <w:rPr>
          <w:rFonts w:ascii="Arial" w:hAnsi="Arial" w:cs="Arial"/>
          <w:b/>
        </w:rPr>
        <w:t xml:space="preserve">,000). </w:t>
      </w:r>
      <w:r w:rsidR="00276124" w:rsidRPr="00FE3368">
        <w:rPr>
          <w:rFonts w:ascii="Arial" w:hAnsi="Arial" w:cs="Arial"/>
        </w:rPr>
        <w:t>This component</w:t>
      </w:r>
      <w:r w:rsidR="00756749" w:rsidRPr="00FE3368">
        <w:rPr>
          <w:rFonts w:ascii="Arial" w:hAnsi="Arial" w:cs="Arial"/>
        </w:rPr>
        <w:t xml:space="preserve"> includes activities for conducting pilot pre-feasibility</w:t>
      </w:r>
      <w:r w:rsidR="00E62772" w:rsidRPr="00FE3368">
        <w:rPr>
          <w:rFonts w:ascii="Arial" w:hAnsi="Arial" w:cs="Arial"/>
        </w:rPr>
        <w:t xml:space="preserve"> studies. </w:t>
      </w:r>
      <w:r w:rsidR="00A50C46" w:rsidRPr="00FE3368">
        <w:rPr>
          <w:rFonts w:ascii="Arial" w:hAnsi="Arial" w:cs="Arial"/>
        </w:rPr>
        <w:t xml:space="preserve">The number </w:t>
      </w:r>
      <w:r w:rsidR="00A21433" w:rsidRPr="00FE3368">
        <w:rPr>
          <w:rFonts w:ascii="Arial" w:hAnsi="Arial" w:cs="Arial"/>
        </w:rPr>
        <w:t xml:space="preserve">of </w:t>
      </w:r>
      <w:r w:rsidR="0004213B" w:rsidRPr="00FE3368">
        <w:rPr>
          <w:rFonts w:ascii="Arial" w:hAnsi="Arial" w:cs="Arial"/>
        </w:rPr>
        <w:t>pre-feasibility studies will be</w:t>
      </w:r>
      <w:r w:rsidR="00AE6F48" w:rsidRPr="00FE3368">
        <w:rPr>
          <w:rFonts w:ascii="Arial" w:hAnsi="Arial" w:cs="Arial"/>
        </w:rPr>
        <w:t xml:space="preserve"> determined </w:t>
      </w:r>
      <w:r w:rsidR="00C24E66" w:rsidRPr="00FE3368">
        <w:rPr>
          <w:rFonts w:ascii="Arial" w:hAnsi="Arial" w:cs="Arial"/>
        </w:rPr>
        <w:t>once</w:t>
      </w:r>
      <w:r w:rsidR="006E50C8" w:rsidRPr="00FE3368">
        <w:rPr>
          <w:rFonts w:ascii="Arial" w:hAnsi="Arial" w:cs="Arial"/>
        </w:rPr>
        <w:t xml:space="preserve"> specific</w:t>
      </w:r>
      <w:r w:rsidR="00D70392" w:rsidRPr="00FE3368">
        <w:rPr>
          <w:rFonts w:ascii="Arial" w:hAnsi="Arial" w:cs="Arial"/>
        </w:rPr>
        <w:t xml:space="preserve"> project</w:t>
      </w:r>
      <w:r w:rsidR="00C8763D" w:rsidRPr="00FE3368">
        <w:rPr>
          <w:rFonts w:ascii="Arial" w:hAnsi="Arial" w:cs="Arial"/>
        </w:rPr>
        <w:t xml:space="preserve">s and countries are </w:t>
      </w:r>
      <w:r w:rsidR="00AE6F48" w:rsidRPr="00FE3368">
        <w:rPr>
          <w:rFonts w:ascii="Arial" w:hAnsi="Arial" w:cs="Arial"/>
        </w:rPr>
        <w:t>select</w:t>
      </w:r>
      <w:r w:rsidR="00C8763D" w:rsidRPr="00FE3368">
        <w:rPr>
          <w:rFonts w:ascii="Arial" w:hAnsi="Arial" w:cs="Arial"/>
        </w:rPr>
        <w:t xml:space="preserve">ed by component 1. </w:t>
      </w:r>
      <w:r w:rsidR="00795C05" w:rsidRPr="00FE3368">
        <w:rPr>
          <w:rFonts w:ascii="Arial" w:hAnsi="Arial" w:cs="Arial"/>
        </w:rPr>
        <w:t xml:space="preserve">Pilot study </w:t>
      </w:r>
      <w:r w:rsidR="0009716F" w:rsidRPr="00FE3368">
        <w:rPr>
          <w:rFonts w:ascii="Arial" w:hAnsi="Arial" w:cs="Arial"/>
        </w:rPr>
        <w:t>will</w:t>
      </w:r>
      <w:r w:rsidR="00162C20" w:rsidRPr="00FE3368">
        <w:rPr>
          <w:rFonts w:ascii="Arial" w:hAnsi="Arial" w:cs="Arial"/>
        </w:rPr>
        <w:t xml:space="preserve"> </w:t>
      </w:r>
      <w:r w:rsidR="009B0A4F" w:rsidRPr="00FE3368">
        <w:rPr>
          <w:rFonts w:ascii="Arial" w:hAnsi="Arial" w:cs="Arial"/>
        </w:rPr>
        <w:t>i</w:t>
      </w:r>
      <w:r w:rsidR="003161CB" w:rsidRPr="00FE3368">
        <w:rPr>
          <w:rFonts w:ascii="Arial" w:hAnsi="Arial" w:cs="Arial"/>
        </w:rPr>
        <w:t>nclude</w:t>
      </w:r>
      <w:r w:rsidR="009B0A4F" w:rsidRPr="00FE3368">
        <w:rPr>
          <w:rFonts w:ascii="Arial" w:hAnsi="Arial" w:cs="Arial"/>
        </w:rPr>
        <w:t xml:space="preserve"> scope</w:t>
      </w:r>
      <w:r w:rsidR="00162C20" w:rsidRPr="00FE3368">
        <w:rPr>
          <w:rFonts w:ascii="Arial" w:hAnsi="Arial" w:cs="Arial"/>
        </w:rPr>
        <w:t xml:space="preserve"> </w:t>
      </w:r>
      <w:r w:rsidR="003161CB" w:rsidRPr="00FE3368">
        <w:rPr>
          <w:rFonts w:ascii="Arial" w:hAnsi="Arial" w:cs="Arial"/>
        </w:rPr>
        <w:t>of</w:t>
      </w:r>
      <w:r w:rsidR="00BB4DD3" w:rsidRPr="00FE3368">
        <w:rPr>
          <w:rFonts w:ascii="Arial" w:hAnsi="Arial" w:cs="Arial"/>
        </w:rPr>
        <w:t xml:space="preserve"> </w:t>
      </w:r>
      <w:r w:rsidR="0073042E" w:rsidRPr="00FE3368">
        <w:rPr>
          <w:rFonts w:ascii="Arial" w:hAnsi="Arial" w:cs="Arial"/>
        </w:rPr>
        <w:t>project</w:t>
      </w:r>
      <w:r w:rsidR="00456048" w:rsidRPr="00FE3368">
        <w:rPr>
          <w:rFonts w:ascii="Arial" w:hAnsi="Arial" w:cs="Arial"/>
        </w:rPr>
        <w:t>,</w:t>
      </w:r>
      <w:r w:rsidR="002D0E24" w:rsidRPr="00FE3368">
        <w:rPr>
          <w:rFonts w:ascii="Arial" w:hAnsi="Arial" w:cs="Arial"/>
        </w:rPr>
        <w:t xml:space="preserve"> </w:t>
      </w:r>
      <w:r w:rsidR="008A2C6F" w:rsidRPr="00FE3368">
        <w:rPr>
          <w:rFonts w:ascii="Arial" w:hAnsi="Arial" w:cs="Arial"/>
        </w:rPr>
        <w:t xml:space="preserve">implementation </w:t>
      </w:r>
      <w:r w:rsidR="00795C05" w:rsidRPr="00FE3368">
        <w:rPr>
          <w:rFonts w:ascii="Arial" w:hAnsi="Arial" w:cs="Arial"/>
        </w:rPr>
        <w:t>scheme</w:t>
      </w:r>
      <w:r w:rsidR="007E194D" w:rsidRPr="00FE3368">
        <w:rPr>
          <w:rFonts w:ascii="Arial" w:hAnsi="Arial" w:cs="Arial"/>
        </w:rPr>
        <w:t xml:space="preserve"> and</w:t>
      </w:r>
      <w:r w:rsidR="00456048" w:rsidRPr="00FE3368">
        <w:rPr>
          <w:rFonts w:ascii="Arial" w:hAnsi="Arial" w:cs="Arial"/>
        </w:rPr>
        <w:t xml:space="preserve"> </w:t>
      </w:r>
      <w:r w:rsidR="00624ABD" w:rsidRPr="00FE3368">
        <w:rPr>
          <w:rFonts w:ascii="Arial" w:hAnsi="Arial" w:cs="Arial"/>
        </w:rPr>
        <w:t xml:space="preserve">analysis on the </w:t>
      </w:r>
      <w:r w:rsidR="00735644" w:rsidRPr="00FE3368">
        <w:rPr>
          <w:rFonts w:ascii="Arial" w:hAnsi="Arial" w:cs="Arial"/>
        </w:rPr>
        <w:t>social and economic environments</w:t>
      </w:r>
      <w:r w:rsidR="00DC477F">
        <w:rPr>
          <w:rFonts w:ascii="Arial" w:hAnsi="Arial" w:cs="Arial"/>
        </w:rPr>
        <w:t>.</w:t>
      </w:r>
    </w:p>
    <w:p w14:paraId="1F11D196" w14:textId="1E624ACD" w:rsidR="009A61A1" w:rsidRPr="00FE3368" w:rsidRDefault="00CE394E" w:rsidP="00CE394E">
      <w:pPr>
        <w:pStyle w:val="ListParagraph"/>
        <w:spacing w:before="120" w:after="120"/>
        <w:ind w:left="360"/>
        <w:jc w:val="both"/>
        <w:rPr>
          <w:rFonts w:ascii="Arial" w:hAnsi="Arial" w:cs="Arial"/>
        </w:rPr>
      </w:pPr>
      <w:r w:rsidRPr="00FE3368">
        <w:rPr>
          <w:rFonts w:ascii="Arial" w:hAnsi="Arial" w:cs="Arial"/>
        </w:rPr>
        <w:t xml:space="preserve"> </w:t>
      </w:r>
    </w:p>
    <w:p w14:paraId="212CF2D9" w14:textId="3A1558E3" w:rsidR="00D21D56" w:rsidRPr="0059365F" w:rsidRDefault="00703950" w:rsidP="00D21D56">
      <w:pPr>
        <w:pStyle w:val="ListParagraph"/>
        <w:numPr>
          <w:ilvl w:val="1"/>
          <w:numId w:val="5"/>
        </w:numPr>
        <w:spacing w:before="120" w:after="120"/>
        <w:ind w:left="360" w:hanging="540"/>
        <w:jc w:val="both"/>
        <w:rPr>
          <w:rFonts w:ascii="Arial" w:hAnsi="Arial" w:cs="Arial"/>
        </w:rPr>
      </w:pPr>
      <w:r w:rsidRPr="00FE3368">
        <w:rPr>
          <w:rFonts w:ascii="Arial" w:hAnsi="Arial" w:cs="Arial"/>
          <w:b/>
        </w:rPr>
        <w:t>Component 3:</w:t>
      </w:r>
      <w:r w:rsidR="00CA05F3" w:rsidRPr="00FE3368">
        <w:rPr>
          <w:rFonts w:ascii="Arial" w:hAnsi="Arial" w:cs="Arial"/>
          <w:b/>
        </w:rPr>
        <w:t xml:space="preserve"> </w:t>
      </w:r>
      <w:r w:rsidR="00DD7011" w:rsidRPr="00FE3368">
        <w:rPr>
          <w:rFonts w:ascii="Arial" w:hAnsi="Arial" w:cs="Arial"/>
          <w:b/>
        </w:rPr>
        <w:t xml:space="preserve">Knowledge and experience </w:t>
      </w:r>
      <w:r w:rsidR="007D6047" w:rsidRPr="00FE3368">
        <w:rPr>
          <w:rFonts w:ascii="Arial" w:hAnsi="Arial" w:cs="Arial"/>
          <w:b/>
        </w:rPr>
        <w:t>d</w:t>
      </w:r>
      <w:r w:rsidR="00120825" w:rsidRPr="00FE3368">
        <w:rPr>
          <w:rFonts w:ascii="Arial" w:hAnsi="Arial" w:cs="Arial"/>
          <w:b/>
        </w:rPr>
        <w:t>issemination (US$</w:t>
      </w:r>
      <w:r w:rsidR="00F96394" w:rsidRPr="00FE3368">
        <w:rPr>
          <w:rFonts w:ascii="Arial" w:hAnsi="Arial" w:cs="Arial"/>
          <w:b/>
        </w:rPr>
        <w:t>50,000</w:t>
      </w:r>
      <w:r w:rsidR="00120825" w:rsidRPr="00FE3368">
        <w:rPr>
          <w:rFonts w:ascii="Arial" w:hAnsi="Arial" w:cs="Arial"/>
          <w:b/>
        </w:rPr>
        <w:t>)</w:t>
      </w:r>
      <w:r w:rsidR="00F96394" w:rsidRPr="00FE3368">
        <w:rPr>
          <w:rFonts w:ascii="Arial" w:hAnsi="Arial" w:cs="Arial"/>
          <w:b/>
        </w:rPr>
        <w:t>.</w:t>
      </w:r>
      <w:r w:rsidR="00F96394" w:rsidRPr="00FE3368">
        <w:rPr>
          <w:rFonts w:ascii="Arial" w:hAnsi="Arial" w:cs="Arial"/>
        </w:rPr>
        <w:t xml:space="preserve"> This component </w:t>
      </w:r>
      <w:r w:rsidR="00E221E0" w:rsidRPr="00FE3368">
        <w:rPr>
          <w:rFonts w:ascii="Arial" w:hAnsi="Arial" w:cs="Arial"/>
        </w:rPr>
        <w:t>includes</w:t>
      </w:r>
      <w:r w:rsidR="00C7707E" w:rsidRPr="00FE3368">
        <w:rPr>
          <w:rFonts w:ascii="Arial" w:hAnsi="Arial" w:cs="Arial"/>
        </w:rPr>
        <w:t xml:space="preserve"> activities</w:t>
      </w:r>
      <w:r w:rsidR="00E221E0" w:rsidRPr="00FE3368">
        <w:rPr>
          <w:rFonts w:ascii="Arial" w:hAnsi="Arial" w:cs="Arial"/>
        </w:rPr>
        <w:t xml:space="preserve"> </w:t>
      </w:r>
      <w:r w:rsidR="00C7707E" w:rsidRPr="00FE3368">
        <w:rPr>
          <w:rFonts w:ascii="Arial" w:hAnsi="Arial" w:cs="Arial"/>
        </w:rPr>
        <w:t xml:space="preserve">for </w:t>
      </w:r>
      <w:r w:rsidR="00E221E0" w:rsidRPr="00FE3368">
        <w:rPr>
          <w:rFonts w:ascii="Arial" w:hAnsi="Arial" w:cs="Arial"/>
        </w:rPr>
        <w:t xml:space="preserve">dissemination </w:t>
      </w:r>
      <w:r w:rsidR="001371E0" w:rsidRPr="00FE3368">
        <w:rPr>
          <w:rFonts w:ascii="Arial" w:hAnsi="Arial" w:cs="Arial"/>
        </w:rPr>
        <w:t xml:space="preserve">of knowledge and experiences </w:t>
      </w:r>
      <w:r w:rsidR="00DB5443" w:rsidRPr="00FE3368">
        <w:rPr>
          <w:rFonts w:ascii="Arial" w:hAnsi="Arial" w:cs="Arial"/>
        </w:rPr>
        <w:t>generated by th</w:t>
      </w:r>
      <w:r w:rsidR="00C7707E" w:rsidRPr="00FE3368">
        <w:rPr>
          <w:rFonts w:ascii="Arial" w:hAnsi="Arial" w:cs="Arial"/>
        </w:rPr>
        <w:t>e</w:t>
      </w:r>
      <w:r w:rsidR="00DB5443" w:rsidRPr="00FE3368">
        <w:rPr>
          <w:rFonts w:ascii="Arial" w:hAnsi="Arial" w:cs="Arial"/>
        </w:rPr>
        <w:t xml:space="preserve"> TC.</w:t>
      </w:r>
      <w:r w:rsidR="003966B1" w:rsidRPr="00FE3368">
        <w:rPr>
          <w:rFonts w:ascii="Arial" w:hAnsi="Arial" w:cs="Arial"/>
        </w:rPr>
        <w:t xml:space="preserve"> </w:t>
      </w:r>
      <w:r w:rsidR="0067240B" w:rsidRPr="00FE3368">
        <w:rPr>
          <w:rFonts w:ascii="Arial" w:hAnsi="Arial" w:cs="Arial"/>
        </w:rPr>
        <w:t>Every cost associate</w:t>
      </w:r>
      <w:r w:rsidR="00B94028" w:rsidRPr="00FE3368">
        <w:rPr>
          <w:rFonts w:ascii="Arial" w:hAnsi="Arial" w:cs="Arial"/>
        </w:rPr>
        <w:t>d</w:t>
      </w:r>
      <w:r w:rsidR="0067240B" w:rsidRPr="00FE3368">
        <w:rPr>
          <w:rFonts w:ascii="Arial" w:hAnsi="Arial" w:cs="Arial"/>
        </w:rPr>
        <w:t xml:space="preserve"> with</w:t>
      </w:r>
      <w:r w:rsidR="00B94028" w:rsidRPr="00FE3368">
        <w:rPr>
          <w:rFonts w:ascii="Arial" w:hAnsi="Arial" w:cs="Arial"/>
        </w:rPr>
        <w:t xml:space="preserve"> the</w:t>
      </w:r>
      <w:r w:rsidR="0067240B" w:rsidRPr="00FE3368">
        <w:rPr>
          <w:rFonts w:ascii="Arial" w:hAnsi="Arial" w:cs="Arial"/>
        </w:rPr>
        <w:t xml:space="preserve"> preparation, publication, and translation of reports will be covered by this component.</w:t>
      </w:r>
      <w:r w:rsidR="003966B1" w:rsidRPr="00FE3368">
        <w:rPr>
          <w:rFonts w:ascii="Arial" w:hAnsi="Arial" w:cs="Arial"/>
        </w:rPr>
        <w:t xml:space="preserve"> </w:t>
      </w:r>
      <w:r w:rsidR="00F466CA" w:rsidRPr="00FE3368">
        <w:rPr>
          <w:rFonts w:ascii="Arial" w:hAnsi="Arial" w:cs="Arial"/>
        </w:rPr>
        <w:t>Additional</w:t>
      </w:r>
      <w:r w:rsidR="003966B1" w:rsidRPr="00FE3368">
        <w:rPr>
          <w:rFonts w:ascii="Arial" w:hAnsi="Arial" w:cs="Arial"/>
        </w:rPr>
        <w:t xml:space="preserve"> w</w:t>
      </w:r>
      <w:r w:rsidR="000807C0" w:rsidRPr="00FE3368">
        <w:rPr>
          <w:rFonts w:ascii="Arial" w:hAnsi="Arial" w:cs="Arial"/>
        </w:rPr>
        <w:t>orkshop</w:t>
      </w:r>
      <w:r w:rsidR="00571686" w:rsidRPr="00FE3368">
        <w:rPr>
          <w:rFonts w:ascii="Arial" w:hAnsi="Arial" w:cs="Arial"/>
        </w:rPr>
        <w:t>s</w:t>
      </w:r>
      <w:r w:rsidR="000807C0" w:rsidRPr="00FE3368">
        <w:rPr>
          <w:rFonts w:ascii="Arial" w:hAnsi="Arial" w:cs="Arial"/>
        </w:rPr>
        <w:t xml:space="preserve"> will</w:t>
      </w:r>
      <w:r w:rsidR="00C7707E" w:rsidRPr="00FE3368">
        <w:rPr>
          <w:rFonts w:ascii="Arial" w:hAnsi="Arial" w:cs="Arial"/>
        </w:rPr>
        <w:t xml:space="preserve"> also</w:t>
      </w:r>
      <w:r w:rsidR="000807C0" w:rsidRPr="00FE3368">
        <w:rPr>
          <w:rFonts w:ascii="Arial" w:hAnsi="Arial" w:cs="Arial"/>
        </w:rPr>
        <w:t xml:space="preserve"> be held </w:t>
      </w:r>
      <w:r w:rsidR="00A63C5B" w:rsidRPr="00FE3368">
        <w:rPr>
          <w:rFonts w:ascii="Arial" w:hAnsi="Arial" w:cs="Arial"/>
        </w:rPr>
        <w:t xml:space="preserve">for the officials </w:t>
      </w:r>
      <w:r w:rsidR="0076003B" w:rsidRPr="00FE3368">
        <w:rPr>
          <w:rFonts w:ascii="Arial" w:hAnsi="Arial" w:cs="Arial"/>
        </w:rPr>
        <w:t xml:space="preserve">of LAC countries who </w:t>
      </w:r>
      <w:r w:rsidR="00277DC8" w:rsidRPr="00FE3368">
        <w:rPr>
          <w:rFonts w:ascii="Arial" w:hAnsi="Arial" w:cs="Arial"/>
        </w:rPr>
        <w:t xml:space="preserve">are interested in </w:t>
      </w:r>
      <w:r w:rsidR="0069576A" w:rsidRPr="00FE3368">
        <w:rPr>
          <w:rFonts w:ascii="Arial" w:hAnsi="Arial" w:cs="Arial"/>
        </w:rPr>
        <w:t>promoting the Nexus.</w:t>
      </w:r>
    </w:p>
    <w:p w14:paraId="23F615D5" w14:textId="77777777" w:rsidR="00DC1E68" w:rsidRPr="00FE3368" w:rsidRDefault="0095711B" w:rsidP="00155190">
      <w:pPr>
        <w:pStyle w:val="ListParagraph"/>
        <w:numPr>
          <w:ilvl w:val="0"/>
          <w:numId w:val="5"/>
        </w:numPr>
        <w:spacing w:before="240"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E3368">
        <w:rPr>
          <w:rFonts w:ascii="Arial" w:hAnsi="Arial" w:cs="Arial"/>
          <w:b/>
          <w:sz w:val="24"/>
          <w:szCs w:val="24"/>
        </w:rPr>
        <w:t>Budget</w:t>
      </w:r>
      <w:r w:rsidR="008C064F" w:rsidRPr="00FE3368">
        <w:rPr>
          <w:rFonts w:ascii="Arial" w:hAnsi="Arial" w:cs="Arial"/>
          <w:b/>
          <w:sz w:val="24"/>
          <w:szCs w:val="24"/>
        </w:rPr>
        <w:t xml:space="preserve"> </w:t>
      </w:r>
    </w:p>
    <w:p w14:paraId="32B040B8" w14:textId="77777777" w:rsidR="00DD7011" w:rsidRPr="00FE3368" w:rsidRDefault="00682716" w:rsidP="00DD7011">
      <w:pPr>
        <w:pStyle w:val="ListParagraph"/>
        <w:spacing w:before="120" w:after="120" w:line="240" w:lineRule="auto"/>
        <w:ind w:left="36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FE3368">
        <w:rPr>
          <w:rFonts w:ascii="Arial" w:hAnsi="Arial" w:cs="Arial"/>
          <w:b/>
          <w:sz w:val="24"/>
          <w:szCs w:val="24"/>
        </w:rPr>
        <w:t>Indicative Budget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025"/>
        <w:gridCol w:w="1170"/>
        <w:gridCol w:w="1075"/>
      </w:tblGrid>
      <w:tr w:rsidR="00DD7011" w:rsidRPr="00FE3368" w14:paraId="29033A3C" w14:textId="77777777" w:rsidTr="00785DED">
        <w:tc>
          <w:tcPr>
            <w:tcW w:w="6025" w:type="dxa"/>
            <w:shd w:val="clear" w:color="auto" w:fill="BFBFBF" w:themeFill="background1" w:themeFillShade="BF"/>
            <w:vAlign w:val="center"/>
          </w:tcPr>
          <w:p w14:paraId="2EAF94BF" w14:textId="77777777" w:rsidR="00DD7011" w:rsidRPr="00FE3368" w:rsidRDefault="00DD7011" w:rsidP="00D719CE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3368">
              <w:rPr>
                <w:rFonts w:ascii="Arial" w:hAnsi="Arial" w:cs="Arial"/>
                <w:b/>
                <w:sz w:val="20"/>
                <w:szCs w:val="20"/>
              </w:rPr>
              <w:t>Activity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14:paraId="20EA2091" w14:textId="77777777" w:rsidR="00DD7011" w:rsidRPr="00FE3368" w:rsidRDefault="00DD7011" w:rsidP="00D719CE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3368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075" w:type="dxa"/>
            <w:shd w:val="clear" w:color="auto" w:fill="BFBFBF" w:themeFill="background1" w:themeFillShade="BF"/>
            <w:vAlign w:val="center"/>
          </w:tcPr>
          <w:p w14:paraId="50F02D35" w14:textId="77777777" w:rsidR="00DD7011" w:rsidRPr="00FE3368" w:rsidRDefault="00DD7011" w:rsidP="00D719CE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3368">
              <w:rPr>
                <w:rFonts w:ascii="Arial" w:hAnsi="Arial" w:cs="Arial"/>
                <w:b/>
                <w:sz w:val="20"/>
                <w:szCs w:val="20"/>
              </w:rPr>
              <w:t>Amount</w:t>
            </w:r>
            <w:r w:rsidR="00785DED" w:rsidRPr="00FE3368">
              <w:rPr>
                <w:rFonts w:ascii="Arial" w:hAnsi="Arial" w:cs="Arial"/>
                <w:b/>
                <w:sz w:val="20"/>
                <w:szCs w:val="20"/>
              </w:rPr>
              <w:t xml:space="preserve"> (US$)</w:t>
            </w:r>
          </w:p>
        </w:tc>
      </w:tr>
      <w:tr w:rsidR="00DD7011" w:rsidRPr="00FE3368" w14:paraId="0B224659" w14:textId="77777777" w:rsidTr="003A4706">
        <w:tc>
          <w:tcPr>
            <w:tcW w:w="8270" w:type="dxa"/>
            <w:gridSpan w:val="3"/>
            <w:shd w:val="clear" w:color="auto" w:fill="D9D9D9" w:themeFill="background1" w:themeFillShade="D9"/>
            <w:vAlign w:val="center"/>
          </w:tcPr>
          <w:p w14:paraId="7BDDE835" w14:textId="6AB7F1BA" w:rsidR="00DD7011" w:rsidRPr="00FE3368" w:rsidRDefault="00DD7011" w:rsidP="003A4706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FE3368">
              <w:rPr>
                <w:rFonts w:ascii="Arial" w:hAnsi="Arial" w:cs="Arial"/>
                <w:b/>
                <w:sz w:val="20"/>
                <w:szCs w:val="20"/>
              </w:rPr>
              <w:t>Component 1</w:t>
            </w:r>
            <w:r w:rsidR="009B7AAE" w:rsidRPr="00FE336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9B7AAE" w:rsidRPr="00FE33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B7AAE" w:rsidRPr="00FE3368">
              <w:rPr>
                <w:rFonts w:ascii="Arial" w:hAnsi="Arial" w:cs="Arial"/>
                <w:b/>
                <w:sz w:val="20"/>
                <w:szCs w:val="20"/>
              </w:rPr>
              <w:t>Identification of potential Nexus projects in LAC region</w:t>
            </w:r>
          </w:p>
        </w:tc>
      </w:tr>
      <w:tr w:rsidR="00DD7011" w:rsidRPr="00FE3368" w14:paraId="54E04DE3" w14:textId="77777777" w:rsidTr="003A4706">
        <w:tc>
          <w:tcPr>
            <w:tcW w:w="6025" w:type="dxa"/>
            <w:vAlign w:val="center"/>
          </w:tcPr>
          <w:p w14:paraId="3CF17902" w14:textId="72B021FC" w:rsidR="00DD7011" w:rsidRPr="00FE3368" w:rsidRDefault="007E194D" w:rsidP="003A4706">
            <w:pPr>
              <w:pStyle w:val="ListParagraph"/>
              <w:numPr>
                <w:ilvl w:val="0"/>
                <w:numId w:val="2"/>
              </w:numPr>
              <w:spacing w:before="60" w:after="60"/>
              <w:ind w:left="150" w:hanging="180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lastRenderedPageBreak/>
              <w:t>Identification of successful Nexus cases of the Korean government</w:t>
            </w:r>
          </w:p>
        </w:tc>
        <w:tc>
          <w:tcPr>
            <w:tcW w:w="1170" w:type="dxa"/>
            <w:vAlign w:val="center"/>
          </w:tcPr>
          <w:p w14:paraId="16BC0FCE" w14:textId="77777777" w:rsidR="00DD7011" w:rsidRPr="00FE3368" w:rsidRDefault="00485A30" w:rsidP="003A470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3 months</w:t>
            </w:r>
          </w:p>
        </w:tc>
        <w:tc>
          <w:tcPr>
            <w:tcW w:w="1075" w:type="dxa"/>
            <w:vAlign w:val="center"/>
          </w:tcPr>
          <w:p w14:paraId="47B70FA7" w14:textId="77777777" w:rsidR="00DD7011" w:rsidRPr="00FE3368" w:rsidRDefault="0099083E" w:rsidP="003A470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</w:tr>
      <w:tr w:rsidR="0099083E" w:rsidRPr="00FE3368" w14:paraId="1D32B129" w14:textId="77777777" w:rsidTr="003A4706">
        <w:tc>
          <w:tcPr>
            <w:tcW w:w="6025" w:type="dxa"/>
            <w:vAlign w:val="center"/>
          </w:tcPr>
          <w:p w14:paraId="3C18DD99" w14:textId="0A0072FA" w:rsidR="0099083E" w:rsidRPr="00FE3368" w:rsidRDefault="007E194D" w:rsidP="003A4706">
            <w:pPr>
              <w:pStyle w:val="ListParagraph"/>
              <w:numPr>
                <w:ilvl w:val="0"/>
                <w:numId w:val="2"/>
              </w:numPr>
              <w:spacing w:before="60" w:after="60"/>
              <w:ind w:left="150" w:hanging="180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Survey on the Nexus demand in LAC region</w:t>
            </w:r>
          </w:p>
        </w:tc>
        <w:tc>
          <w:tcPr>
            <w:tcW w:w="1170" w:type="dxa"/>
            <w:vAlign w:val="center"/>
          </w:tcPr>
          <w:p w14:paraId="20FA1226" w14:textId="61D71F5B" w:rsidR="0099083E" w:rsidRPr="00FE3368" w:rsidRDefault="00EE3F2E" w:rsidP="003A470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3</w:t>
            </w:r>
            <w:r w:rsidR="00485A30" w:rsidRPr="00FE3368">
              <w:rPr>
                <w:rFonts w:ascii="Arial" w:hAnsi="Arial" w:cs="Arial"/>
                <w:sz w:val="20"/>
                <w:szCs w:val="20"/>
              </w:rPr>
              <w:t xml:space="preserve"> months</w:t>
            </w:r>
          </w:p>
        </w:tc>
        <w:tc>
          <w:tcPr>
            <w:tcW w:w="1075" w:type="dxa"/>
            <w:vAlign w:val="center"/>
          </w:tcPr>
          <w:p w14:paraId="3496EDEF" w14:textId="3A1C4F80" w:rsidR="0099083E" w:rsidRPr="00FE3368" w:rsidRDefault="00771205" w:rsidP="003A470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50</w:t>
            </w:r>
            <w:r w:rsidR="0099083E" w:rsidRPr="00FE3368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</w:tr>
      <w:tr w:rsidR="0099083E" w:rsidRPr="00FE3368" w14:paraId="388FA659" w14:textId="77777777" w:rsidTr="003A4706">
        <w:tc>
          <w:tcPr>
            <w:tcW w:w="6025" w:type="dxa"/>
            <w:vAlign w:val="center"/>
          </w:tcPr>
          <w:p w14:paraId="3CC32260" w14:textId="46F4C065" w:rsidR="0099083E" w:rsidRPr="00FE3368" w:rsidRDefault="00F37E26" w:rsidP="003A4706">
            <w:pPr>
              <w:pStyle w:val="ListParagraph"/>
              <w:numPr>
                <w:ilvl w:val="0"/>
                <w:numId w:val="2"/>
              </w:numPr>
              <w:spacing w:before="60" w:after="60"/>
              <w:ind w:left="150" w:hanging="180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 xml:space="preserve">Evaluate </w:t>
            </w:r>
            <w:r w:rsidR="00033206" w:rsidRPr="00FE3368">
              <w:rPr>
                <w:rFonts w:ascii="Arial" w:hAnsi="Arial" w:cs="Arial"/>
                <w:sz w:val="20"/>
                <w:szCs w:val="20"/>
              </w:rPr>
              <w:t>the expected outcomes applying Nexus scenario analysis</w:t>
            </w:r>
          </w:p>
        </w:tc>
        <w:tc>
          <w:tcPr>
            <w:tcW w:w="1170" w:type="dxa"/>
            <w:vAlign w:val="center"/>
          </w:tcPr>
          <w:p w14:paraId="250A845C" w14:textId="3685AF0B" w:rsidR="0099083E" w:rsidRPr="00FE3368" w:rsidRDefault="00033206" w:rsidP="003A470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6</w:t>
            </w:r>
            <w:r w:rsidR="00485A30" w:rsidRPr="00FE3368">
              <w:rPr>
                <w:rFonts w:ascii="Arial" w:hAnsi="Arial" w:cs="Arial"/>
                <w:sz w:val="20"/>
                <w:szCs w:val="20"/>
              </w:rPr>
              <w:t xml:space="preserve"> months</w:t>
            </w:r>
          </w:p>
        </w:tc>
        <w:tc>
          <w:tcPr>
            <w:tcW w:w="1075" w:type="dxa"/>
            <w:vAlign w:val="center"/>
          </w:tcPr>
          <w:p w14:paraId="1F847BD7" w14:textId="4199165B" w:rsidR="0099083E" w:rsidRPr="00FE3368" w:rsidRDefault="00033206" w:rsidP="003A470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100</w:t>
            </w:r>
            <w:r w:rsidR="0099083E" w:rsidRPr="00FE3368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</w:tr>
      <w:tr w:rsidR="00DD7011" w:rsidRPr="00FE3368" w14:paraId="230EDDB3" w14:textId="77777777" w:rsidTr="003A4706">
        <w:tc>
          <w:tcPr>
            <w:tcW w:w="8270" w:type="dxa"/>
            <w:gridSpan w:val="3"/>
            <w:shd w:val="clear" w:color="auto" w:fill="D9D9D9" w:themeFill="background1" w:themeFillShade="D9"/>
            <w:vAlign w:val="center"/>
          </w:tcPr>
          <w:p w14:paraId="79ED637E" w14:textId="4E625AA8" w:rsidR="00DD7011" w:rsidRPr="00FE3368" w:rsidRDefault="00DD7011" w:rsidP="003A4706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FE3368">
              <w:rPr>
                <w:rFonts w:ascii="Arial" w:hAnsi="Arial" w:cs="Arial"/>
                <w:b/>
                <w:sz w:val="20"/>
                <w:szCs w:val="20"/>
              </w:rPr>
              <w:t xml:space="preserve">Component 2. </w:t>
            </w:r>
            <w:r w:rsidR="00AF25E7" w:rsidRPr="00FE3368">
              <w:rPr>
                <w:rFonts w:ascii="Arial" w:hAnsi="Arial" w:cs="Arial"/>
                <w:b/>
                <w:sz w:val="20"/>
                <w:szCs w:val="20"/>
              </w:rPr>
              <w:t>Pilot pre-feasibility stud</w:t>
            </w:r>
            <w:r w:rsidR="00001201" w:rsidRPr="00FE3368">
              <w:rPr>
                <w:rFonts w:ascii="Arial" w:hAnsi="Arial" w:cs="Arial"/>
                <w:b/>
                <w:sz w:val="20"/>
                <w:szCs w:val="20"/>
              </w:rPr>
              <w:t>ies</w:t>
            </w:r>
            <w:r w:rsidR="001269FA" w:rsidRPr="00FE3368">
              <w:rPr>
                <w:rFonts w:ascii="Arial" w:hAnsi="Arial" w:cs="Arial"/>
                <w:b/>
                <w:sz w:val="20"/>
                <w:szCs w:val="20"/>
              </w:rPr>
              <w:t xml:space="preserve"> on Nexus projects</w:t>
            </w:r>
          </w:p>
        </w:tc>
      </w:tr>
      <w:tr w:rsidR="00DD7011" w:rsidRPr="00FE3368" w14:paraId="6D2DA973" w14:textId="77777777" w:rsidTr="003A4706">
        <w:tc>
          <w:tcPr>
            <w:tcW w:w="6025" w:type="dxa"/>
            <w:vAlign w:val="center"/>
          </w:tcPr>
          <w:p w14:paraId="0C5BD87F" w14:textId="01B2D7EB" w:rsidR="00DD7011" w:rsidRPr="00FE3368" w:rsidRDefault="00217251" w:rsidP="003A4706">
            <w:pPr>
              <w:pStyle w:val="ListParagraph"/>
              <w:numPr>
                <w:ilvl w:val="0"/>
                <w:numId w:val="2"/>
              </w:numPr>
              <w:spacing w:before="60" w:after="60"/>
              <w:ind w:left="150" w:hanging="180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Pilot p</w:t>
            </w:r>
            <w:r w:rsidR="00AF25E7" w:rsidRPr="00FE3368">
              <w:rPr>
                <w:rFonts w:ascii="Arial" w:hAnsi="Arial" w:cs="Arial"/>
                <w:sz w:val="20"/>
                <w:szCs w:val="20"/>
              </w:rPr>
              <w:t>re-feasibility stud</w:t>
            </w:r>
            <w:r w:rsidR="005C27DE" w:rsidRPr="00FE3368">
              <w:rPr>
                <w:rFonts w:ascii="Arial" w:hAnsi="Arial" w:cs="Arial"/>
                <w:sz w:val="20"/>
                <w:szCs w:val="20"/>
              </w:rPr>
              <w:t>ies</w:t>
            </w:r>
            <w:r w:rsidR="001269FA" w:rsidRPr="00FE3368">
              <w:rPr>
                <w:rFonts w:ascii="Arial" w:hAnsi="Arial" w:cs="Arial"/>
                <w:sz w:val="20"/>
                <w:szCs w:val="20"/>
              </w:rPr>
              <w:t xml:space="preserve"> on Nexus projects</w:t>
            </w:r>
          </w:p>
        </w:tc>
        <w:tc>
          <w:tcPr>
            <w:tcW w:w="1170" w:type="dxa"/>
            <w:vAlign w:val="center"/>
          </w:tcPr>
          <w:p w14:paraId="3A8D4A04" w14:textId="7021D5B9" w:rsidR="00DD7011" w:rsidRPr="00FE3368" w:rsidRDefault="00065786" w:rsidP="003A470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2</w:t>
            </w:r>
            <w:r w:rsidR="00DC6724" w:rsidRPr="00FE3368">
              <w:rPr>
                <w:rFonts w:ascii="Arial" w:hAnsi="Arial" w:cs="Arial"/>
                <w:sz w:val="20"/>
                <w:szCs w:val="20"/>
              </w:rPr>
              <w:t xml:space="preserve"> projects</w:t>
            </w:r>
          </w:p>
        </w:tc>
        <w:tc>
          <w:tcPr>
            <w:tcW w:w="1075" w:type="dxa"/>
            <w:vAlign w:val="center"/>
          </w:tcPr>
          <w:p w14:paraId="595D590A" w14:textId="46A85D82" w:rsidR="00DD7011" w:rsidRPr="00FE3368" w:rsidRDefault="00DC6724" w:rsidP="003A470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300</w:t>
            </w:r>
            <w:r w:rsidR="0002388B" w:rsidRPr="00FE3368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</w:tr>
      <w:tr w:rsidR="00DD7011" w:rsidRPr="00FE3368" w14:paraId="30A7C2DD" w14:textId="77777777" w:rsidTr="003A4706">
        <w:tc>
          <w:tcPr>
            <w:tcW w:w="8270" w:type="dxa"/>
            <w:gridSpan w:val="3"/>
            <w:shd w:val="clear" w:color="auto" w:fill="D9D9D9" w:themeFill="background1" w:themeFillShade="D9"/>
            <w:vAlign w:val="center"/>
          </w:tcPr>
          <w:p w14:paraId="5C93E43C" w14:textId="77777777" w:rsidR="00DD7011" w:rsidRPr="00FE3368" w:rsidRDefault="00DD7011" w:rsidP="003A4706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FE3368">
              <w:rPr>
                <w:rFonts w:ascii="Arial" w:hAnsi="Arial" w:cs="Arial"/>
                <w:b/>
                <w:sz w:val="20"/>
                <w:szCs w:val="20"/>
              </w:rPr>
              <w:t>Component 3</w:t>
            </w:r>
            <w:r w:rsidR="007D6047" w:rsidRPr="00FE336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7D6047" w:rsidRPr="00FE33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6047" w:rsidRPr="00FE3368">
              <w:rPr>
                <w:rFonts w:ascii="Arial" w:hAnsi="Arial" w:cs="Arial"/>
                <w:b/>
                <w:sz w:val="20"/>
                <w:szCs w:val="20"/>
              </w:rPr>
              <w:t>Knowledge and experience dissemination</w:t>
            </w:r>
          </w:p>
        </w:tc>
      </w:tr>
      <w:tr w:rsidR="00DD7011" w:rsidRPr="00FE3368" w14:paraId="63EAD029" w14:textId="77777777" w:rsidTr="003A4706">
        <w:tc>
          <w:tcPr>
            <w:tcW w:w="6025" w:type="dxa"/>
            <w:vAlign w:val="center"/>
          </w:tcPr>
          <w:p w14:paraId="2EEB75CC" w14:textId="77777777" w:rsidR="00DD7011" w:rsidRPr="00FE3368" w:rsidRDefault="00496B38" w:rsidP="003A4706">
            <w:pPr>
              <w:pStyle w:val="ListParagraph"/>
              <w:numPr>
                <w:ilvl w:val="0"/>
                <w:numId w:val="2"/>
              </w:numPr>
              <w:spacing w:before="60" w:after="60"/>
              <w:ind w:left="150" w:hanging="180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W</w:t>
            </w:r>
            <w:r w:rsidR="00DD7011" w:rsidRPr="00FE3368">
              <w:rPr>
                <w:rFonts w:ascii="Arial" w:hAnsi="Arial" w:cs="Arial"/>
                <w:sz w:val="20"/>
                <w:szCs w:val="20"/>
              </w:rPr>
              <w:t>orkshop</w:t>
            </w:r>
            <w:r w:rsidR="003966B1" w:rsidRPr="00FE3368">
              <w:rPr>
                <w:rFonts w:ascii="Arial" w:hAnsi="Arial" w:cs="Arial"/>
                <w:sz w:val="20"/>
                <w:szCs w:val="20"/>
              </w:rPr>
              <w:t>s</w:t>
            </w:r>
            <w:r w:rsidR="00DD7011" w:rsidRPr="00FE33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7A8F" w:rsidRPr="00FE3368">
              <w:rPr>
                <w:rFonts w:ascii="Arial" w:hAnsi="Arial" w:cs="Arial"/>
                <w:sz w:val="20"/>
                <w:szCs w:val="20"/>
              </w:rPr>
              <w:t>for the officials of LAC countries</w:t>
            </w:r>
          </w:p>
        </w:tc>
        <w:tc>
          <w:tcPr>
            <w:tcW w:w="1170" w:type="dxa"/>
            <w:vAlign w:val="center"/>
          </w:tcPr>
          <w:p w14:paraId="1A12E0F6" w14:textId="1F717EE3" w:rsidR="00DD7011" w:rsidRPr="00FE3368" w:rsidRDefault="00847209" w:rsidP="003A470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2</w:t>
            </w:r>
            <w:r w:rsidR="00B50616" w:rsidRPr="00FE3368">
              <w:rPr>
                <w:rFonts w:ascii="Arial" w:hAnsi="Arial" w:cs="Arial"/>
                <w:sz w:val="20"/>
                <w:szCs w:val="20"/>
              </w:rPr>
              <w:t xml:space="preserve"> times</w:t>
            </w:r>
          </w:p>
        </w:tc>
        <w:tc>
          <w:tcPr>
            <w:tcW w:w="1075" w:type="dxa"/>
            <w:vAlign w:val="center"/>
          </w:tcPr>
          <w:p w14:paraId="614D0CA4" w14:textId="77777777" w:rsidR="00DD7011" w:rsidRPr="00FE3368" w:rsidRDefault="00BD268B" w:rsidP="003A470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4</w:t>
            </w:r>
            <w:r w:rsidR="00DD7011" w:rsidRPr="00FE3368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</w:tr>
      <w:tr w:rsidR="003966B1" w:rsidRPr="00FE3368" w14:paraId="69788343" w14:textId="77777777" w:rsidTr="003A4706">
        <w:tc>
          <w:tcPr>
            <w:tcW w:w="6025" w:type="dxa"/>
            <w:vAlign w:val="center"/>
          </w:tcPr>
          <w:p w14:paraId="424093E7" w14:textId="77777777" w:rsidR="003966B1" w:rsidRPr="00FE3368" w:rsidRDefault="00B50616" w:rsidP="003A4706">
            <w:pPr>
              <w:pStyle w:val="ListParagraph"/>
              <w:numPr>
                <w:ilvl w:val="0"/>
                <w:numId w:val="2"/>
              </w:numPr>
              <w:spacing w:before="60" w:after="60"/>
              <w:ind w:left="150" w:hanging="180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 xml:space="preserve">Reports </w:t>
            </w:r>
            <w:r w:rsidR="00BD268B" w:rsidRPr="00FE3368">
              <w:rPr>
                <w:rFonts w:ascii="Arial" w:hAnsi="Arial" w:cs="Arial"/>
                <w:sz w:val="20"/>
                <w:szCs w:val="20"/>
              </w:rPr>
              <w:t>preparation, translation, and publication</w:t>
            </w:r>
          </w:p>
        </w:tc>
        <w:tc>
          <w:tcPr>
            <w:tcW w:w="1170" w:type="dxa"/>
            <w:vAlign w:val="center"/>
          </w:tcPr>
          <w:p w14:paraId="4276EB0C" w14:textId="77777777" w:rsidR="003966B1" w:rsidRPr="00FE3368" w:rsidRDefault="00BD268B" w:rsidP="003A470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3 reports</w:t>
            </w:r>
          </w:p>
        </w:tc>
        <w:tc>
          <w:tcPr>
            <w:tcW w:w="1075" w:type="dxa"/>
            <w:vAlign w:val="center"/>
          </w:tcPr>
          <w:p w14:paraId="6723F4F0" w14:textId="77777777" w:rsidR="003966B1" w:rsidRPr="00FE3368" w:rsidRDefault="00BD268B" w:rsidP="003A470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sz w:val="20"/>
                <w:szCs w:val="20"/>
              </w:rPr>
              <w:t>10,000</w:t>
            </w:r>
          </w:p>
        </w:tc>
      </w:tr>
      <w:tr w:rsidR="00DD7011" w:rsidRPr="00FE3368" w14:paraId="3C5D8343" w14:textId="77777777" w:rsidTr="003A4706">
        <w:tc>
          <w:tcPr>
            <w:tcW w:w="7195" w:type="dxa"/>
            <w:gridSpan w:val="2"/>
            <w:vAlign w:val="center"/>
          </w:tcPr>
          <w:p w14:paraId="4F5086A4" w14:textId="77777777" w:rsidR="00DD7011" w:rsidRPr="00FE3368" w:rsidRDefault="00DD7011" w:rsidP="003A4706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075" w:type="dxa"/>
            <w:vAlign w:val="center"/>
          </w:tcPr>
          <w:p w14:paraId="5F4A3198" w14:textId="6CD03DA3" w:rsidR="00DD7011" w:rsidRPr="00FE3368" w:rsidRDefault="00F81A4B" w:rsidP="003A4706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368">
              <w:rPr>
                <w:rFonts w:ascii="Arial" w:hAnsi="Arial" w:cs="Arial"/>
                <w:b/>
                <w:sz w:val="20"/>
                <w:szCs w:val="20"/>
              </w:rPr>
              <w:t>550</w:t>
            </w:r>
            <w:r w:rsidR="00DD7011" w:rsidRPr="00FE3368">
              <w:rPr>
                <w:rFonts w:ascii="Arial" w:hAnsi="Arial" w:cs="Arial"/>
                <w:b/>
                <w:sz w:val="20"/>
                <w:szCs w:val="20"/>
              </w:rPr>
              <w:t>,000</w:t>
            </w:r>
          </w:p>
        </w:tc>
      </w:tr>
    </w:tbl>
    <w:p w14:paraId="057918B6" w14:textId="77777777" w:rsidR="0095711B" w:rsidRPr="00FE3368" w:rsidRDefault="0095711B" w:rsidP="00155190">
      <w:pPr>
        <w:pStyle w:val="ListParagraph"/>
        <w:numPr>
          <w:ilvl w:val="0"/>
          <w:numId w:val="5"/>
        </w:numPr>
        <w:spacing w:before="240"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E3368">
        <w:rPr>
          <w:rFonts w:ascii="Arial" w:hAnsi="Arial" w:cs="Arial"/>
          <w:b/>
          <w:sz w:val="24"/>
          <w:szCs w:val="24"/>
        </w:rPr>
        <w:t>Executing agency and execution structure</w:t>
      </w:r>
    </w:p>
    <w:p w14:paraId="05114760" w14:textId="133C2E4A" w:rsidR="00CF6C4D" w:rsidRPr="00155190" w:rsidRDefault="001F7638" w:rsidP="00155190">
      <w:pPr>
        <w:pStyle w:val="ListParagraph"/>
        <w:numPr>
          <w:ilvl w:val="1"/>
          <w:numId w:val="5"/>
        </w:numPr>
        <w:spacing w:before="120" w:after="120"/>
        <w:ind w:left="36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One of</w:t>
      </w:r>
      <w:r w:rsidR="006534B1">
        <w:rPr>
          <w:rFonts w:ascii="Arial" w:hAnsi="Arial" w:cs="Arial"/>
        </w:rPr>
        <w:t xml:space="preserve"> th</w:t>
      </w:r>
      <w:r w:rsidR="00755FD1">
        <w:rPr>
          <w:rFonts w:ascii="Arial" w:hAnsi="Arial" w:cs="Arial"/>
        </w:rPr>
        <w:t>e</w:t>
      </w:r>
      <w:r w:rsidR="00683E39">
        <w:rPr>
          <w:rFonts w:ascii="Arial" w:hAnsi="Arial" w:cs="Arial"/>
        </w:rPr>
        <w:t xml:space="preserve"> main</w:t>
      </w:r>
      <w:r w:rsidR="00755F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goals of a </w:t>
      </w:r>
      <w:r w:rsidR="00B0310C">
        <w:rPr>
          <w:rFonts w:ascii="Arial" w:hAnsi="Arial" w:cs="Arial"/>
        </w:rPr>
        <w:t>Nexus</w:t>
      </w:r>
      <w:r>
        <w:rPr>
          <w:rFonts w:ascii="Arial" w:hAnsi="Arial" w:cs="Arial"/>
        </w:rPr>
        <w:t xml:space="preserve"> approach is to </w:t>
      </w:r>
      <w:r w:rsidR="006534B1">
        <w:rPr>
          <w:rFonts w:ascii="Arial" w:hAnsi="Arial" w:cs="Arial"/>
        </w:rPr>
        <w:t>promote sustainable and efficient resource use through integrated management of</w:t>
      </w:r>
      <w:r w:rsidR="00AB65B6">
        <w:rPr>
          <w:rFonts w:ascii="Arial" w:hAnsi="Arial" w:cs="Arial"/>
        </w:rPr>
        <w:t xml:space="preserve"> </w:t>
      </w:r>
      <w:r w:rsidR="005C7532">
        <w:rPr>
          <w:rFonts w:ascii="Arial" w:hAnsi="Arial" w:cs="Arial"/>
        </w:rPr>
        <w:t>different areas</w:t>
      </w:r>
      <w:r w:rsidR="006534B1">
        <w:rPr>
          <w:rFonts w:ascii="Arial" w:hAnsi="Arial" w:cs="Arial"/>
        </w:rPr>
        <w:t xml:space="preserve"> which </w:t>
      </w:r>
      <w:r w:rsidR="00AB65B6">
        <w:rPr>
          <w:rFonts w:ascii="Arial" w:hAnsi="Arial" w:cs="Arial"/>
        </w:rPr>
        <w:t xml:space="preserve">have been </w:t>
      </w:r>
      <w:r w:rsidR="006534B1">
        <w:rPr>
          <w:rFonts w:ascii="Arial" w:hAnsi="Arial" w:cs="Arial"/>
        </w:rPr>
        <w:t xml:space="preserve">treated </w:t>
      </w:r>
      <w:r w:rsidR="00AB65B6">
        <w:rPr>
          <w:rFonts w:ascii="Arial" w:hAnsi="Arial" w:cs="Arial"/>
        </w:rPr>
        <w:t>separately.</w:t>
      </w:r>
      <w:r w:rsidR="00755FD1">
        <w:rPr>
          <w:rFonts w:ascii="Arial" w:hAnsi="Arial" w:cs="Arial"/>
        </w:rPr>
        <w:t xml:space="preserve"> </w:t>
      </w:r>
      <w:r w:rsidR="009B77F3">
        <w:rPr>
          <w:rFonts w:ascii="Arial" w:hAnsi="Arial" w:cs="Arial"/>
        </w:rPr>
        <w:t>Therefore, i</w:t>
      </w:r>
      <w:r w:rsidR="00755FD1">
        <w:rPr>
          <w:rFonts w:ascii="Arial" w:hAnsi="Arial" w:cs="Arial"/>
        </w:rPr>
        <w:t>t is imperative that the executing agency ha</w:t>
      </w:r>
      <w:r w:rsidR="00DB33B0">
        <w:rPr>
          <w:rFonts w:ascii="Arial" w:hAnsi="Arial" w:cs="Arial"/>
        </w:rPr>
        <w:t>s</w:t>
      </w:r>
      <w:r w:rsidR="00755FD1">
        <w:rPr>
          <w:rFonts w:ascii="Arial" w:hAnsi="Arial" w:cs="Arial"/>
        </w:rPr>
        <w:t xml:space="preserve"> </w:t>
      </w:r>
      <w:r w:rsidR="00DB33B0">
        <w:rPr>
          <w:rFonts w:ascii="Arial" w:hAnsi="Arial" w:cs="Arial"/>
        </w:rPr>
        <w:t xml:space="preserve">both </w:t>
      </w:r>
      <w:r w:rsidR="00755FD1">
        <w:rPr>
          <w:rFonts w:ascii="Arial" w:hAnsi="Arial" w:cs="Arial"/>
        </w:rPr>
        <w:t>experiences and knowledge in various area</w:t>
      </w:r>
      <w:r w:rsidR="009B77F3">
        <w:rPr>
          <w:rFonts w:ascii="Arial" w:hAnsi="Arial" w:cs="Arial"/>
        </w:rPr>
        <w:t>s</w:t>
      </w:r>
      <w:r w:rsidR="005C7532">
        <w:rPr>
          <w:rFonts w:ascii="Arial" w:hAnsi="Arial" w:cs="Arial"/>
        </w:rPr>
        <w:t xml:space="preserve"> including</w:t>
      </w:r>
      <w:r w:rsidR="009B77F3">
        <w:rPr>
          <w:rFonts w:ascii="Arial" w:hAnsi="Arial" w:cs="Arial"/>
        </w:rPr>
        <w:t xml:space="preserve"> </w:t>
      </w:r>
      <w:r w:rsidR="00755FD1">
        <w:rPr>
          <w:rFonts w:ascii="Arial" w:hAnsi="Arial" w:cs="Arial"/>
        </w:rPr>
        <w:t>water, energy,</w:t>
      </w:r>
      <w:r w:rsidR="009B77F3">
        <w:rPr>
          <w:rFonts w:ascii="Arial" w:hAnsi="Arial" w:cs="Arial"/>
        </w:rPr>
        <w:t xml:space="preserve"> and</w:t>
      </w:r>
      <w:r w:rsidR="00755FD1">
        <w:rPr>
          <w:rFonts w:ascii="Arial" w:hAnsi="Arial" w:cs="Arial"/>
        </w:rPr>
        <w:t xml:space="preserve"> food</w:t>
      </w:r>
      <w:r w:rsidR="009B77F3">
        <w:rPr>
          <w:rFonts w:ascii="Arial" w:hAnsi="Arial" w:cs="Arial"/>
        </w:rPr>
        <w:t>. In this respect, the IDB</w:t>
      </w:r>
      <w:r w:rsidR="005C7532">
        <w:rPr>
          <w:rFonts w:ascii="Arial" w:hAnsi="Arial" w:cs="Arial"/>
        </w:rPr>
        <w:t xml:space="preserve"> not only</w:t>
      </w:r>
      <w:r w:rsidR="009B77F3">
        <w:rPr>
          <w:rFonts w:ascii="Arial" w:hAnsi="Arial" w:cs="Arial"/>
        </w:rPr>
        <w:t xml:space="preserve"> has great</w:t>
      </w:r>
      <w:r w:rsidR="005C7532">
        <w:rPr>
          <w:rFonts w:ascii="Arial" w:hAnsi="Arial" w:cs="Arial"/>
        </w:rPr>
        <w:t xml:space="preserve"> </w:t>
      </w:r>
      <w:r w:rsidR="009B77F3" w:rsidRPr="009B77F3">
        <w:rPr>
          <w:rFonts w:ascii="Arial" w:hAnsi="Arial" w:cs="Arial"/>
        </w:rPr>
        <w:t>expertise</w:t>
      </w:r>
      <w:r w:rsidR="005C7532">
        <w:rPr>
          <w:rFonts w:ascii="Arial" w:hAnsi="Arial" w:cs="Arial"/>
        </w:rPr>
        <w:t xml:space="preserve"> in every sector</w:t>
      </w:r>
      <w:r w:rsidR="009B77F3">
        <w:rPr>
          <w:rFonts w:ascii="Arial" w:hAnsi="Arial" w:cs="Arial"/>
        </w:rPr>
        <w:t xml:space="preserve"> </w:t>
      </w:r>
      <w:r w:rsidR="005C7532">
        <w:rPr>
          <w:rFonts w:ascii="Arial" w:hAnsi="Arial" w:cs="Arial"/>
        </w:rPr>
        <w:t xml:space="preserve">but also </w:t>
      </w:r>
      <w:r w:rsidR="00DB33B0">
        <w:rPr>
          <w:rFonts w:ascii="Arial" w:hAnsi="Arial" w:cs="Arial"/>
        </w:rPr>
        <w:t>easily mobilizes human resources through</w:t>
      </w:r>
      <w:r w:rsidR="00D4701B">
        <w:rPr>
          <w:rFonts w:ascii="Arial" w:hAnsi="Arial" w:cs="Arial"/>
        </w:rPr>
        <w:t xml:space="preserve"> </w:t>
      </w:r>
      <w:r w:rsidR="00DB33B0">
        <w:rPr>
          <w:rFonts w:ascii="Arial" w:hAnsi="Arial" w:cs="Arial"/>
        </w:rPr>
        <w:t>country offices</w:t>
      </w:r>
      <w:r w:rsidR="00D4701B">
        <w:rPr>
          <w:rFonts w:ascii="Arial" w:hAnsi="Arial" w:cs="Arial"/>
        </w:rPr>
        <w:t xml:space="preserve"> than any other agencies in LAC region</w:t>
      </w:r>
      <w:r w:rsidR="00DB33B0">
        <w:rPr>
          <w:rFonts w:ascii="Arial" w:hAnsi="Arial" w:cs="Arial"/>
        </w:rPr>
        <w:t>. For the</w:t>
      </w:r>
      <w:r w:rsidR="003D59AE">
        <w:rPr>
          <w:rFonts w:ascii="Arial" w:hAnsi="Arial" w:cs="Arial"/>
        </w:rPr>
        <w:t>se</w:t>
      </w:r>
      <w:r w:rsidR="00DB33B0">
        <w:rPr>
          <w:rFonts w:ascii="Arial" w:hAnsi="Arial" w:cs="Arial"/>
        </w:rPr>
        <w:t xml:space="preserve"> reasons, this</w:t>
      </w:r>
      <w:r w:rsidR="000F53B6" w:rsidRPr="00FE3368">
        <w:rPr>
          <w:rFonts w:ascii="Arial" w:hAnsi="Arial" w:cs="Arial"/>
        </w:rPr>
        <w:t xml:space="preserve"> TC </w:t>
      </w:r>
      <w:r w:rsidR="001F00A7" w:rsidRPr="00FE3368">
        <w:rPr>
          <w:rFonts w:ascii="Arial" w:hAnsi="Arial" w:cs="Arial"/>
        </w:rPr>
        <w:t xml:space="preserve">will be executed and monitored by the </w:t>
      </w:r>
      <w:r w:rsidR="003D59AE">
        <w:rPr>
          <w:rFonts w:ascii="Arial" w:hAnsi="Arial" w:cs="Arial"/>
        </w:rPr>
        <w:t>IDB</w:t>
      </w:r>
      <w:r w:rsidR="001F00A7" w:rsidRPr="00FE3368">
        <w:rPr>
          <w:rFonts w:ascii="Arial" w:hAnsi="Arial" w:cs="Arial"/>
        </w:rPr>
        <w:t xml:space="preserve"> through the Water and Sanitation Division (INE/WSA) under the supervision of </w:t>
      </w:r>
      <w:r w:rsidR="00276136" w:rsidRPr="00FE3368">
        <w:rPr>
          <w:rFonts w:ascii="Arial" w:hAnsi="Arial" w:cs="Arial"/>
        </w:rPr>
        <w:t>Raul Muñoz Castillo (</w:t>
      </w:r>
      <w:hyperlink r:id="rId14" w:history="1">
        <w:r w:rsidR="00781FFA" w:rsidRPr="00FE3368">
          <w:rPr>
            <w:rFonts w:ascii="Arial" w:hAnsi="Arial" w:cs="Arial"/>
          </w:rPr>
          <w:t>raulmu@iadb.org</w:t>
        </w:r>
      </w:hyperlink>
      <w:r w:rsidR="00276136" w:rsidRPr="00FE3368">
        <w:rPr>
          <w:rFonts w:ascii="Arial" w:hAnsi="Arial" w:cs="Arial"/>
        </w:rPr>
        <w:t>)</w:t>
      </w:r>
      <w:r w:rsidR="001F00A7" w:rsidRPr="00FE3368">
        <w:rPr>
          <w:rFonts w:ascii="Arial" w:hAnsi="Arial" w:cs="Arial"/>
        </w:rPr>
        <w:t>.</w:t>
      </w:r>
      <w:r w:rsidR="00781FFA" w:rsidRPr="00FE3368">
        <w:rPr>
          <w:rFonts w:ascii="Arial" w:hAnsi="Arial" w:cs="Arial"/>
        </w:rPr>
        <w:t xml:space="preserve"> All contracting and procurement activities in the Procurement Plan will be carried out in accordance with the Bank policies as follows: (a) AM-650 for Individual consultants; (b) GN-2765-1 and Guidelines OP-1155-4 for Consulting Firms for services of an intellectual nature and; (c) GN-2303-20 for logistics and other related services; (d) Operational Guidelines for Technical Cooperation Products (GN-2629-1).</w:t>
      </w:r>
    </w:p>
    <w:p w14:paraId="02EBD36B" w14:textId="77777777" w:rsidR="000F7906" w:rsidRPr="00FE3368" w:rsidRDefault="000F7906" w:rsidP="00155190">
      <w:pPr>
        <w:pStyle w:val="ListParagraph"/>
        <w:numPr>
          <w:ilvl w:val="0"/>
          <w:numId w:val="5"/>
        </w:numPr>
        <w:spacing w:before="240"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E3368">
        <w:rPr>
          <w:rFonts w:ascii="Arial" w:hAnsi="Arial" w:cs="Arial"/>
          <w:b/>
          <w:sz w:val="24"/>
          <w:szCs w:val="24"/>
        </w:rPr>
        <w:t>Project Risks and</w:t>
      </w:r>
      <w:r w:rsidR="008C064F" w:rsidRPr="00FE3368">
        <w:rPr>
          <w:rFonts w:ascii="Arial" w:hAnsi="Arial" w:cs="Arial"/>
          <w:b/>
          <w:sz w:val="24"/>
          <w:szCs w:val="24"/>
        </w:rPr>
        <w:t xml:space="preserve"> </w:t>
      </w:r>
      <w:r w:rsidR="0095711B" w:rsidRPr="00FE3368">
        <w:rPr>
          <w:rFonts w:ascii="Arial" w:hAnsi="Arial" w:cs="Arial"/>
          <w:b/>
          <w:sz w:val="24"/>
          <w:szCs w:val="24"/>
        </w:rPr>
        <w:t>issues</w:t>
      </w:r>
      <w:r w:rsidR="00086CFF" w:rsidRPr="00FE3368">
        <w:rPr>
          <w:rFonts w:ascii="Arial" w:hAnsi="Arial" w:cs="Arial"/>
          <w:b/>
          <w:sz w:val="24"/>
          <w:szCs w:val="24"/>
        </w:rPr>
        <w:t xml:space="preserve"> </w:t>
      </w:r>
    </w:p>
    <w:p w14:paraId="0B64FEE1" w14:textId="306B3097" w:rsidR="00CF6C4D" w:rsidRPr="00155190" w:rsidRDefault="00D522D3" w:rsidP="00155190">
      <w:pPr>
        <w:pStyle w:val="ListParagraph"/>
        <w:numPr>
          <w:ilvl w:val="1"/>
          <w:numId w:val="5"/>
        </w:numPr>
        <w:spacing w:before="120" w:after="120"/>
        <w:ind w:left="360" w:hanging="540"/>
        <w:jc w:val="both"/>
        <w:rPr>
          <w:rFonts w:ascii="Arial" w:hAnsi="Arial" w:cs="Arial"/>
        </w:rPr>
      </w:pPr>
      <w:r w:rsidRPr="00FE3368">
        <w:rPr>
          <w:rFonts w:ascii="Arial" w:hAnsi="Arial" w:cs="Arial"/>
        </w:rPr>
        <w:t xml:space="preserve">Although the risks identified for this TC are minor, there is a potential lack of interest </w:t>
      </w:r>
      <w:r w:rsidR="009D2B4E" w:rsidRPr="00FE3368">
        <w:rPr>
          <w:rFonts w:ascii="Arial" w:hAnsi="Arial" w:cs="Arial"/>
        </w:rPr>
        <w:t>or</w:t>
      </w:r>
      <w:r w:rsidR="00C40FDB" w:rsidRPr="00FE3368">
        <w:rPr>
          <w:rFonts w:ascii="Arial" w:hAnsi="Arial" w:cs="Arial"/>
        </w:rPr>
        <w:t xml:space="preserve"> lack of</w:t>
      </w:r>
      <w:r w:rsidR="009D2B4E" w:rsidRPr="00FE3368">
        <w:rPr>
          <w:rFonts w:ascii="Arial" w:hAnsi="Arial" w:cs="Arial"/>
        </w:rPr>
        <w:t xml:space="preserve"> </w:t>
      </w:r>
      <w:r w:rsidR="00315516" w:rsidRPr="00FE3368">
        <w:rPr>
          <w:rFonts w:ascii="Arial" w:hAnsi="Arial" w:cs="Arial"/>
        </w:rPr>
        <w:t xml:space="preserve">understanding </w:t>
      </w:r>
      <w:r w:rsidR="00C40FDB" w:rsidRPr="00FE3368">
        <w:rPr>
          <w:rFonts w:ascii="Arial" w:hAnsi="Arial" w:cs="Arial"/>
        </w:rPr>
        <w:t>on</w:t>
      </w:r>
      <w:r w:rsidR="00315516" w:rsidRPr="00FE3368">
        <w:rPr>
          <w:rFonts w:ascii="Arial" w:hAnsi="Arial" w:cs="Arial"/>
        </w:rPr>
        <w:t xml:space="preserve"> the Nexus </w:t>
      </w:r>
      <w:r w:rsidRPr="00FE3368">
        <w:rPr>
          <w:rFonts w:ascii="Arial" w:hAnsi="Arial" w:cs="Arial"/>
        </w:rPr>
        <w:t>from government officials</w:t>
      </w:r>
      <w:r w:rsidR="00452EE7" w:rsidRPr="00FE3368">
        <w:rPr>
          <w:rFonts w:ascii="Arial" w:hAnsi="Arial" w:cs="Arial"/>
        </w:rPr>
        <w:t>,</w:t>
      </w:r>
      <w:r w:rsidRPr="00FE3368">
        <w:rPr>
          <w:rFonts w:ascii="Arial" w:hAnsi="Arial" w:cs="Arial"/>
        </w:rPr>
        <w:t xml:space="preserve"> which may limit the thorough analysis of the sector</w:t>
      </w:r>
      <w:r w:rsidR="00452EE7" w:rsidRPr="00FE3368">
        <w:rPr>
          <w:rFonts w:ascii="Arial" w:hAnsi="Arial" w:cs="Arial"/>
        </w:rPr>
        <w:t>.</w:t>
      </w:r>
      <w:r w:rsidRPr="00FE3368">
        <w:rPr>
          <w:rFonts w:ascii="Arial" w:hAnsi="Arial" w:cs="Arial"/>
        </w:rPr>
        <w:t xml:space="preserve"> The operation will mitigate this risk by actively engaging government officials from the early stage of the TC.</w:t>
      </w:r>
    </w:p>
    <w:p w14:paraId="3C92C3A6" w14:textId="77777777" w:rsidR="00CA272D" w:rsidRPr="00FE3368" w:rsidRDefault="0095711B" w:rsidP="00155190">
      <w:pPr>
        <w:pStyle w:val="ListParagraph"/>
        <w:numPr>
          <w:ilvl w:val="0"/>
          <w:numId w:val="5"/>
        </w:numPr>
        <w:spacing w:before="240"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E3368">
        <w:rPr>
          <w:rFonts w:ascii="Arial" w:hAnsi="Arial" w:cs="Arial"/>
          <w:b/>
          <w:sz w:val="24"/>
          <w:szCs w:val="24"/>
        </w:rPr>
        <w:t xml:space="preserve">Environmental and Social </w:t>
      </w:r>
      <w:r w:rsidR="00CA272D" w:rsidRPr="00FE3368">
        <w:rPr>
          <w:rFonts w:ascii="Arial" w:hAnsi="Arial" w:cs="Arial"/>
          <w:b/>
          <w:sz w:val="24"/>
          <w:szCs w:val="24"/>
        </w:rPr>
        <w:t>Classification</w:t>
      </w:r>
    </w:p>
    <w:p w14:paraId="65687CD6" w14:textId="16109329" w:rsidR="00C854FE" w:rsidRPr="00FE3368" w:rsidRDefault="00BC4C15" w:rsidP="0093010C">
      <w:pPr>
        <w:pStyle w:val="ListParagraph"/>
        <w:numPr>
          <w:ilvl w:val="1"/>
          <w:numId w:val="5"/>
        </w:numPr>
        <w:spacing w:before="120" w:after="120"/>
        <w:ind w:left="360" w:hanging="540"/>
        <w:jc w:val="both"/>
        <w:rPr>
          <w:rFonts w:ascii="Arial" w:hAnsi="Arial" w:cs="Arial"/>
        </w:rPr>
      </w:pPr>
      <w:r w:rsidRPr="00FE3368">
        <w:rPr>
          <w:rFonts w:ascii="Arial" w:hAnsi="Arial" w:cs="Arial"/>
        </w:rPr>
        <w:t>Given the involvement of this TC in institutional strengthening and policy dialogue, negative environmental and social impacts are not foreseen. Consequently, this TC has been classified as C category</w:t>
      </w:r>
      <w:r w:rsidR="0059365F">
        <w:rPr>
          <w:rFonts w:ascii="Arial" w:hAnsi="Arial" w:cs="Arial"/>
        </w:rPr>
        <w:t>.</w:t>
      </w:r>
    </w:p>
    <w:sectPr w:rsidR="00C854FE" w:rsidRPr="00FE3368" w:rsidSect="00CF6C4D">
      <w:headerReference w:type="default" r:id="rId15"/>
      <w:footerReference w:type="defaul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CDA49" w14:textId="77777777" w:rsidR="0066031B" w:rsidRDefault="0066031B" w:rsidP="0095711B">
      <w:pPr>
        <w:spacing w:after="0" w:line="240" w:lineRule="auto"/>
      </w:pPr>
      <w:r>
        <w:separator/>
      </w:r>
    </w:p>
  </w:endnote>
  <w:endnote w:type="continuationSeparator" w:id="0">
    <w:p w14:paraId="77A3B51D" w14:textId="77777777" w:rsidR="0066031B" w:rsidRDefault="0066031B" w:rsidP="00957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45502" w14:textId="77777777" w:rsidR="0095711B" w:rsidRDefault="0095711B">
    <w:pPr>
      <w:pStyle w:val="Footer"/>
      <w:jc w:val="center"/>
    </w:pPr>
  </w:p>
  <w:p w14:paraId="227E0731" w14:textId="77777777" w:rsidR="0095711B" w:rsidRDefault="009571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75880" w14:textId="77777777" w:rsidR="0066031B" w:rsidRDefault="0066031B" w:rsidP="0095711B">
      <w:pPr>
        <w:spacing w:after="0" w:line="240" w:lineRule="auto"/>
      </w:pPr>
      <w:r>
        <w:separator/>
      </w:r>
    </w:p>
  </w:footnote>
  <w:footnote w:type="continuationSeparator" w:id="0">
    <w:p w14:paraId="2747D86B" w14:textId="77777777" w:rsidR="0066031B" w:rsidRDefault="0066031B" w:rsidP="0095711B">
      <w:pPr>
        <w:spacing w:after="0" w:line="240" w:lineRule="auto"/>
      </w:pPr>
      <w:r>
        <w:continuationSeparator/>
      </w:r>
    </w:p>
  </w:footnote>
  <w:footnote w:id="1">
    <w:p w14:paraId="7092186A" w14:textId="17B6378A" w:rsidR="00BC0ADF" w:rsidRPr="00555250" w:rsidRDefault="00BC0ADF" w:rsidP="00D27E66">
      <w:pPr>
        <w:pStyle w:val="FootnoteText"/>
        <w:ind w:left="270" w:hanging="270"/>
        <w:rPr>
          <w:rFonts w:ascii="Arial" w:eastAsia="Malgun Gothic" w:hAnsi="Arial" w:cs="Arial"/>
          <w:sz w:val="18"/>
          <w:szCs w:val="18"/>
          <w:lang w:eastAsia="ko-KR"/>
        </w:rPr>
      </w:pPr>
      <w:r w:rsidRPr="00555250">
        <w:rPr>
          <w:rStyle w:val="FootnoteReference"/>
          <w:rFonts w:ascii="Arial" w:hAnsi="Arial" w:cs="Arial"/>
          <w:sz w:val="18"/>
          <w:szCs w:val="18"/>
        </w:rPr>
        <w:footnoteRef/>
      </w:r>
      <w:r w:rsidRPr="00555250">
        <w:rPr>
          <w:rFonts w:ascii="Arial" w:hAnsi="Arial" w:cs="Arial"/>
          <w:sz w:val="18"/>
          <w:szCs w:val="18"/>
        </w:rPr>
        <w:t xml:space="preserve"> </w:t>
      </w:r>
      <w:r w:rsidR="00D27E66">
        <w:rPr>
          <w:rFonts w:ascii="Arial" w:hAnsi="Arial" w:cs="Arial"/>
          <w:sz w:val="18"/>
          <w:szCs w:val="18"/>
        </w:rPr>
        <w:tab/>
      </w:r>
      <w:r w:rsidRPr="00555250">
        <w:rPr>
          <w:rFonts w:ascii="Arial" w:hAnsi="Arial" w:cs="Arial"/>
          <w:sz w:val="18"/>
          <w:szCs w:val="18"/>
        </w:rPr>
        <w:t>FAO, 2011, AQUASTAT - Water withdrawal by sector</w:t>
      </w:r>
    </w:p>
  </w:footnote>
  <w:footnote w:id="2">
    <w:p w14:paraId="2FBF9E3C" w14:textId="447D77CF" w:rsidR="00E771ED" w:rsidRPr="00555250" w:rsidRDefault="00E771ED" w:rsidP="00D27E66">
      <w:pPr>
        <w:pStyle w:val="FootnoteText"/>
        <w:ind w:left="270" w:hanging="270"/>
        <w:rPr>
          <w:rFonts w:ascii="Arial" w:eastAsia="Malgun Gothic" w:hAnsi="Arial" w:cs="Arial"/>
          <w:sz w:val="18"/>
          <w:szCs w:val="18"/>
          <w:lang w:eastAsia="ko-KR"/>
        </w:rPr>
      </w:pPr>
      <w:r w:rsidRPr="00555250">
        <w:rPr>
          <w:rStyle w:val="FootnoteReference"/>
          <w:rFonts w:ascii="Arial" w:hAnsi="Arial" w:cs="Arial"/>
          <w:sz w:val="18"/>
          <w:szCs w:val="18"/>
        </w:rPr>
        <w:footnoteRef/>
      </w:r>
      <w:r w:rsidRPr="00555250">
        <w:rPr>
          <w:rFonts w:ascii="Arial" w:hAnsi="Arial" w:cs="Arial"/>
          <w:sz w:val="18"/>
          <w:szCs w:val="18"/>
        </w:rPr>
        <w:t xml:space="preserve"> </w:t>
      </w:r>
      <w:r w:rsidR="00D27E66">
        <w:rPr>
          <w:rFonts w:ascii="Arial" w:hAnsi="Arial" w:cs="Arial"/>
          <w:sz w:val="18"/>
          <w:szCs w:val="18"/>
        </w:rPr>
        <w:tab/>
      </w:r>
      <w:r w:rsidR="008A5A7C" w:rsidRPr="00555250">
        <w:rPr>
          <w:rFonts w:ascii="Arial" w:hAnsi="Arial" w:cs="Arial"/>
          <w:sz w:val="18"/>
          <w:szCs w:val="18"/>
        </w:rPr>
        <w:t xml:space="preserve">UNESCO, 2014, </w:t>
      </w:r>
      <w:r w:rsidRPr="00555250">
        <w:rPr>
          <w:rFonts w:ascii="Arial" w:hAnsi="Arial" w:cs="Arial"/>
          <w:sz w:val="18"/>
          <w:szCs w:val="18"/>
        </w:rPr>
        <w:t>The United Nations World</w:t>
      </w:r>
      <w:r w:rsidR="008A5A7C" w:rsidRPr="00555250">
        <w:rPr>
          <w:rFonts w:ascii="Arial" w:hAnsi="Arial" w:cs="Arial"/>
          <w:sz w:val="18"/>
          <w:szCs w:val="18"/>
        </w:rPr>
        <w:t xml:space="preserve"> Water Development Report</w:t>
      </w:r>
      <w:r w:rsidR="005A3746" w:rsidRPr="00555250">
        <w:rPr>
          <w:rFonts w:ascii="Arial" w:hAnsi="Arial" w:cs="Arial"/>
          <w:sz w:val="18"/>
          <w:szCs w:val="18"/>
        </w:rPr>
        <w:t xml:space="preserve">, </w:t>
      </w:r>
      <w:r w:rsidR="00E95BEF" w:rsidRPr="00555250">
        <w:rPr>
          <w:rFonts w:ascii="Arial" w:hAnsi="Arial" w:cs="Arial"/>
          <w:sz w:val="18"/>
          <w:szCs w:val="18"/>
        </w:rPr>
        <w:t>the 5</w:t>
      </w:r>
      <w:r w:rsidR="00E95BEF" w:rsidRPr="00555250">
        <w:rPr>
          <w:rFonts w:ascii="Arial" w:hAnsi="Arial" w:cs="Arial"/>
          <w:sz w:val="18"/>
          <w:szCs w:val="18"/>
          <w:vertAlign w:val="superscript"/>
        </w:rPr>
        <w:t>th</w:t>
      </w:r>
      <w:r w:rsidR="00E95BEF" w:rsidRPr="00555250">
        <w:rPr>
          <w:rFonts w:ascii="Arial" w:hAnsi="Arial" w:cs="Arial"/>
          <w:sz w:val="18"/>
          <w:szCs w:val="18"/>
        </w:rPr>
        <w:t xml:space="preserve"> edition</w:t>
      </w:r>
    </w:p>
  </w:footnote>
  <w:footnote w:id="3">
    <w:p w14:paraId="652623DC" w14:textId="1C6A0F67" w:rsidR="008D2588" w:rsidRPr="00555250" w:rsidRDefault="008D2588" w:rsidP="00D27E66">
      <w:pPr>
        <w:pStyle w:val="FootnoteText"/>
        <w:ind w:left="270" w:hanging="270"/>
        <w:rPr>
          <w:rFonts w:ascii="Arial" w:eastAsia="Malgun Gothic" w:hAnsi="Arial" w:cs="Arial"/>
          <w:sz w:val="18"/>
          <w:szCs w:val="18"/>
          <w:lang w:eastAsia="ko-KR"/>
        </w:rPr>
      </w:pPr>
      <w:r w:rsidRPr="00555250">
        <w:rPr>
          <w:rStyle w:val="FootnoteReference"/>
          <w:rFonts w:ascii="Arial" w:hAnsi="Arial" w:cs="Arial"/>
          <w:sz w:val="18"/>
          <w:szCs w:val="18"/>
        </w:rPr>
        <w:footnoteRef/>
      </w:r>
      <w:r w:rsidRPr="00555250">
        <w:rPr>
          <w:rFonts w:ascii="Arial" w:hAnsi="Arial" w:cs="Arial"/>
          <w:sz w:val="18"/>
          <w:szCs w:val="18"/>
        </w:rPr>
        <w:t xml:space="preserve"> </w:t>
      </w:r>
      <w:r w:rsidR="00D27E66">
        <w:rPr>
          <w:rFonts w:ascii="Arial" w:hAnsi="Arial" w:cs="Arial"/>
          <w:sz w:val="18"/>
          <w:szCs w:val="18"/>
        </w:rPr>
        <w:tab/>
      </w:r>
      <w:r w:rsidRPr="00555250">
        <w:rPr>
          <w:rFonts w:ascii="Arial" w:eastAsia="Malgun Gothic" w:hAnsi="Arial" w:cs="Arial"/>
          <w:sz w:val="18"/>
          <w:szCs w:val="18"/>
          <w:lang w:eastAsia="ko-KR"/>
        </w:rPr>
        <w:t xml:space="preserve">UNESCO, 2012, </w:t>
      </w:r>
      <w:r w:rsidR="002816DE" w:rsidRPr="00555250">
        <w:rPr>
          <w:rFonts w:ascii="Arial" w:eastAsia="Malgun Gothic" w:hAnsi="Arial" w:cs="Arial"/>
          <w:sz w:val="18"/>
          <w:szCs w:val="18"/>
          <w:lang w:eastAsia="ko-KR"/>
        </w:rPr>
        <w:t>T</w:t>
      </w:r>
      <w:r w:rsidRPr="00555250">
        <w:rPr>
          <w:rFonts w:ascii="Arial" w:eastAsia="Malgun Gothic" w:hAnsi="Arial" w:cs="Arial"/>
          <w:sz w:val="18"/>
          <w:szCs w:val="18"/>
          <w:lang w:eastAsia="ko-KR"/>
        </w:rPr>
        <w:t>he U</w:t>
      </w:r>
      <w:r w:rsidR="002816DE" w:rsidRPr="00555250">
        <w:rPr>
          <w:rFonts w:ascii="Arial" w:eastAsia="Malgun Gothic" w:hAnsi="Arial" w:cs="Arial"/>
          <w:sz w:val="18"/>
          <w:szCs w:val="18"/>
          <w:lang w:eastAsia="ko-KR"/>
        </w:rPr>
        <w:t xml:space="preserve">nited </w:t>
      </w:r>
      <w:r w:rsidRPr="00555250">
        <w:rPr>
          <w:rFonts w:ascii="Arial" w:eastAsia="Malgun Gothic" w:hAnsi="Arial" w:cs="Arial"/>
          <w:sz w:val="18"/>
          <w:szCs w:val="18"/>
          <w:lang w:eastAsia="ko-KR"/>
        </w:rPr>
        <w:t>N</w:t>
      </w:r>
      <w:r w:rsidR="002816DE" w:rsidRPr="00555250">
        <w:rPr>
          <w:rFonts w:ascii="Arial" w:eastAsia="Malgun Gothic" w:hAnsi="Arial" w:cs="Arial"/>
          <w:sz w:val="18"/>
          <w:szCs w:val="18"/>
          <w:lang w:eastAsia="ko-KR"/>
        </w:rPr>
        <w:t>ations</w:t>
      </w:r>
      <w:r w:rsidRPr="00555250">
        <w:rPr>
          <w:rFonts w:ascii="Arial" w:eastAsia="Malgun Gothic" w:hAnsi="Arial" w:cs="Arial"/>
          <w:sz w:val="18"/>
          <w:szCs w:val="18"/>
          <w:lang w:eastAsia="ko-KR"/>
        </w:rPr>
        <w:t xml:space="preserve"> World Water Development Report</w:t>
      </w:r>
      <w:r w:rsidR="002816DE" w:rsidRPr="00555250">
        <w:rPr>
          <w:rFonts w:ascii="Arial" w:eastAsia="Malgun Gothic" w:hAnsi="Arial" w:cs="Arial"/>
          <w:sz w:val="18"/>
          <w:szCs w:val="18"/>
          <w:lang w:eastAsia="ko-KR"/>
        </w:rPr>
        <w:t>, the 4</w:t>
      </w:r>
      <w:r w:rsidR="002816DE" w:rsidRPr="00555250">
        <w:rPr>
          <w:rFonts w:ascii="Arial" w:eastAsia="Malgun Gothic" w:hAnsi="Arial" w:cs="Arial"/>
          <w:sz w:val="18"/>
          <w:szCs w:val="18"/>
          <w:vertAlign w:val="superscript"/>
          <w:lang w:eastAsia="ko-KR"/>
        </w:rPr>
        <w:t>th</w:t>
      </w:r>
      <w:r w:rsidR="002816DE" w:rsidRPr="00555250">
        <w:rPr>
          <w:rFonts w:ascii="Arial" w:eastAsia="Malgun Gothic" w:hAnsi="Arial" w:cs="Arial"/>
          <w:sz w:val="18"/>
          <w:szCs w:val="18"/>
          <w:lang w:eastAsia="ko-KR"/>
        </w:rPr>
        <w:t xml:space="preserve"> edition</w:t>
      </w:r>
    </w:p>
  </w:footnote>
  <w:footnote w:id="4">
    <w:p w14:paraId="033A9461" w14:textId="2BDD95AC" w:rsidR="00AF1449" w:rsidRPr="00555250" w:rsidRDefault="00AF1449" w:rsidP="00D27E66">
      <w:pPr>
        <w:pStyle w:val="FootnoteText"/>
        <w:ind w:left="270" w:hanging="270"/>
        <w:rPr>
          <w:rFonts w:ascii="Arial" w:eastAsia="Malgun Gothic" w:hAnsi="Arial" w:cs="Arial"/>
          <w:sz w:val="18"/>
          <w:szCs w:val="18"/>
          <w:lang w:eastAsia="ko-KR"/>
        </w:rPr>
      </w:pPr>
      <w:r w:rsidRPr="00555250">
        <w:rPr>
          <w:rStyle w:val="FootnoteReference"/>
          <w:rFonts w:ascii="Arial" w:hAnsi="Arial" w:cs="Arial"/>
          <w:sz w:val="18"/>
          <w:szCs w:val="18"/>
        </w:rPr>
        <w:footnoteRef/>
      </w:r>
      <w:r w:rsidRPr="00555250">
        <w:rPr>
          <w:rFonts w:ascii="Arial" w:hAnsi="Arial" w:cs="Arial"/>
          <w:sz w:val="18"/>
          <w:szCs w:val="18"/>
        </w:rPr>
        <w:t xml:space="preserve"> </w:t>
      </w:r>
      <w:r w:rsidR="00D27E66">
        <w:rPr>
          <w:rFonts w:ascii="Arial" w:hAnsi="Arial" w:cs="Arial"/>
          <w:sz w:val="18"/>
          <w:szCs w:val="18"/>
        </w:rPr>
        <w:tab/>
      </w:r>
      <w:r w:rsidR="00813A16" w:rsidRPr="00555250">
        <w:rPr>
          <w:rFonts w:ascii="Arial" w:hAnsi="Arial" w:cs="Arial"/>
          <w:sz w:val="18"/>
          <w:szCs w:val="18"/>
        </w:rPr>
        <w:t>Bellfield. H, 2015, W</w:t>
      </w:r>
      <w:r w:rsidRPr="00555250">
        <w:rPr>
          <w:rFonts w:ascii="Arial" w:hAnsi="Arial" w:cs="Arial"/>
          <w:sz w:val="18"/>
          <w:szCs w:val="18"/>
        </w:rPr>
        <w:t>ater</w:t>
      </w:r>
      <w:r w:rsidR="00813A16" w:rsidRPr="00555250">
        <w:rPr>
          <w:rFonts w:ascii="Arial" w:hAnsi="Arial" w:cs="Arial"/>
          <w:sz w:val="18"/>
          <w:szCs w:val="18"/>
        </w:rPr>
        <w:t>, E</w:t>
      </w:r>
      <w:r w:rsidRPr="00555250">
        <w:rPr>
          <w:rFonts w:ascii="Arial" w:hAnsi="Arial" w:cs="Arial"/>
          <w:sz w:val="18"/>
          <w:szCs w:val="18"/>
        </w:rPr>
        <w:t>nergy</w:t>
      </w:r>
      <w:r w:rsidR="00813A16" w:rsidRPr="00555250">
        <w:rPr>
          <w:rFonts w:ascii="Arial" w:hAnsi="Arial" w:cs="Arial"/>
          <w:sz w:val="18"/>
          <w:szCs w:val="18"/>
        </w:rPr>
        <w:t>, F</w:t>
      </w:r>
      <w:r w:rsidRPr="00555250">
        <w:rPr>
          <w:rFonts w:ascii="Arial" w:hAnsi="Arial" w:cs="Arial"/>
          <w:sz w:val="18"/>
          <w:szCs w:val="18"/>
        </w:rPr>
        <w:t>ood</w:t>
      </w:r>
      <w:r w:rsidR="00813A16" w:rsidRPr="00555250">
        <w:rPr>
          <w:rFonts w:ascii="Arial" w:hAnsi="Arial" w:cs="Arial"/>
          <w:sz w:val="18"/>
          <w:szCs w:val="18"/>
        </w:rPr>
        <w:t xml:space="preserve"> Security N</w:t>
      </w:r>
      <w:r w:rsidRPr="00555250">
        <w:rPr>
          <w:rFonts w:ascii="Arial" w:hAnsi="Arial" w:cs="Arial"/>
          <w:sz w:val="18"/>
          <w:szCs w:val="18"/>
        </w:rPr>
        <w:t xml:space="preserve">exus in </w:t>
      </w:r>
      <w:r w:rsidR="00813A16" w:rsidRPr="00555250">
        <w:rPr>
          <w:rFonts w:ascii="Arial" w:hAnsi="Arial" w:cs="Arial"/>
          <w:sz w:val="18"/>
          <w:szCs w:val="18"/>
        </w:rPr>
        <w:t>L</w:t>
      </w:r>
      <w:r w:rsidRPr="00555250">
        <w:rPr>
          <w:rFonts w:ascii="Arial" w:hAnsi="Arial" w:cs="Arial"/>
          <w:sz w:val="18"/>
          <w:szCs w:val="18"/>
        </w:rPr>
        <w:t>atin</w:t>
      </w:r>
      <w:r w:rsidR="00813A16" w:rsidRPr="00555250">
        <w:rPr>
          <w:rFonts w:ascii="Arial" w:hAnsi="Arial" w:cs="Arial"/>
          <w:sz w:val="18"/>
          <w:szCs w:val="18"/>
        </w:rPr>
        <w:t xml:space="preserve"> A</w:t>
      </w:r>
      <w:r w:rsidRPr="00555250">
        <w:rPr>
          <w:rFonts w:ascii="Arial" w:hAnsi="Arial" w:cs="Arial"/>
          <w:sz w:val="18"/>
          <w:szCs w:val="18"/>
        </w:rPr>
        <w:t xml:space="preserve">merica and the </w:t>
      </w:r>
      <w:r w:rsidR="00813A16" w:rsidRPr="00555250">
        <w:rPr>
          <w:rFonts w:ascii="Arial" w:hAnsi="Arial" w:cs="Arial"/>
          <w:sz w:val="18"/>
          <w:szCs w:val="18"/>
        </w:rPr>
        <w:t>C</w:t>
      </w:r>
      <w:r w:rsidRPr="00555250">
        <w:rPr>
          <w:rFonts w:ascii="Arial" w:hAnsi="Arial" w:cs="Arial"/>
          <w:sz w:val="18"/>
          <w:szCs w:val="18"/>
        </w:rPr>
        <w:t>aribbean</w:t>
      </w:r>
    </w:p>
  </w:footnote>
  <w:footnote w:id="5">
    <w:p w14:paraId="795AFE77" w14:textId="6EC3A440" w:rsidR="008868CD" w:rsidRPr="00555250" w:rsidRDefault="008868CD" w:rsidP="00D27E66">
      <w:pPr>
        <w:pStyle w:val="FootnoteText"/>
        <w:ind w:left="270" w:hanging="270"/>
        <w:rPr>
          <w:rFonts w:ascii="Arial" w:eastAsia="Malgun Gothic" w:hAnsi="Arial" w:cs="Arial"/>
          <w:sz w:val="18"/>
          <w:szCs w:val="18"/>
          <w:lang w:eastAsia="ko-KR"/>
        </w:rPr>
      </w:pPr>
      <w:r w:rsidRPr="00555250">
        <w:rPr>
          <w:rStyle w:val="FootnoteReference"/>
          <w:rFonts w:ascii="Arial" w:hAnsi="Arial" w:cs="Arial"/>
          <w:sz w:val="18"/>
          <w:szCs w:val="18"/>
        </w:rPr>
        <w:footnoteRef/>
      </w:r>
      <w:r w:rsidRPr="00555250">
        <w:rPr>
          <w:rFonts w:ascii="Arial" w:hAnsi="Arial" w:cs="Arial"/>
          <w:sz w:val="18"/>
          <w:szCs w:val="18"/>
        </w:rPr>
        <w:t xml:space="preserve"> </w:t>
      </w:r>
      <w:r w:rsidR="00D27E66">
        <w:rPr>
          <w:rFonts w:ascii="Arial" w:hAnsi="Arial" w:cs="Arial"/>
          <w:sz w:val="18"/>
          <w:szCs w:val="18"/>
        </w:rPr>
        <w:tab/>
      </w:r>
      <w:hyperlink r:id="rId1" w:history="1">
        <w:r w:rsidRPr="00555250">
          <w:rPr>
            <w:rStyle w:val="Hyperlink"/>
            <w:rFonts w:ascii="Arial" w:eastAsia="Malgun Gothic" w:hAnsi="Arial" w:cs="Arial"/>
            <w:sz w:val="18"/>
            <w:szCs w:val="18"/>
            <w:lang w:eastAsia="ko-KR"/>
          </w:rPr>
          <w:t xml:space="preserve">IRENA, 2015, </w:t>
        </w:r>
        <w:r w:rsidR="003F3008" w:rsidRPr="00555250">
          <w:rPr>
            <w:rStyle w:val="Hyperlink"/>
            <w:rFonts w:ascii="Arial" w:eastAsia="Malgun Gothic" w:hAnsi="Arial" w:cs="Arial"/>
            <w:sz w:val="18"/>
            <w:szCs w:val="18"/>
            <w:lang w:eastAsia="ko-KR"/>
          </w:rPr>
          <w:t>Renewable Energy Policy Brief - Paraguay</w:t>
        </w:r>
      </w:hyperlink>
    </w:p>
  </w:footnote>
  <w:footnote w:id="6">
    <w:p w14:paraId="32E10209" w14:textId="62811100" w:rsidR="00813A16" w:rsidRPr="00555250" w:rsidRDefault="00813A16" w:rsidP="00D27E66">
      <w:pPr>
        <w:pStyle w:val="FootnoteText"/>
        <w:ind w:left="270" w:hanging="270"/>
        <w:rPr>
          <w:rFonts w:ascii="Arial" w:eastAsia="Malgun Gothic" w:hAnsi="Arial" w:cs="Arial"/>
          <w:sz w:val="18"/>
          <w:szCs w:val="18"/>
          <w:lang w:eastAsia="ko-KR"/>
        </w:rPr>
      </w:pPr>
      <w:r w:rsidRPr="00555250">
        <w:rPr>
          <w:rStyle w:val="FootnoteReference"/>
          <w:rFonts w:ascii="Arial" w:hAnsi="Arial" w:cs="Arial"/>
          <w:sz w:val="18"/>
          <w:szCs w:val="18"/>
        </w:rPr>
        <w:footnoteRef/>
      </w:r>
      <w:r w:rsidRPr="00555250">
        <w:rPr>
          <w:rFonts w:ascii="Arial" w:hAnsi="Arial" w:cs="Arial"/>
          <w:sz w:val="18"/>
          <w:szCs w:val="18"/>
        </w:rPr>
        <w:t xml:space="preserve"> </w:t>
      </w:r>
      <w:r w:rsidR="00D27E66">
        <w:rPr>
          <w:rFonts w:ascii="Arial" w:hAnsi="Arial" w:cs="Arial"/>
          <w:sz w:val="18"/>
          <w:szCs w:val="18"/>
        </w:rPr>
        <w:tab/>
      </w:r>
      <w:hyperlink r:id="rId2" w:history="1">
        <w:r w:rsidR="003F3008" w:rsidRPr="00555250">
          <w:rPr>
            <w:rStyle w:val="Hyperlink"/>
            <w:rFonts w:ascii="Arial" w:hAnsi="Arial" w:cs="Arial"/>
            <w:sz w:val="18"/>
            <w:szCs w:val="18"/>
          </w:rPr>
          <w:t>World Bank</w:t>
        </w:r>
        <w:r w:rsidR="00F26305" w:rsidRPr="00555250">
          <w:rPr>
            <w:rStyle w:val="Hyperlink"/>
            <w:rFonts w:ascii="Arial" w:hAnsi="Arial" w:cs="Arial"/>
            <w:sz w:val="18"/>
            <w:szCs w:val="18"/>
          </w:rPr>
          <w:t xml:space="preserve">, 2017, </w:t>
        </w:r>
        <w:r w:rsidR="00F03374" w:rsidRPr="00555250">
          <w:rPr>
            <w:rStyle w:val="Hyperlink"/>
            <w:rFonts w:ascii="Arial" w:hAnsi="Arial" w:cs="Arial"/>
            <w:sz w:val="18"/>
            <w:szCs w:val="18"/>
          </w:rPr>
          <w:t>World Development Indicators: Structure of output</w:t>
        </w:r>
      </w:hyperlink>
    </w:p>
  </w:footnote>
  <w:footnote w:id="7">
    <w:p w14:paraId="77909E0F" w14:textId="0C76209E" w:rsidR="008A3F7A" w:rsidRPr="00555250" w:rsidRDefault="008A3F7A" w:rsidP="00D27E66">
      <w:pPr>
        <w:pStyle w:val="FootnoteText"/>
        <w:ind w:left="270" w:hanging="270"/>
        <w:rPr>
          <w:rFonts w:ascii="Arial" w:eastAsia="Malgun Gothic" w:hAnsi="Arial" w:cs="Arial"/>
          <w:sz w:val="18"/>
          <w:szCs w:val="18"/>
          <w:lang w:eastAsia="ko-KR"/>
        </w:rPr>
      </w:pPr>
      <w:r w:rsidRPr="00555250">
        <w:rPr>
          <w:rStyle w:val="FootnoteReference"/>
          <w:rFonts w:ascii="Arial" w:hAnsi="Arial" w:cs="Arial"/>
          <w:sz w:val="18"/>
          <w:szCs w:val="18"/>
        </w:rPr>
        <w:footnoteRef/>
      </w:r>
      <w:r w:rsidRPr="00555250">
        <w:rPr>
          <w:rFonts w:ascii="Arial" w:hAnsi="Arial" w:cs="Arial"/>
          <w:sz w:val="18"/>
          <w:szCs w:val="18"/>
        </w:rPr>
        <w:t xml:space="preserve"> </w:t>
      </w:r>
      <w:r w:rsidR="00D27E66">
        <w:rPr>
          <w:rFonts w:ascii="Arial" w:hAnsi="Arial" w:cs="Arial"/>
          <w:sz w:val="18"/>
          <w:szCs w:val="18"/>
        </w:rPr>
        <w:tab/>
      </w:r>
      <w:hyperlink r:id="rId3" w:history="1">
        <w:r w:rsidRPr="00555250">
          <w:rPr>
            <w:rStyle w:val="Hyperlink"/>
            <w:rFonts w:ascii="Arial" w:eastAsia="Malgun Gothic" w:hAnsi="Arial" w:cs="Arial"/>
            <w:sz w:val="18"/>
            <w:szCs w:val="18"/>
            <w:lang w:eastAsia="ko-KR"/>
          </w:rPr>
          <w:t>IDB, 2015, (RG-T2660) Development of Case Studies of the Water-Energy-Food Nexus in Latin America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Book" w:hAnsi="Gotham Book"/>
        <w:sz w:val="18"/>
        <w:szCs w:val="18"/>
      </w:rPr>
      <w:id w:val="170890718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6947A1F" w14:textId="77777777" w:rsidR="0093010C" w:rsidRPr="0093010C" w:rsidRDefault="0093010C" w:rsidP="0011025F">
        <w:pPr>
          <w:pStyle w:val="Header"/>
          <w:tabs>
            <w:tab w:val="clear" w:pos="4680"/>
          </w:tabs>
          <w:jc w:val="center"/>
          <w:rPr>
            <w:rFonts w:ascii="Gotham Book" w:hAnsi="Gotham Book"/>
            <w:sz w:val="18"/>
            <w:szCs w:val="18"/>
          </w:rPr>
        </w:pPr>
        <w:r w:rsidRPr="0093010C">
          <w:rPr>
            <w:rFonts w:ascii="Gotham Book" w:hAnsi="Gotham Book"/>
            <w:sz w:val="18"/>
            <w:szCs w:val="18"/>
          </w:rPr>
          <w:t>- </w:t>
        </w:r>
        <w:r w:rsidRPr="0093010C">
          <w:rPr>
            <w:rFonts w:ascii="Gotham Book" w:hAnsi="Gotham Book"/>
            <w:sz w:val="18"/>
            <w:szCs w:val="18"/>
          </w:rPr>
          <w:fldChar w:fldCharType="begin"/>
        </w:r>
        <w:r w:rsidRPr="0093010C">
          <w:rPr>
            <w:rFonts w:ascii="Gotham Book" w:hAnsi="Gotham Book"/>
            <w:sz w:val="18"/>
            <w:szCs w:val="18"/>
          </w:rPr>
          <w:instrText xml:space="preserve"> PAGE   \* MERGEFORMAT </w:instrText>
        </w:r>
        <w:r w:rsidRPr="0093010C">
          <w:rPr>
            <w:rFonts w:ascii="Gotham Book" w:hAnsi="Gotham Book"/>
            <w:sz w:val="18"/>
            <w:szCs w:val="18"/>
          </w:rPr>
          <w:fldChar w:fldCharType="separate"/>
        </w:r>
        <w:r w:rsidR="007C303D">
          <w:rPr>
            <w:rFonts w:ascii="Gotham Book" w:hAnsi="Gotham Book"/>
            <w:noProof/>
            <w:sz w:val="18"/>
            <w:szCs w:val="18"/>
          </w:rPr>
          <w:t>3</w:t>
        </w:r>
        <w:r w:rsidRPr="0093010C">
          <w:rPr>
            <w:rFonts w:ascii="Gotham Book" w:hAnsi="Gotham Book"/>
            <w:noProof/>
            <w:sz w:val="18"/>
            <w:szCs w:val="18"/>
          </w:rPr>
          <w:fldChar w:fldCharType="end"/>
        </w:r>
        <w:r w:rsidRPr="0093010C">
          <w:rPr>
            <w:rFonts w:ascii="Gotham Book" w:hAnsi="Gotham Book"/>
            <w:noProof/>
            <w:sz w:val="18"/>
            <w:szCs w:val="18"/>
          </w:rPr>
          <w:t> -</w:t>
        </w:r>
      </w:p>
    </w:sdtContent>
  </w:sdt>
  <w:p w14:paraId="691DD359" w14:textId="77777777" w:rsidR="0093010C" w:rsidRDefault="009301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54963"/>
    <w:multiLevelType w:val="hybridMultilevel"/>
    <w:tmpl w:val="95EAD726"/>
    <w:lvl w:ilvl="0" w:tplc="AC6C38CE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92E025C"/>
    <w:multiLevelType w:val="hybridMultilevel"/>
    <w:tmpl w:val="B2248766"/>
    <w:lvl w:ilvl="0" w:tplc="C700CC4A">
      <w:numFmt w:val="bullet"/>
      <w:lvlText w:val=""/>
      <w:lvlJc w:val="left"/>
      <w:pPr>
        <w:ind w:left="7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2CBD0B9B"/>
    <w:multiLevelType w:val="hybridMultilevel"/>
    <w:tmpl w:val="D518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10A8F"/>
    <w:multiLevelType w:val="hybridMultilevel"/>
    <w:tmpl w:val="92400A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94135"/>
    <w:multiLevelType w:val="hybridMultilevel"/>
    <w:tmpl w:val="A0FEA2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CB180A"/>
    <w:multiLevelType w:val="hybridMultilevel"/>
    <w:tmpl w:val="CAD25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183EB3"/>
    <w:multiLevelType w:val="hybridMultilevel"/>
    <w:tmpl w:val="59BC0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DA472B"/>
    <w:multiLevelType w:val="multilevel"/>
    <w:tmpl w:val="FE883DAC"/>
    <w:lvl w:ilvl="0">
      <w:start w:val="1"/>
      <w:numFmt w:val="upperRoman"/>
      <w:lvlText w:val="%1."/>
      <w:lvlJc w:val="right"/>
      <w:pPr>
        <w:ind w:left="36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8" w15:restartNumberingAfterBreak="0">
    <w:nsid w:val="7F5C51C3"/>
    <w:multiLevelType w:val="hybridMultilevel"/>
    <w:tmpl w:val="7C0C5914"/>
    <w:lvl w:ilvl="0" w:tplc="E2FC7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1B"/>
    <w:rsid w:val="00001201"/>
    <w:rsid w:val="00001BCA"/>
    <w:rsid w:val="00002952"/>
    <w:rsid w:val="00003132"/>
    <w:rsid w:val="000038B8"/>
    <w:rsid w:val="0000392E"/>
    <w:rsid w:val="00003F14"/>
    <w:rsid w:val="00007198"/>
    <w:rsid w:val="000076D7"/>
    <w:rsid w:val="00010690"/>
    <w:rsid w:val="0001093F"/>
    <w:rsid w:val="000118B1"/>
    <w:rsid w:val="000121D3"/>
    <w:rsid w:val="00012CF0"/>
    <w:rsid w:val="00013AD7"/>
    <w:rsid w:val="000157BA"/>
    <w:rsid w:val="00016E88"/>
    <w:rsid w:val="00021C55"/>
    <w:rsid w:val="000234EB"/>
    <w:rsid w:val="0002388B"/>
    <w:rsid w:val="00023AD7"/>
    <w:rsid w:val="00023EA9"/>
    <w:rsid w:val="00024069"/>
    <w:rsid w:val="00025764"/>
    <w:rsid w:val="000269F9"/>
    <w:rsid w:val="000306CF"/>
    <w:rsid w:val="00030E08"/>
    <w:rsid w:val="00030ED6"/>
    <w:rsid w:val="00032239"/>
    <w:rsid w:val="00032271"/>
    <w:rsid w:val="00033206"/>
    <w:rsid w:val="00033BA4"/>
    <w:rsid w:val="00034819"/>
    <w:rsid w:val="00034C10"/>
    <w:rsid w:val="00035CE4"/>
    <w:rsid w:val="0004213B"/>
    <w:rsid w:val="00042919"/>
    <w:rsid w:val="000452CE"/>
    <w:rsid w:val="00046870"/>
    <w:rsid w:val="0005300D"/>
    <w:rsid w:val="0005327C"/>
    <w:rsid w:val="00053F24"/>
    <w:rsid w:val="00055822"/>
    <w:rsid w:val="00057668"/>
    <w:rsid w:val="000613A2"/>
    <w:rsid w:val="00061F11"/>
    <w:rsid w:val="00065786"/>
    <w:rsid w:val="000725A9"/>
    <w:rsid w:val="00072817"/>
    <w:rsid w:val="00073131"/>
    <w:rsid w:val="000743B2"/>
    <w:rsid w:val="00074704"/>
    <w:rsid w:val="00074B68"/>
    <w:rsid w:val="0007720B"/>
    <w:rsid w:val="000807C0"/>
    <w:rsid w:val="0008250F"/>
    <w:rsid w:val="00082E7F"/>
    <w:rsid w:val="00083321"/>
    <w:rsid w:val="00083B34"/>
    <w:rsid w:val="000850F0"/>
    <w:rsid w:val="000853B8"/>
    <w:rsid w:val="00086CFF"/>
    <w:rsid w:val="00086D40"/>
    <w:rsid w:val="00086DD5"/>
    <w:rsid w:val="000908AF"/>
    <w:rsid w:val="00092C9E"/>
    <w:rsid w:val="00093148"/>
    <w:rsid w:val="00093530"/>
    <w:rsid w:val="00095427"/>
    <w:rsid w:val="00095FB2"/>
    <w:rsid w:val="00096D88"/>
    <w:rsid w:val="0009716F"/>
    <w:rsid w:val="000A10A9"/>
    <w:rsid w:val="000A1129"/>
    <w:rsid w:val="000A1F5D"/>
    <w:rsid w:val="000A2244"/>
    <w:rsid w:val="000A2D8C"/>
    <w:rsid w:val="000A4D01"/>
    <w:rsid w:val="000B3735"/>
    <w:rsid w:val="000B3DBC"/>
    <w:rsid w:val="000B74CA"/>
    <w:rsid w:val="000C0609"/>
    <w:rsid w:val="000C2B19"/>
    <w:rsid w:val="000C5986"/>
    <w:rsid w:val="000C5F4D"/>
    <w:rsid w:val="000C663A"/>
    <w:rsid w:val="000C6731"/>
    <w:rsid w:val="000C7F26"/>
    <w:rsid w:val="000D0C7B"/>
    <w:rsid w:val="000D200C"/>
    <w:rsid w:val="000D27D0"/>
    <w:rsid w:val="000D51F3"/>
    <w:rsid w:val="000D554C"/>
    <w:rsid w:val="000D68C3"/>
    <w:rsid w:val="000E10D5"/>
    <w:rsid w:val="000E278B"/>
    <w:rsid w:val="000E2E3A"/>
    <w:rsid w:val="000E7414"/>
    <w:rsid w:val="000F1D54"/>
    <w:rsid w:val="000F39D2"/>
    <w:rsid w:val="000F4E2B"/>
    <w:rsid w:val="000F53B6"/>
    <w:rsid w:val="000F603F"/>
    <w:rsid w:val="000F7906"/>
    <w:rsid w:val="00100992"/>
    <w:rsid w:val="00101C80"/>
    <w:rsid w:val="00102DAE"/>
    <w:rsid w:val="001032EE"/>
    <w:rsid w:val="00103A83"/>
    <w:rsid w:val="00103F1E"/>
    <w:rsid w:val="00104E89"/>
    <w:rsid w:val="001077E0"/>
    <w:rsid w:val="0011025F"/>
    <w:rsid w:val="001142CB"/>
    <w:rsid w:val="00116198"/>
    <w:rsid w:val="00116699"/>
    <w:rsid w:val="00120825"/>
    <w:rsid w:val="00123E5D"/>
    <w:rsid w:val="00124040"/>
    <w:rsid w:val="00124759"/>
    <w:rsid w:val="001259B8"/>
    <w:rsid w:val="001260A0"/>
    <w:rsid w:val="001269FA"/>
    <w:rsid w:val="0013159F"/>
    <w:rsid w:val="001316E2"/>
    <w:rsid w:val="00134B7E"/>
    <w:rsid w:val="00137075"/>
    <w:rsid w:val="001371E0"/>
    <w:rsid w:val="00137827"/>
    <w:rsid w:val="00142D42"/>
    <w:rsid w:val="00143EE4"/>
    <w:rsid w:val="00147C11"/>
    <w:rsid w:val="00147E00"/>
    <w:rsid w:val="00150297"/>
    <w:rsid w:val="001508AA"/>
    <w:rsid w:val="00150EAB"/>
    <w:rsid w:val="001512FB"/>
    <w:rsid w:val="0015309F"/>
    <w:rsid w:val="00153C7E"/>
    <w:rsid w:val="001548B4"/>
    <w:rsid w:val="00155190"/>
    <w:rsid w:val="00155993"/>
    <w:rsid w:val="00155E91"/>
    <w:rsid w:val="00160C94"/>
    <w:rsid w:val="00162C20"/>
    <w:rsid w:val="00165098"/>
    <w:rsid w:val="0016606F"/>
    <w:rsid w:val="001660CA"/>
    <w:rsid w:val="00167747"/>
    <w:rsid w:val="00167859"/>
    <w:rsid w:val="001714FC"/>
    <w:rsid w:val="00171871"/>
    <w:rsid w:val="001718FC"/>
    <w:rsid w:val="0017216B"/>
    <w:rsid w:val="0017232A"/>
    <w:rsid w:val="00174149"/>
    <w:rsid w:val="00176A5F"/>
    <w:rsid w:val="001803C8"/>
    <w:rsid w:val="00186996"/>
    <w:rsid w:val="001955D9"/>
    <w:rsid w:val="001A0383"/>
    <w:rsid w:val="001A06B6"/>
    <w:rsid w:val="001A5613"/>
    <w:rsid w:val="001A5F78"/>
    <w:rsid w:val="001A7500"/>
    <w:rsid w:val="001B11F5"/>
    <w:rsid w:val="001B4469"/>
    <w:rsid w:val="001C16F2"/>
    <w:rsid w:val="001C18FD"/>
    <w:rsid w:val="001C22E7"/>
    <w:rsid w:val="001D5131"/>
    <w:rsid w:val="001D69F4"/>
    <w:rsid w:val="001D6A93"/>
    <w:rsid w:val="001D7B26"/>
    <w:rsid w:val="001E23D3"/>
    <w:rsid w:val="001E75BE"/>
    <w:rsid w:val="001F00A7"/>
    <w:rsid w:val="001F4DD2"/>
    <w:rsid w:val="001F7044"/>
    <w:rsid w:val="001F7559"/>
    <w:rsid w:val="001F7638"/>
    <w:rsid w:val="00200241"/>
    <w:rsid w:val="00200835"/>
    <w:rsid w:val="00203FBC"/>
    <w:rsid w:val="002062DB"/>
    <w:rsid w:val="0020709A"/>
    <w:rsid w:val="002100B2"/>
    <w:rsid w:val="00210317"/>
    <w:rsid w:val="002129EB"/>
    <w:rsid w:val="00213A1A"/>
    <w:rsid w:val="00215105"/>
    <w:rsid w:val="00215686"/>
    <w:rsid w:val="00216703"/>
    <w:rsid w:val="00217251"/>
    <w:rsid w:val="002207A2"/>
    <w:rsid w:val="00220CA6"/>
    <w:rsid w:val="0022175A"/>
    <w:rsid w:val="00225B5A"/>
    <w:rsid w:val="00226CE5"/>
    <w:rsid w:val="00226D43"/>
    <w:rsid w:val="00227846"/>
    <w:rsid w:val="00230F43"/>
    <w:rsid w:val="00230F9D"/>
    <w:rsid w:val="002312EA"/>
    <w:rsid w:val="0023310C"/>
    <w:rsid w:val="00233929"/>
    <w:rsid w:val="00234A72"/>
    <w:rsid w:val="00235A0F"/>
    <w:rsid w:val="00236249"/>
    <w:rsid w:val="00236444"/>
    <w:rsid w:val="002377D8"/>
    <w:rsid w:val="00243F7A"/>
    <w:rsid w:val="00244A9D"/>
    <w:rsid w:val="002471D8"/>
    <w:rsid w:val="002517A0"/>
    <w:rsid w:val="00252C89"/>
    <w:rsid w:val="002578D5"/>
    <w:rsid w:val="00261228"/>
    <w:rsid w:val="00261F63"/>
    <w:rsid w:val="00264019"/>
    <w:rsid w:val="00266F2E"/>
    <w:rsid w:val="002702BA"/>
    <w:rsid w:val="002742C0"/>
    <w:rsid w:val="00274A94"/>
    <w:rsid w:val="00276124"/>
    <w:rsid w:val="00276136"/>
    <w:rsid w:val="00277DC8"/>
    <w:rsid w:val="002811EA"/>
    <w:rsid w:val="0028127C"/>
    <w:rsid w:val="0028148D"/>
    <w:rsid w:val="002816DE"/>
    <w:rsid w:val="00286B10"/>
    <w:rsid w:val="00286BAA"/>
    <w:rsid w:val="002875EC"/>
    <w:rsid w:val="00287CEE"/>
    <w:rsid w:val="0029057C"/>
    <w:rsid w:val="002A2398"/>
    <w:rsid w:val="002A3926"/>
    <w:rsid w:val="002A3CE3"/>
    <w:rsid w:val="002A7042"/>
    <w:rsid w:val="002A7989"/>
    <w:rsid w:val="002B03D5"/>
    <w:rsid w:val="002B1D87"/>
    <w:rsid w:val="002B6287"/>
    <w:rsid w:val="002B7299"/>
    <w:rsid w:val="002C16B8"/>
    <w:rsid w:val="002C19A9"/>
    <w:rsid w:val="002C374E"/>
    <w:rsid w:val="002C4850"/>
    <w:rsid w:val="002C4B1C"/>
    <w:rsid w:val="002C4C2B"/>
    <w:rsid w:val="002C5092"/>
    <w:rsid w:val="002C5298"/>
    <w:rsid w:val="002D0E24"/>
    <w:rsid w:val="002D0E78"/>
    <w:rsid w:val="002D23F4"/>
    <w:rsid w:val="002D266C"/>
    <w:rsid w:val="002D307F"/>
    <w:rsid w:val="002D3B1C"/>
    <w:rsid w:val="002D53B7"/>
    <w:rsid w:val="002D5556"/>
    <w:rsid w:val="002D57A9"/>
    <w:rsid w:val="002D5D51"/>
    <w:rsid w:val="002E2220"/>
    <w:rsid w:val="002E2A92"/>
    <w:rsid w:val="002E6152"/>
    <w:rsid w:val="002F0859"/>
    <w:rsid w:val="002F1029"/>
    <w:rsid w:val="002F1746"/>
    <w:rsid w:val="002F3C50"/>
    <w:rsid w:val="002F4D8C"/>
    <w:rsid w:val="002F6C53"/>
    <w:rsid w:val="003028BD"/>
    <w:rsid w:val="00303392"/>
    <w:rsid w:val="00306722"/>
    <w:rsid w:val="003125E1"/>
    <w:rsid w:val="003145C0"/>
    <w:rsid w:val="00315107"/>
    <w:rsid w:val="00315516"/>
    <w:rsid w:val="003157F0"/>
    <w:rsid w:val="003161CB"/>
    <w:rsid w:val="00316351"/>
    <w:rsid w:val="00317117"/>
    <w:rsid w:val="00317306"/>
    <w:rsid w:val="00317FBE"/>
    <w:rsid w:val="003207A5"/>
    <w:rsid w:val="003249CF"/>
    <w:rsid w:val="00324C67"/>
    <w:rsid w:val="0032556A"/>
    <w:rsid w:val="003258FD"/>
    <w:rsid w:val="00330893"/>
    <w:rsid w:val="00331771"/>
    <w:rsid w:val="003348F5"/>
    <w:rsid w:val="00335B4C"/>
    <w:rsid w:val="00335D55"/>
    <w:rsid w:val="00335E98"/>
    <w:rsid w:val="00337537"/>
    <w:rsid w:val="00340ADB"/>
    <w:rsid w:val="00340BC1"/>
    <w:rsid w:val="00343005"/>
    <w:rsid w:val="0034372C"/>
    <w:rsid w:val="00343AA3"/>
    <w:rsid w:val="003444F1"/>
    <w:rsid w:val="0034520F"/>
    <w:rsid w:val="00346E79"/>
    <w:rsid w:val="0034765F"/>
    <w:rsid w:val="00350272"/>
    <w:rsid w:val="00350875"/>
    <w:rsid w:val="00351671"/>
    <w:rsid w:val="0035283E"/>
    <w:rsid w:val="00352C19"/>
    <w:rsid w:val="003576D1"/>
    <w:rsid w:val="00361119"/>
    <w:rsid w:val="003622D9"/>
    <w:rsid w:val="00362307"/>
    <w:rsid w:val="00362B71"/>
    <w:rsid w:val="0036444C"/>
    <w:rsid w:val="00364D5E"/>
    <w:rsid w:val="003660DC"/>
    <w:rsid w:val="00366FD4"/>
    <w:rsid w:val="0037186A"/>
    <w:rsid w:val="00371911"/>
    <w:rsid w:val="00371E32"/>
    <w:rsid w:val="0037372D"/>
    <w:rsid w:val="00374592"/>
    <w:rsid w:val="00374E84"/>
    <w:rsid w:val="0038076C"/>
    <w:rsid w:val="00381474"/>
    <w:rsid w:val="00381A24"/>
    <w:rsid w:val="003842E8"/>
    <w:rsid w:val="003852AA"/>
    <w:rsid w:val="0038667A"/>
    <w:rsid w:val="003870E8"/>
    <w:rsid w:val="00387A8F"/>
    <w:rsid w:val="00387FF9"/>
    <w:rsid w:val="00392041"/>
    <w:rsid w:val="003948C6"/>
    <w:rsid w:val="00394BBB"/>
    <w:rsid w:val="003966B1"/>
    <w:rsid w:val="00396C7E"/>
    <w:rsid w:val="003A03C2"/>
    <w:rsid w:val="003A4706"/>
    <w:rsid w:val="003A645F"/>
    <w:rsid w:val="003A73A8"/>
    <w:rsid w:val="003A7482"/>
    <w:rsid w:val="003B00CA"/>
    <w:rsid w:val="003B367D"/>
    <w:rsid w:val="003B6D21"/>
    <w:rsid w:val="003C06F0"/>
    <w:rsid w:val="003C0FF0"/>
    <w:rsid w:val="003C1C03"/>
    <w:rsid w:val="003C4F14"/>
    <w:rsid w:val="003D17FD"/>
    <w:rsid w:val="003D2892"/>
    <w:rsid w:val="003D2A5E"/>
    <w:rsid w:val="003D3110"/>
    <w:rsid w:val="003D3ACD"/>
    <w:rsid w:val="003D59AE"/>
    <w:rsid w:val="003D609D"/>
    <w:rsid w:val="003D7836"/>
    <w:rsid w:val="003E16D3"/>
    <w:rsid w:val="003E1A99"/>
    <w:rsid w:val="003E42DF"/>
    <w:rsid w:val="003E49F6"/>
    <w:rsid w:val="003E4D16"/>
    <w:rsid w:val="003E62BC"/>
    <w:rsid w:val="003F1045"/>
    <w:rsid w:val="003F1BE9"/>
    <w:rsid w:val="003F3008"/>
    <w:rsid w:val="003F42CB"/>
    <w:rsid w:val="003F6B47"/>
    <w:rsid w:val="004002C0"/>
    <w:rsid w:val="004008B2"/>
    <w:rsid w:val="0040129E"/>
    <w:rsid w:val="00401B43"/>
    <w:rsid w:val="0040279F"/>
    <w:rsid w:val="004062D6"/>
    <w:rsid w:val="004079AF"/>
    <w:rsid w:val="00410194"/>
    <w:rsid w:val="004118FB"/>
    <w:rsid w:val="00412116"/>
    <w:rsid w:val="004130F2"/>
    <w:rsid w:val="004136D7"/>
    <w:rsid w:val="00413B3C"/>
    <w:rsid w:val="00416432"/>
    <w:rsid w:val="004220C2"/>
    <w:rsid w:val="00422A70"/>
    <w:rsid w:val="004234CD"/>
    <w:rsid w:val="004304F2"/>
    <w:rsid w:val="0043085E"/>
    <w:rsid w:val="004311D4"/>
    <w:rsid w:val="00432094"/>
    <w:rsid w:val="00432F29"/>
    <w:rsid w:val="00433A55"/>
    <w:rsid w:val="0043565C"/>
    <w:rsid w:val="0044040B"/>
    <w:rsid w:val="004422B1"/>
    <w:rsid w:val="00444356"/>
    <w:rsid w:val="00444412"/>
    <w:rsid w:val="00445070"/>
    <w:rsid w:val="00446924"/>
    <w:rsid w:val="00446FCF"/>
    <w:rsid w:val="004523DB"/>
    <w:rsid w:val="00452EE7"/>
    <w:rsid w:val="00454A4C"/>
    <w:rsid w:val="00456048"/>
    <w:rsid w:val="00462122"/>
    <w:rsid w:val="00462989"/>
    <w:rsid w:val="00462C7B"/>
    <w:rsid w:val="00466B24"/>
    <w:rsid w:val="004676B4"/>
    <w:rsid w:val="00467A39"/>
    <w:rsid w:val="00471749"/>
    <w:rsid w:val="00476DC9"/>
    <w:rsid w:val="00481724"/>
    <w:rsid w:val="00482240"/>
    <w:rsid w:val="00485A30"/>
    <w:rsid w:val="00486827"/>
    <w:rsid w:val="00490288"/>
    <w:rsid w:val="0049133D"/>
    <w:rsid w:val="00491D33"/>
    <w:rsid w:val="00492646"/>
    <w:rsid w:val="0049314F"/>
    <w:rsid w:val="00495936"/>
    <w:rsid w:val="00496B38"/>
    <w:rsid w:val="004A3050"/>
    <w:rsid w:val="004A7DF3"/>
    <w:rsid w:val="004B03F8"/>
    <w:rsid w:val="004B1316"/>
    <w:rsid w:val="004B3AB5"/>
    <w:rsid w:val="004B47E6"/>
    <w:rsid w:val="004B7406"/>
    <w:rsid w:val="004B7E64"/>
    <w:rsid w:val="004C18EB"/>
    <w:rsid w:val="004C3E40"/>
    <w:rsid w:val="004C5C01"/>
    <w:rsid w:val="004C5E2B"/>
    <w:rsid w:val="004D1B69"/>
    <w:rsid w:val="004D2617"/>
    <w:rsid w:val="004D2CCA"/>
    <w:rsid w:val="004D3D46"/>
    <w:rsid w:val="004E0D44"/>
    <w:rsid w:val="004E38DF"/>
    <w:rsid w:val="004E451E"/>
    <w:rsid w:val="004E6151"/>
    <w:rsid w:val="004F2ABF"/>
    <w:rsid w:val="004F386F"/>
    <w:rsid w:val="004F5004"/>
    <w:rsid w:val="004F526A"/>
    <w:rsid w:val="004F5E73"/>
    <w:rsid w:val="0050104A"/>
    <w:rsid w:val="00506AF0"/>
    <w:rsid w:val="00510543"/>
    <w:rsid w:val="00511271"/>
    <w:rsid w:val="00513B95"/>
    <w:rsid w:val="00515EA7"/>
    <w:rsid w:val="005177BE"/>
    <w:rsid w:val="00520F58"/>
    <w:rsid w:val="00523414"/>
    <w:rsid w:val="00526F0E"/>
    <w:rsid w:val="00527688"/>
    <w:rsid w:val="00530583"/>
    <w:rsid w:val="00531D9B"/>
    <w:rsid w:val="00531E51"/>
    <w:rsid w:val="00531F4E"/>
    <w:rsid w:val="00532F4C"/>
    <w:rsid w:val="00533B69"/>
    <w:rsid w:val="00534037"/>
    <w:rsid w:val="005359C5"/>
    <w:rsid w:val="005364CE"/>
    <w:rsid w:val="00540F59"/>
    <w:rsid w:val="00545576"/>
    <w:rsid w:val="005513A1"/>
    <w:rsid w:val="005537F1"/>
    <w:rsid w:val="00553A92"/>
    <w:rsid w:val="00555250"/>
    <w:rsid w:val="00555307"/>
    <w:rsid w:val="00555C03"/>
    <w:rsid w:val="00555C97"/>
    <w:rsid w:val="00560306"/>
    <w:rsid w:val="0056262E"/>
    <w:rsid w:val="005639EC"/>
    <w:rsid w:val="00565355"/>
    <w:rsid w:val="0056643D"/>
    <w:rsid w:val="00571686"/>
    <w:rsid w:val="005721E0"/>
    <w:rsid w:val="00572216"/>
    <w:rsid w:val="005727B8"/>
    <w:rsid w:val="00572A37"/>
    <w:rsid w:val="005743CB"/>
    <w:rsid w:val="00576053"/>
    <w:rsid w:val="00576A99"/>
    <w:rsid w:val="005810D5"/>
    <w:rsid w:val="0058137A"/>
    <w:rsid w:val="005826B9"/>
    <w:rsid w:val="00584891"/>
    <w:rsid w:val="00585580"/>
    <w:rsid w:val="005857FB"/>
    <w:rsid w:val="00586078"/>
    <w:rsid w:val="0059365F"/>
    <w:rsid w:val="00593A46"/>
    <w:rsid w:val="00593D38"/>
    <w:rsid w:val="00597894"/>
    <w:rsid w:val="005A0E4B"/>
    <w:rsid w:val="005A1056"/>
    <w:rsid w:val="005A265C"/>
    <w:rsid w:val="005A3746"/>
    <w:rsid w:val="005A3A6C"/>
    <w:rsid w:val="005A5B2B"/>
    <w:rsid w:val="005A779F"/>
    <w:rsid w:val="005B55CF"/>
    <w:rsid w:val="005B7BA4"/>
    <w:rsid w:val="005C1141"/>
    <w:rsid w:val="005C27DE"/>
    <w:rsid w:val="005C36AD"/>
    <w:rsid w:val="005C38F3"/>
    <w:rsid w:val="005C7532"/>
    <w:rsid w:val="005C79DD"/>
    <w:rsid w:val="005C7E5C"/>
    <w:rsid w:val="005D2371"/>
    <w:rsid w:val="005D5D18"/>
    <w:rsid w:val="005E1FB7"/>
    <w:rsid w:val="005E45B8"/>
    <w:rsid w:val="005E646E"/>
    <w:rsid w:val="005E70E7"/>
    <w:rsid w:val="005F0B55"/>
    <w:rsid w:val="005F5993"/>
    <w:rsid w:val="005F6A48"/>
    <w:rsid w:val="005F7937"/>
    <w:rsid w:val="005F7A67"/>
    <w:rsid w:val="005F7C52"/>
    <w:rsid w:val="006037F6"/>
    <w:rsid w:val="00603C0C"/>
    <w:rsid w:val="00603FF1"/>
    <w:rsid w:val="006055D6"/>
    <w:rsid w:val="006074C0"/>
    <w:rsid w:val="0060759C"/>
    <w:rsid w:val="0061098A"/>
    <w:rsid w:val="006112CE"/>
    <w:rsid w:val="00612B51"/>
    <w:rsid w:val="00612BDF"/>
    <w:rsid w:val="00613221"/>
    <w:rsid w:val="00613EF2"/>
    <w:rsid w:val="00614537"/>
    <w:rsid w:val="00614B6A"/>
    <w:rsid w:val="00614C14"/>
    <w:rsid w:val="006161B1"/>
    <w:rsid w:val="006211E6"/>
    <w:rsid w:val="006212D1"/>
    <w:rsid w:val="0062144E"/>
    <w:rsid w:val="00621F12"/>
    <w:rsid w:val="00622753"/>
    <w:rsid w:val="00624ABD"/>
    <w:rsid w:val="006278E2"/>
    <w:rsid w:val="006316AE"/>
    <w:rsid w:val="00633DA9"/>
    <w:rsid w:val="00636593"/>
    <w:rsid w:val="00636E4B"/>
    <w:rsid w:val="00641D4F"/>
    <w:rsid w:val="00641ED4"/>
    <w:rsid w:val="00642A4A"/>
    <w:rsid w:val="00642C50"/>
    <w:rsid w:val="00642C5E"/>
    <w:rsid w:val="00643450"/>
    <w:rsid w:val="00643DA0"/>
    <w:rsid w:val="00644820"/>
    <w:rsid w:val="00645029"/>
    <w:rsid w:val="00645979"/>
    <w:rsid w:val="00647156"/>
    <w:rsid w:val="00650F99"/>
    <w:rsid w:val="006534B1"/>
    <w:rsid w:val="00656BE9"/>
    <w:rsid w:val="00660236"/>
    <w:rsid w:val="0066031B"/>
    <w:rsid w:val="006620E0"/>
    <w:rsid w:val="0066230D"/>
    <w:rsid w:val="006643BA"/>
    <w:rsid w:val="00665237"/>
    <w:rsid w:val="00665A04"/>
    <w:rsid w:val="0067240B"/>
    <w:rsid w:val="006738A0"/>
    <w:rsid w:val="00674E08"/>
    <w:rsid w:val="00675E7A"/>
    <w:rsid w:val="00676026"/>
    <w:rsid w:val="00681C9B"/>
    <w:rsid w:val="00682716"/>
    <w:rsid w:val="00683E39"/>
    <w:rsid w:val="0068525B"/>
    <w:rsid w:val="006870EB"/>
    <w:rsid w:val="006903E4"/>
    <w:rsid w:val="00690DEF"/>
    <w:rsid w:val="00692747"/>
    <w:rsid w:val="00692CE8"/>
    <w:rsid w:val="00692D0C"/>
    <w:rsid w:val="006950F7"/>
    <w:rsid w:val="0069576A"/>
    <w:rsid w:val="006964B3"/>
    <w:rsid w:val="006965B8"/>
    <w:rsid w:val="006A1553"/>
    <w:rsid w:val="006A3E98"/>
    <w:rsid w:val="006B0E15"/>
    <w:rsid w:val="006B190F"/>
    <w:rsid w:val="006B701D"/>
    <w:rsid w:val="006B7088"/>
    <w:rsid w:val="006C0456"/>
    <w:rsid w:val="006C35D8"/>
    <w:rsid w:val="006C49FD"/>
    <w:rsid w:val="006C55AF"/>
    <w:rsid w:val="006C55B2"/>
    <w:rsid w:val="006D0345"/>
    <w:rsid w:val="006D173E"/>
    <w:rsid w:val="006D23E0"/>
    <w:rsid w:val="006D2628"/>
    <w:rsid w:val="006D338A"/>
    <w:rsid w:val="006D5673"/>
    <w:rsid w:val="006D5D90"/>
    <w:rsid w:val="006E2832"/>
    <w:rsid w:val="006E488A"/>
    <w:rsid w:val="006E4E9C"/>
    <w:rsid w:val="006E50C8"/>
    <w:rsid w:val="006E5365"/>
    <w:rsid w:val="006E5750"/>
    <w:rsid w:val="006E59AC"/>
    <w:rsid w:val="006E7D7D"/>
    <w:rsid w:val="006F0478"/>
    <w:rsid w:val="006F1F3F"/>
    <w:rsid w:val="006F4B78"/>
    <w:rsid w:val="006F50C2"/>
    <w:rsid w:val="006F6989"/>
    <w:rsid w:val="006F7824"/>
    <w:rsid w:val="007006E9"/>
    <w:rsid w:val="00701613"/>
    <w:rsid w:val="00701DB9"/>
    <w:rsid w:val="00702A56"/>
    <w:rsid w:val="007030EE"/>
    <w:rsid w:val="0070325B"/>
    <w:rsid w:val="00703950"/>
    <w:rsid w:val="00704168"/>
    <w:rsid w:val="0070675F"/>
    <w:rsid w:val="00711282"/>
    <w:rsid w:val="00711B63"/>
    <w:rsid w:val="00711DE5"/>
    <w:rsid w:val="00715EF0"/>
    <w:rsid w:val="007200B6"/>
    <w:rsid w:val="00720900"/>
    <w:rsid w:val="00721A4B"/>
    <w:rsid w:val="00721B61"/>
    <w:rsid w:val="00725FC2"/>
    <w:rsid w:val="00727835"/>
    <w:rsid w:val="0073042E"/>
    <w:rsid w:val="0073044B"/>
    <w:rsid w:val="007317F1"/>
    <w:rsid w:val="00731812"/>
    <w:rsid w:val="007334C8"/>
    <w:rsid w:val="00735644"/>
    <w:rsid w:val="00740DE0"/>
    <w:rsid w:val="00743474"/>
    <w:rsid w:val="00745CAF"/>
    <w:rsid w:val="00746260"/>
    <w:rsid w:val="00746544"/>
    <w:rsid w:val="0075021E"/>
    <w:rsid w:val="007519A5"/>
    <w:rsid w:val="00753E63"/>
    <w:rsid w:val="00755FD1"/>
    <w:rsid w:val="00756749"/>
    <w:rsid w:val="0076003B"/>
    <w:rsid w:val="00762FB1"/>
    <w:rsid w:val="00763EB3"/>
    <w:rsid w:val="00764691"/>
    <w:rsid w:val="00764CB0"/>
    <w:rsid w:val="007673D5"/>
    <w:rsid w:val="00767709"/>
    <w:rsid w:val="00771205"/>
    <w:rsid w:val="007714DD"/>
    <w:rsid w:val="00771781"/>
    <w:rsid w:val="00774A85"/>
    <w:rsid w:val="00774BBC"/>
    <w:rsid w:val="00776CDB"/>
    <w:rsid w:val="0078002B"/>
    <w:rsid w:val="007811DB"/>
    <w:rsid w:val="00781FFA"/>
    <w:rsid w:val="0078231D"/>
    <w:rsid w:val="00782D6B"/>
    <w:rsid w:val="00785621"/>
    <w:rsid w:val="00785DED"/>
    <w:rsid w:val="00787ED2"/>
    <w:rsid w:val="00795C05"/>
    <w:rsid w:val="007A146A"/>
    <w:rsid w:val="007A1629"/>
    <w:rsid w:val="007A7233"/>
    <w:rsid w:val="007A7772"/>
    <w:rsid w:val="007B13CA"/>
    <w:rsid w:val="007B1E5A"/>
    <w:rsid w:val="007B39EE"/>
    <w:rsid w:val="007B5001"/>
    <w:rsid w:val="007B6B61"/>
    <w:rsid w:val="007C303D"/>
    <w:rsid w:val="007C33C6"/>
    <w:rsid w:val="007C3F52"/>
    <w:rsid w:val="007D18D7"/>
    <w:rsid w:val="007D25CD"/>
    <w:rsid w:val="007D3E0F"/>
    <w:rsid w:val="007D6047"/>
    <w:rsid w:val="007E0138"/>
    <w:rsid w:val="007E194D"/>
    <w:rsid w:val="007E2133"/>
    <w:rsid w:val="007E2525"/>
    <w:rsid w:val="007E35E6"/>
    <w:rsid w:val="007E3DD4"/>
    <w:rsid w:val="007E4189"/>
    <w:rsid w:val="007E75D5"/>
    <w:rsid w:val="007F3F67"/>
    <w:rsid w:val="007F46B9"/>
    <w:rsid w:val="007F688C"/>
    <w:rsid w:val="007F742E"/>
    <w:rsid w:val="007F7E88"/>
    <w:rsid w:val="008013F1"/>
    <w:rsid w:val="00801D9C"/>
    <w:rsid w:val="00804D2B"/>
    <w:rsid w:val="008052A0"/>
    <w:rsid w:val="00806AC0"/>
    <w:rsid w:val="0080720B"/>
    <w:rsid w:val="00807C07"/>
    <w:rsid w:val="00811319"/>
    <w:rsid w:val="00811692"/>
    <w:rsid w:val="00813A16"/>
    <w:rsid w:val="00815A8F"/>
    <w:rsid w:val="00816685"/>
    <w:rsid w:val="0081754B"/>
    <w:rsid w:val="00822F32"/>
    <w:rsid w:val="00824848"/>
    <w:rsid w:val="0082634F"/>
    <w:rsid w:val="00826D55"/>
    <w:rsid w:val="00827886"/>
    <w:rsid w:val="00830B25"/>
    <w:rsid w:val="00831E4D"/>
    <w:rsid w:val="00831F9A"/>
    <w:rsid w:val="0083288B"/>
    <w:rsid w:val="00833B43"/>
    <w:rsid w:val="0083508C"/>
    <w:rsid w:val="00835477"/>
    <w:rsid w:val="00840174"/>
    <w:rsid w:val="00841977"/>
    <w:rsid w:val="008455D5"/>
    <w:rsid w:val="00847209"/>
    <w:rsid w:val="00852360"/>
    <w:rsid w:val="0085241A"/>
    <w:rsid w:val="00852F47"/>
    <w:rsid w:val="0085564C"/>
    <w:rsid w:val="008605AC"/>
    <w:rsid w:val="008607C0"/>
    <w:rsid w:val="008638C1"/>
    <w:rsid w:val="00864057"/>
    <w:rsid w:val="00865A6F"/>
    <w:rsid w:val="008660A8"/>
    <w:rsid w:val="0086768B"/>
    <w:rsid w:val="008722AB"/>
    <w:rsid w:val="00873CDC"/>
    <w:rsid w:val="00875BC8"/>
    <w:rsid w:val="00876FF5"/>
    <w:rsid w:val="008813B9"/>
    <w:rsid w:val="0088205C"/>
    <w:rsid w:val="008840CA"/>
    <w:rsid w:val="008844BD"/>
    <w:rsid w:val="008868CD"/>
    <w:rsid w:val="008902BA"/>
    <w:rsid w:val="008923C5"/>
    <w:rsid w:val="008932BE"/>
    <w:rsid w:val="008933BA"/>
    <w:rsid w:val="00893C13"/>
    <w:rsid w:val="00894673"/>
    <w:rsid w:val="00896777"/>
    <w:rsid w:val="008968AE"/>
    <w:rsid w:val="00896FD0"/>
    <w:rsid w:val="008A0707"/>
    <w:rsid w:val="008A1364"/>
    <w:rsid w:val="008A2C6F"/>
    <w:rsid w:val="008A2FC5"/>
    <w:rsid w:val="008A34B6"/>
    <w:rsid w:val="008A3F7A"/>
    <w:rsid w:val="008A51A6"/>
    <w:rsid w:val="008A5A7C"/>
    <w:rsid w:val="008A5FCF"/>
    <w:rsid w:val="008A605D"/>
    <w:rsid w:val="008C00CB"/>
    <w:rsid w:val="008C064F"/>
    <w:rsid w:val="008C189B"/>
    <w:rsid w:val="008C2A3A"/>
    <w:rsid w:val="008C44BC"/>
    <w:rsid w:val="008C5066"/>
    <w:rsid w:val="008C50D1"/>
    <w:rsid w:val="008C5841"/>
    <w:rsid w:val="008C7628"/>
    <w:rsid w:val="008D199E"/>
    <w:rsid w:val="008D2588"/>
    <w:rsid w:val="008D7677"/>
    <w:rsid w:val="008D7778"/>
    <w:rsid w:val="008E0DC6"/>
    <w:rsid w:val="008E2137"/>
    <w:rsid w:val="008E2511"/>
    <w:rsid w:val="008E2C83"/>
    <w:rsid w:val="008E3CAE"/>
    <w:rsid w:val="008E56A6"/>
    <w:rsid w:val="008E7734"/>
    <w:rsid w:val="008F0880"/>
    <w:rsid w:val="008F5F37"/>
    <w:rsid w:val="008F65DF"/>
    <w:rsid w:val="008F72C5"/>
    <w:rsid w:val="009016A8"/>
    <w:rsid w:val="009020D3"/>
    <w:rsid w:val="00903BAC"/>
    <w:rsid w:val="009043F4"/>
    <w:rsid w:val="00907B1C"/>
    <w:rsid w:val="00910034"/>
    <w:rsid w:val="00910E27"/>
    <w:rsid w:val="00911748"/>
    <w:rsid w:val="009179D8"/>
    <w:rsid w:val="00923C9A"/>
    <w:rsid w:val="009250BF"/>
    <w:rsid w:val="0093010C"/>
    <w:rsid w:val="0093029F"/>
    <w:rsid w:val="00931354"/>
    <w:rsid w:val="00933A84"/>
    <w:rsid w:val="00933D7A"/>
    <w:rsid w:val="00935F7B"/>
    <w:rsid w:val="009433B4"/>
    <w:rsid w:val="009439D2"/>
    <w:rsid w:val="0094408D"/>
    <w:rsid w:val="00945DEE"/>
    <w:rsid w:val="0095122E"/>
    <w:rsid w:val="00956272"/>
    <w:rsid w:val="00956728"/>
    <w:rsid w:val="0095711B"/>
    <w:rsid w:val="00957647"/>
    <w:rsid w:val="00957901"/>
    <w:rsid w:val="0096032A"/>
    <w:rsid w:val="00962776"/>
    <w:rsid w:val="00962F8B"/>
    <w:rsid w:val="00964752"/>
    <w:rsid w:val="00967F24"/>
    <w:rsid w:val="009704A7"/>
    <w:rsid w:val="00970645"/>
    <w:rsid w:val="00970CF0"/>
    <w:rsid w:val="009730E7"/>
    <w:rsid w:val="00973791"/>
    <w:rsid w:val="00975550"/>
    <w:rsid w:val="0098079E"/>
    <w:rsid w:val="00982EBB"/>
    <w:rsid w:val="009856B4"/>
    <w:rsid w:val="0099083E"/>
    <w:rsid w:val="00995815"/>
    <w:rsid w:val="009A61A1"/>
    <w:rsid w:val="009A73C1"/>
    <w:rsid w:val="009B0A4F"/>
    <w:rsid w:val="009B3344"/>
    <w:rsid w:val="009B37EB"/>
    <w:rsid w:val="009B6726"/>
    <w:rsid w:val="009B77F3"/>
    <w:rsid w:val="009B7AAE"/>
    <w:rsid w:val="009C02C5"/>
    <w:rsid w:val="009C2E23"/>
    <w:rsid w:val="009C71C8"/>
    <w:rsid w:val="009D0014"/>
    <w:rsid w:val="009D07DE"/>
    <w:rsid w:val="009D0DC2"/>
    <w:rsid w:val="009D1BB3"/>
    <w:rsid w:val="009D2B4E"/>
    <w:rsid w:val="009D36EB"/>
    <w:rsid w:val="009D47D8"/>
    <w:rsid w:val="009E0962"/>
    <w:rsid w:val="009E30BA"/>
    <w:rsid w:val="009E44DC"/>
    <w:rsid w:val="009E5BAD"/>
    <w:rsid w:val="009E6375"/>
    <w:rsid w:val="009E646C"/>
    <w:rsid w:val="009E7729"/>
    <w:rsid w:val="009E7911"/>
    <w:rsid w:val="009F010B"/>
    <w:rsid w:val="009F07EB"/>
    <w:rsid w:val="009F14D5"/>
    <w:rsid w:val="009F20EC"/>
    <w:rsid w:val="009F2ABD"/>
    <w:rsid w:val="009F2C88"/>
    <w:rsid w:val="009F2EB9"/>
    <w:rsid w:val="009F3492"/>
    <w:rsid w:val="009F36C5"/>
    <w:rsid w:val="009F4486"/>
    <w:rsid w:val="009F5522"/>
    <w:rsid w:val="009F725E"/>
    <w:rsid w:val="009F73C8"/>
    <w:rsid w:val="009F7DFA"/>
    <w:rsid w:val="00A03517"/>
    <w:rsid w:val="00A05ED8"/>
    <w:rsid w:val="00A10CD5"/>
    <w:rsid w:val="00A12C27"/>
    <w:rsid w:val="00A137F6"/>
    <w:rsid w:val="00A13EE1"/>
    <w:rsid w:val="00A13F17"/>
    <w:rsid w:val="00A1429A"/>
    <w:rsid w:val="00A14792"/>
    <w:rsid w:val="00A14CE5"/>
    <w:rsid w:val="00A1567A"/>
    <w:rsid w:val="00A20379"/>
    <w:rsid w:val="00A21433"/>
    <w:rsid w:val="00A2474F"/>
    <w:rsid w:val="00A24918"/>
    <w:rsid w:val="00A2621E"/>
    <w:rsid w:val="00A275B9"/>
    <w:rsid w:val="00A31E19"/>
    <w:rsid w:val="00A33078"/>
    <w:rsid w:val="00A3463F"/>
    <w:rsid w:val="00A34A5D"/>
    <w:rsid w:val="00A36647"/>
    <w:rsid w:val="00A368DF"/>
    <w:rsid w:val="00A37C9C"/>
    <w:rsid w:val="00A41F8D"/>
    <w:rsid w:val="00A428B7"/>
    <w:rsid w:val="00A42C05"/>
    <w:rsid w:val="00A43084"/>
    <w:rsid w:val="00A435B1"/>
    <w:rsid w:val="00A454FF"/>
    <w:rsid w:val="00A459E6"/>
    <w:rsid w:val="00A503B6"/>
    <w:rsid w:val="00A50C46"/>
    <w:rsid w:val="00A50D44"/>
    <w:rsid w:val="00A50F90"/>
    <w:rsid w:val="00A52F5E"/>
    <w:rsid w:val="00A53E14"/>
    <w:rsid w:val="00A560F1"/>
    <w:rsid w:val="00A57185"/>
    <w:rsid w:val="00A615B4"/>
    <w:rsid w:val="00A63C5B"/>
    <w:rsid w:val="00A71BDC"/>
    <w:rsid w:val="00A72FAB"/>
    <w:rsid w:val="00A741A0"/>
    <w:rsid w:val="00A74B4C"/>
    <w:rsid w:val="00A751B7"/>
    <w:rsid w:val="00A8037F"/>
    <w:rsid w:val="00A843AB"/>
    <w:rsid w:val="00A86BF8"/>
    <w:rsid w:val="00A876E7"/>
    <w:rsid w:val="00A8775C"/>
    <w:rsid w:val="00A92F90"/>
    <w:rsid w:val="00A93FFA"/>
    <w:rsid w:val="00A95AE1"/>
    <w:rsid w:val="00A96BA4"/>
    <w:rsid w:val="00A970B8"/>
    <w:rsid w:val="00A97CFF"/>
    <w:rsid w:val="00AA108B"/>
    <w:rsid w:val="00AA4ADC"/>
    <w:rsid w:val="00AA53AC"/>
    <w:rsid w:val="00AB0B4F"/>
    <w:rsid w:val="00AB1A2D"/>
    <w:rsid w:val="00AB3A30"/>
    <w:rsid w:val="00AB441B"/>
    <w:rsid w:val="00AB65B6"/>
    <w:rsid w:val="00AB6612"/>
    <w:rsid w:val="00AB7996"/>
    <w:rsid w:val="00AC0E63"/>
    <w:rsid w:val="00AC165E"/>
    <w:rsid w:val="00AC2E2D"/>
    <w:rsid w:val="00AC3686"/>
    <w:rsid w:val="00AC4395"/>
    <w:rsid w:val="00AD005C"/>
    <w:rsid w:val="00AD20C7"/>
    <w:rsid w:val="00AD3653"/>
    <w:rsid w:val="00AD3720"/>
    <w:rsid w:val="00AD48CE"/>
    <w:rsid w:val="00AD7889"/>
    <w:rsid w:val="00AE0A36"/>
    <w:rsid w:val="00AE1108"/>
    <w:rsid w:val="00AE117B"/>
    <w:rsid w:val="00AE1953"/>
    <w:rsid w:val="00AE5993"/>
    <w:rsid w:val="00AE5A98"/>
    <w:rsid w:val="00AE6F48"/>
    <w:rsid w:val="00AE7761"/>
    <w:rsid w:val="00AE7B59"/>
    <w:rsid w:val="00AF06E1"/>
    <w:rsid w:val="00AF1449"/>
    <w:rsid w:val="00AF1693"/>
    <w:rsid w:val="00AF2498"/>
    <w:rsid w:val="00AF25E7"/>
    <w:rsid w:val="00AF2F55"/>
    <w:rsid w:val="00AF43E6"/>
    <w:rsid w:val="00AF4AE7"/>
    <w:rsid w:val="00AF61BA"/>
    <w:rsid w:val="00B0040B"/>
    <w:rsid w:val="00B020ED"/>
    <w:rsid w:val="00B0310C"/>
    <w:rsid w:val="00B04AFA"/>
    <w:rsid w:val="00B07604"/>
    <w:rsid w:val="00B113D0"/>
    <w:rsid w:val="00B1185C"/>
    <w:rsid w:val="00B13125"/>
    <w:rsid w:val="00B13BFF"/>
    <w:rsid w:val="00B13FF4"/>
    <w:rsid w:val="00B17EDE"/>
    <w:rsid w:val="00B21C13"/>
    <w:rsid w:val="00B27387"/>
    <w:rsid w:val="00B307EC"/>
    <w:rsid w:val="00B310D1"/>
    <w:rsid w:val="00B32BDE"/>
    <w:rsid w:val="00B32FF2"/>
    <w:rsid w:val="00B347ED"/>
    <w:rsid w:val="00B3685D"/>
    <w:rsid w:val="00B36990"/>
    <w:rsid w:val="00B36E3E"/>
    <w:rsid w:val="00B36EF2"/>
    <w:rsid w:val="00B370C7"/>
    <w:rsid w:val="00B4430F"/>
    <w:rsid w:val="00B457B1"/>
    <w:rsid w:val="00B4595E"/>
    <w:rsid w:val="00B46274"/>
    <w:rsid w:val="00B47A81"/>
    <w:rsid w:val="00B50447"/>
    <w:rsid w:val="00B50616"/>
    <w:rsid w:val="00B50DC7"/>
    <w:rsid w:val="00B51509"/>
    <w:rsid w:val="00B55DE6"/>
    <w:rsid w:val="00B55FBE"/>
    <w:rsid w:val="00B566D2"/>
    <w:rsid w:val="00B56DE6"/>
    <w:rsid w:val="00B57E7E"/>
    <w:rsid w:val="00B60070"/>
    <w:rsid w:val="00B60937"/>
    <w:rsid w:val="00B61D01"/>
    <w:rsid w:val="00B63D03"/>
    <w:rsid w:val="00B64823"/>
    <w:rsid w:val="00B660A9"/>
    <w:rsid w:val="00B66AF4"/>
    <w:rsid w:val="00B70BF5"/>
    <w:rsid w:val="00B70CFD"/>
    <w:rsid w:val="00B72A0B"/>
    <w:rsid w:val="00B73BD1"/>
    <w:rsid w:val="00B744A8"/>
    <w:rsid w:val="00B756F8"/>
    <w:rsid w:val="00B76174"/>
    <w:rsid w:val="00B76F09"/>
    <w:rsid w:val="00B77480"/>
    <w:rsid w:val="00B80E05"/>
    <w:rsid w:val="00B8327B"/>
    <w:rsid w:val="00B91ECF"/>
    <w:rsid w:val="00B932E3"/>
    <w:rsid w:val="00B93EB5"/>
    <w:rsid w:val="00B94028"/>
    <w:rsid w:val="00B9438F"/>
    <w:rsid w:val="00BA0F96"/>
    <w:rsid w:val="00BA1429"/>
    <w:rsid w:val="00BA29ED"/>
    <w:rsid w:val="00BA5325"/>
    <w:rsid w:val="00BB2778"/>
    <w:rsid w:val="00BB4166"/>
    <w:rsid w:val="00BB4BF3"/>
    <w:rsid w:val="00BB4DD3"/>
    <w:rsid w:val="00BB5F3C"/>
    <w:rsid w:val="00BB612A"/>
    <w:rsid w:val="00BB6FB5"/>
    <w:rsid w:val="00BC0ADF"/>
    <w:rsid w:val="00BC21E0"/>
    <w:rsid w:val="00BC4AC9"/>
    <w:rsid w:val="00BC4C15"/>
    <w:rsid w:val="00BD2305"/>
    <w:rsid w:val="00BD268B"/>
    <w:rsid w:val="00BD2703"/>
    <w:rsid w:val="00BD3F42"/>
    <w:rsid w:val="00BD60FE"/>
    <w:rsid w:val="00BD61B8"/>
    <w:rsid w:val="00BD69A6"/>
    <w:rsid w:val="00BE0B4E"/>
    <w:rsid w:val="00BE1A7C"/>
    <w:rsid w:val="00BE2127"/>
    <w:rsid w:val="00BE2B93"/>
    <w:rsid w:val="00BE4D5D"/>
    <w:rsid w:val="00BE4F8A"/>
    <w:rsid w:val="00BE69DF"/>
    <w:rsid w:val="00BE6A17"/>
    <w:rsid w:val="00BE717B"/>
    <w:rsid w:val="00BF09C1"/>
    <w:rsid w:val="00BF43D6"/>
    <w:rsid w:val="00BF6D73"/>
    <w:rsid w:val="00BF798E"/>
    <w:rsid w:val="00BF7A1B"/>
    <w:rsid w:val="00C03624"/>
    <w:rsid w:val="00C04814"/>
    <w:rsid w:val="00C04A15"/>
    <w:rsid w:val="00C05E59"/>
    <w:rsid w:val="00C06D47"/>
    <w:rsid w:val="00C10320"/>
    <w:rsid w:val="00C11B27"/>
    <w:rsid w:val="00C12201"/>
    <w:rsid w:val="00C122A4"/>
    <w:rsid w:val="00C12F50"/>
    <w:rsid w:val="00C15253"/>
    <w:rsid w:val="00C165D9"/>
    <w:rsid w:val="00C17260"/>
    <w:rsid w:val="00C218B8"/>
    <w:rsid w:val="00C24E66"/>
    <w:rsid w:val="00C258D9"/>
    <w:rsid w:val="00C300F8"/>
    <w:rsid w:val="00C30471"/>
    <w:rsid w:val="00C31728"/>
    <w:rsid w:val="00C35D6F"/>
    <w:rsid w:val="00C40FDB"/>
    <w:rsid w:val="00C42124"/>
    <w:rsid w:val="00C42E89"/>
    <w:rsid w:val="00C43E24"/>
    <w:rsid w:val="00C44D60"/>
    <w:rsid w:val="00C457AE"/>
    <w:rsid w:val="00C5091D"/>
    <w:rsid w:val="00C51512"/>
    <w:rsid w:val="00C52461"/>
    <w:rsid w:val="00C52FB8"/>
    <w:rsid w:val="00C53AD9"/>
    <w:rsid w:val="00C54134"/>
    <w:rsid w:val="00C558EC"/>
    <w:rsid w:val="00C56FD2"/>
    <w:rsid w:val="00C5730B"/>
    <w:rsid w:val="00C6131E"/>
    <w:rsid w:val="00C63C3B"/>
    <w:rsid w:val="00C65286"/>
    <w:rsid w:val="00C66B3F"/>
    <w:rsid w:val="00C67FB9"/>
    <w:rsid w:val="00C74D03"/>
    <w:rsid w:val="00C74FCF"/>
    <w:rsid w:val="00C7637F"/>
    <w:rsid w:val="00C7707E"/>
    <w:rsid w:val="00C77998"/>
    <w:rsid w:val="00C826A7"/>
    <w:rsid w:val="00C849B5"/>
    <w:rsid w:val="00C8528A"/>
    <w:rsid w:val="00C854FE"/>
    <w:rsid w:val="00C857D3"/>
    <w:rsid w:val="00C8763D"/>
    <w:rsid w:val="00C9058D"/>
    <w:rsid w:val="00C92AB4"/>
    <w:rsid w:val="00C9349E"/>
    <w:rsid w:val="00C9407A"/>
    <w:rsid w:val="00C95B3C"/>
    <w:rsid w:val="00C97E8C"/>
    <w:rsid w:val="00CA05F3"/>
    <w:rsid w:val="00CA0C5A"/>
    <w:rsid w:val="00CA1649"/>
    <w:rsid w:val="00CA185C"/>
    <w:rsid w:val="00CA272D"/>
    <w:rsid w:val="00CA4305"/>
    <w:rsid w:val="00CA5A92"/>
    <w:rsid w:val="00CA66AB"/>
    <w:rsid w:val="00CA6A5B"/>
    <w:rsid w:val="00CA7300"/>
    <w:rsid w:val="00CB014D"/>
    <w:rsid w:val="00CB0201"/>
    <w:rsid w:val="00CB18D3"/>
    <w:rsid w:val="00CB1ED0"/>
    <w:rsid w:val="00CB3558"/>
    <w:rsid w:val="00CB3A11"/>
    <w:rsid w:val="00CB3F4E"/>
    <w:rsid w:val="00CB5EF0"/>
    <w:rsid w:val="00CB7402"/>
    <w:rsid w:val="00CC0A60"/>
    <w:rsid w:val="00CC3156"/>
    <w:rsid w:val="00CC4F2D"/>
    <w:rsid w:val="00CD023A"/>
    <w:rsid w:val="00CD0789"/>
    <w:rsid w:val="00CD109E"/>
    <w:rsid w:val="00CD2048"/>
    <w:rsid w:val="00CD3C87"/>
    <w:rsid w:val="00CD4C02"/>
    <w:rsid w:val="00CD681C"/>
    <w:rsid w:val="00CE0B14"/>
    <w:rsid w:val="00CE394E"/>
    <w:rsid w:val="00CE47FB"/>
    <w:rsid w:val="00CF1152"/>
    <w:rsid w:val="00CF1454"/>
    <w:rsid w:val="00CF1460"/>
    <w:rsid w:val="00CF15ED"/>
    <w:rsid w:val="00CF2DF5"/>
    <w:rsid w:val="00CF343A"/>
    <w:rsid w:val="00CF34F6"/>
    <w:rsid w:val="00CF35E2"/>
    <w:rsid w:val="00CF4831"/>
    <w:rsid w:val="00CF4848"/>
    <w:rsid w:val="00CF5DDE"/>
    <w:rsid w:val="00CF6814"/>
    <w:rsid w:val="00CF6C4D"/>
    <w:rsid w:val="00CF7618"/>
    <w:rsid w:val="00D0088B"/>
    <w:rsid w:val="00D02E1D"/>
    <w:rsid w:val="00D061F8"/>
    <w:rsid w:val="00D07AC2"/>
    <w:rsid w:val="00D110D4"/>
    <w:rsid w:val="00D133DC"/>
    <w:rsid w:val="00D13E14"/>
    <w:rsid w:val="00D15C4B"/>
    <w:rsid w:val="00D163E8"/>
    <w:rsid w:val="00D214CA"/>
    <w:rsid w:val="00D21D56"/>
    <w:rsid w:val="00D21F17"/>
    <w:rsid w:val="00D234DA"/>
    <w:rsid w:val="00D238B6"/>
    <w:rsid w:val="00D239D7"/>
    <w:rsid w:val="00D23CAC"/>
    <w:rsid w:val="00D248E6"/>
    <w:rsid w:val="00D2491C"/>
    <w:rsid w:val="00D2693B"/>
    <w:rsid w:val="00D27828"/>
    <w:rsid w:val="00D27E66"/>
    <w:rsid w:val="00D327DC"/>
    <w:rsid w:val="00D3516A"/>
    <w:rsid w:val="00D3599D"/>
    <w:rsid w:val="00D378C5"/>
    <w:rsid w:val="00D37B7C"/>
    <w:rsid w:val="00D4161E"/>
    <w:rsid w:val="00D41AC9"/>
    <w:rsid w:val="00D425B8"/>
    <w:rsid w:val="00D45165"/>
    <w:rsid w:val="00D4701B"/>
    <w:rsid w:val="00D472D8"/>
    <w:rsid w:val="00D505D7"/>
    <w:rsid w:val="00D514C2"/>
    <w:rsid w:val="00D522D3"/>
    <w:rsid w:val="00D52579"/>
    <w:rsid w:val="00D541B3"/>
    <w:rsid w:val="00D57A23"/>
    <w:rsid w:val="00D57F4B"/>
    <w:rsid w:val="00D6153B"/>
    <w:rsid w:val="00D65A29"/>
    <w:rsid w:val="00D667CD"/>
    <w:rsid w:val="00D701A6"/>
    <w:rsid w:val="00D70392"/>
    <w:rsid w:val="00D7120C"/>
    <w:rsid w:val="00D731DE"/>
    <w:rsid w:val="00D735EE"/>
    <w:rsid w:val="00D74447"/>
    <w:rsid w:val="00D75846"/>
    <w:rsid w:val="00D775D7"/>
    <w:rsid w:val="00D776B8"/>
    <w:rsid w:val="00D800CE"/>
    <w:rsid w:val="00D8075C"/>
    <w:rsid w:val="00D81F54"/>
    <w:rsid w:val="00D8255C"/>
    <w:rsid w:val="00D82A11"/>
    <w:rsid w:val="00D8525F"/>
    <w:rsid w:val="00D85B57"/>
    <w:rsid w:val="00D86BA0"/>
    <w:rsid w:val="00D87E07"/>
    <w:rsid w:val="00D913EE"/>
    <w:rsid w:val="00D91BDC"/>
    <w:rsid w:val="00D91C93"/>
    <w:rsid w:val="00D946E1"/>
    <w:rsid w:val="00D95606"/>
    <w:rsid w:val="00DA1C59"/>
    <w:rsid w:val="00DA52AA"/>
    <w:rsid w:val="00DA6A4F"/>
    <w:rsid w:val="00DB0324"/>
    <w:rsid w:val="00DB1BFC"/>
    <w:rsid w:val="00DB33B0"/>
    <w:rsid w:val="00DB4B94"/>
    <w:rsid w:val="00DB5443"/>
    <w:rsid w:val="00DB6971"/>
    <w:rsid w:val="00DB6D93"/>
    <w:rsid w:val="00DC1E68"/>
    <w:rsid w:val="00DC4360"/>
    <w:rsid w:val="00DC477F"/>
    <w:rsid w:val="00DC4B61"/>
    <w:rsid w:val="00DC507F"/>
    <w:rsid w:val="00DC6724"/>
    <w:rsid w:val="00DC7613"/>
    <w:rsid w:val="00DC7C04"/>
    <w:rsid w:val="00DD047F"/>
    <w:rsid w:val="00DD54C8"/>
    <w:rsid w:val="00DD5BAA"/>
    <w:rsid w:val="00DD7011"/>
    <w:rsid w:val="00DD780C"/>
    <w:rsid w:val="00DD79AA"/>
    <w:rsid w:val="00DE1F09"/>
    <w:rsid w:val="00DE3F2D"/>
    <w:rsid w:val="00DE5E71"/>
    <w:rsid w:val="00DE6BC1"/>
    <w:rsid w:val="00DF1B89"/>
    <w:rsid w:val="00DF1E05"/>
    <w:rsid w:val="00DF4167"/>
    <w:rsid w:val="00DF475D"/>
    <w:rsid w:val="00DF670F"/>
    <w:rsid w:val="00DF755E"/>
    <w:rsid w:val="00E00917"/>
    <w:rsid w:val="00E01C24"/>
    <w:rsid w:val="00E01D48"/>
    <w:rsid w:val="00E03F8F"/>
    <w:rsid w:val="00E0778E"/>
    <w:rsid w:val="00E126EC"/>
    <w:rsid w:val="00E15F01"/>
    <w:rsid w:val="00E17F98"/>
    <w:rsid w:val="00E21B42"/>
    <w:rsid w:val="00E21D8D"/>
    <w:rsid w:val="00E221E0"/>
    <w:rsid w:val="00E26E59"/>
    <w:rsid w:val="00E30F7E"/>
    <w:rsid w:val="00E3405B"/>
    <w:rsid w:val="00E34A36"/>
    <w:rsid w:val="00E3708E"/>
    <w:rsid w:val="00E429D9"/>
    <w:rsid w:val="00E44DC0"/>
    <w:rsid w:val="00E4580A"/>
    <w:rsid w:val="00E45FF2"/>
    <w:rsid w:val="00E460F8"/>
    <w:rsid w:val="00E461AF"/>
    <w:rsid w:val="00E4745B"/>
    <w:rsid w:val="00E47D48"/>
    <w:rsid w:val="00E507A3"/>
    <w:rsid w:val="00E50D03"/>
    <w:rsid w:val="00E51F2C"/>
    <w:rsid w:val="00E5259A"/>
    <w:rsid w:val="00E5385A"/>
    <w:rsid w:val="00E53E92"/>
    <w:rsid w:val="00E556EC"/>
    <w:rsid w:val="00E55BF0"/>
    <w:rsid w:val="00E55DBE"/>
    <w:rsid w:val="00E5726B"/>
    <w:rsid w:val="00E60809"/>
    <w:rsid w:val="00E62220"/>
    <w:rsid w:val="00E62772"/>
    <w:rsid w:val="00E649D2"/>
    <w:rsid w:val="00E65098"/>
    <w:rsid w:val="00E6675A"/>
    <w:rsid w:val="00E7091B"/>
    <w:rsid w:val="00E756BA"/>
    <w:rsid w:val="00E76D2F"/>
    <w:rsid w:val="00E771ED"/>
    <w:rsid w:val="00E8071C"/>
    <w:rsid w:val="00E807DA"/>
    <w:rsid w:val="00E82A42"/>
    <w:rsid w:val="00E8652F"/>
    <w:rsid w:val="00E90190"/>
    <w:rsid w:val="00E917A6"/>
    <w:rsid w:val="00E94FB8"/>
    <w:rsid w:val="00E95BEF"/>
    <w:rsid w:val="00E95EAE"/>
    <w:rsid w:val="00EA0E23"/>
    <w:rsid w:val="00EA3919"/>
    <w:rsid w:val="00EA5C6F"/>
    <w:rsid w:val="00EA60A9"/>
    <w:rsid w:val="00EA746F"/>
    <w:rsid w:val="00EB10C2"/>
    <w:rsid w:val="00EB3BED"/>
    <w:rsid w:val="00EB435F"/>
    <w:rsid w:val="00EB7E4C"/>
    <w:rsid w:val="00EC524A"/>
    <w:rsid w:val="00ED70D1"/>
    <w:rsid w:val="00ED7838"/>
    <w:rsid w:val="00EE096B"/>
    <w:rsid w:val="00EE0A06"/>
    <w:rsid w:val="00EE201F"/>
    <w:rsid w:val="00EE3F2E"/>
    <w:rsid w:val="00EE4595"/>
    <w:rsid w:val="00EE556A"/>
    <w:rsid w:val="00EE7B89"/>
    <w:rsid w:val="00EF03A0"/>
    <w:rsid w:val="00EF1FCB"/>
    <w:rsid w:val="00EF41CE"/>
    <w:rsid w:val="00EF4CFF"/>
    <w:rsid w:val="00EF4DFA"/>
    <w:rsid w:val="00EF5854"/>
    <w:rsid w:val="00F00375"/>
    <w:rsid w:val="00F01163"/>
    <w:rsid w:val="00F03181"/>
    <w:rsid w:val="00F03374"/>
    <w:rsid w:val="00F05E44"/>
    <w:rsid w:val="00F106BE"/>
    <w:rsid w:val="00F10B53"/>
    <w:rsid w:val="00F11195"/>
    <w:rsid w:val="00F1127E"/>
    <w:rsid w:val="00F1290B"/>
    <w:rsid w:val="00F13487"/>
    <w:rsid w:val="00F149F4"/>
    <w:rsid w:val="00F15F1F"/>
    <w:rsid w:val="00F16622"/>
    <w:rsid w:val="00F17BED"/>
    <w:rsid w:val="00F20EE7"/>
    <w:rsid w:val="00F215F6"/>
    <w:rsid w:val="00F22D23"/>
    <w:rsid w:val="00F2521F"/>
    <w:rsid w:val="00F26305"/>
    <w:rsid w:val="00F311E3"/>
    <w:rsid w:val="00F31C6E"/>
    <w:rsid w:val="00F32274"/>
    <w:rsid w:val="00F3325B"/>
    <w:rsid w:val="00F37E26"/>
    <w:rsid w:val="00F4085A"/>
    <w:rsid w:val="00F414FB"/>
    <w:rsid w:val="00F41DD5"/>
    <w:rsid w:val="00F455F8"/>
    <w:rsid w:val="00F466CA"/>
    <w:rsid w:val="00F47AF5"/>
    <w:rsid w:val="00F50B12"/>
    <w:rsid w:val="00F53FBA"/>
    <w:rsid w:val="00F5581C"/>
    <w:rsid w:val="00F56FCC"/>
    <w:rsid w:val="00F57BB0"/>
    <w:rsid w:val="00F57DD0"/>
    <w:rsid w:val="00F609C2"/>
    <w:rsid w:val="00F60F32"/>
    <w:rsid w:val="00F64CAC"/>
    <w:rsid w:val="00F674E2"/>
    <w:rsid w:val="00F6773E"/>
    <w:rsid w:val="00F74548"/>
    <w:rsid w:val="00F75F6A"/>
    <w:rsid w:val="00F76264"/>
    <w:rsid w:val="00F767C5"/>
    <w:rsid w:val="00F7711D"/>
    <w:rsid w:val="00F80F51"/>
    <w:rsid w:val="00F817EF"/>
    <w:rsid w:val="00F81A4B"/>
    <w:rsid w:val="00F82B0B"/>
    <w:rsid w:val="00F82D15"/>
    <w:rsid w:val="00F83888"/>
    <w:rsid w:val="00F8529D"/>
    <w:rsid w:val="00F90FB1"/>
    <w:rsid w:val="00F91B0A"/>
    <w:rsid w:val="00F92485"/>
    <w:rsid w:val="00F93263"/>
    <w:rsid w:val="00F96394"/>
    <w:rsid w:val="00F9778E"/>
    <w:rsid w:val="00FA3488"/>
    <w:rsid w:val="00FA51EA"/>
    <w:rsid w:val="00FA7005"/>
    <w:rsid w:val="00FA7178"/>
    <w:rsid w:val="00FB71D9"/>
    <w:rsid w:val="00FB7275"/>
    <w:rsid w:val="00FC2CAB"/>
    <w:rsid w:val="00FC58E1"/>
    <w:rsid w:val="00FC6C1A"/>
    <w:rsid w:val="00FC738F"/>
    <w:rsid w:val="00FD44E2"/>
    <w:rsid w:val="00FD4C2F"/>
    <w:rsid w:val="00FD4FC5"/>
    <w:rsid w:val="00FD55F4"/>
    <w:rsid w:val="00FD5CAE"/>
    <w:rsid w:val="00FD6992"/>
    <w:rsid w:val="00FE05EF"/>
    <w:rsid w:val="00FE1499"/>
    <w:rsid w:val="00FE3368"/>
    <w:rsid w:val="00FE7232"/>
    <w:rsid w:val="00FE76D2"/>
    <w:rsid w:val="00FF132A"/>
    <w:rsid w:val="00FF1679"/>
    <w:rsid w:val="00FF30D5"/>
    <w:rsid w:val="00FF43AA"/>
    <w:rsid w:val="00FF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7AE81"/>
  <w15:docId w15:val="{9A09BF74-B6FD-4DAA-A80A-11BBE21D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1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11B"/>
  </w:style>
  <w:style w:type="paragraph" w:styleId="Footer">
    <w:name w:val="footer"/>
    <w:basedOn w:val="Normal"/>
    <w:link w:val="Foot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11B"/>
  </w:style>
  <w:style w:type="paragraph" w:styleId="BalloonText">
    <w:name w:val="Balloon Text"/>
    <w:basedOn w:val="Normal"/>
    <w:link w:val="BalloonTextChar"/>
    <w:uiPriority w:val="99"/>
    <w:semiHidden/>
    <w:unhideWhenUsed/>
    <w:rsid w:val="00A1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CD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3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E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E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E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E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3EE1"/>
    <w:pPr>
      <w:spacing w:after="0" w:line="240" w:lineRule="auto"/>
    </w:pPr>
  </w:style>
  <w:style w:type="table" w:styleId="TableGrid">
    <w:name w:val="Table Grid"/>
    <w:basedOn w:val="TableNormal"/>
    <w:uiPriority w:val="59"/>
    <w:rsid w:val="00682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F41DD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1DD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41DD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54F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54F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5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1025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025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1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9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customXml" Target="../customXml/item8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raulmu@iadb.org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dbg.sharepoint.com/teams/EZ-RG-TCP/RG-T2660/10%20Operation%20Approval/Documento%20de%20Aprobaci%C3%B3n%20%5b39918320%5d.PDF" TargetMode="External"/><Relationship Id="rId2" Type="http://schemas.openxmlformats.org/officeDocument/2006/relationships/hyperlink" Target="file:///C:/Users/seulkiel/Desktop/wdi.worldbank.org/table/4.2" TargetMode="External"/><Relationship Id="rId1" Type="http://schemas.openxmlformats.org/officeDocument/2006/relationships/hyperlink" Target="http://www.irena.org/-/media/Files/IRENA/Agency/Publication/2015/IRENA_RE_Latin_America_Policies/IRENA_RE_Latin_America_Policies_2015_Country_Paraguay.pdf?la=en&amp;hash=9DD71986E5F6998AE3F782C3AEDBA3EFC9F32E2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16E9F6BDD6F4C41B162AA5B153973B7" ma:contentTypeVersion="2225" ma:contentTypeDescription="A content type to manage public (operations) IDB documents" ma:contentTypeScope="" ma:versionID="82678c2694be681265b76016740dbae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6902fe59b720ae609f3a9c8d8a67c3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40793929</IDBDocs_x0020_Number>
    <TaxCatchAll xmlns="cdc7663a-08f0-4737-9e8c-148ce897a09c">
      <Value>33</Value>
      <Value>116</Value>
      <Value>44</Value>
      <Value>237</Value>
      <Value>1</Value>
      <Value>238</Value>
    </TaxCatchAll>
    <SISCOR_x0020_Number xmlns="cdc7663a-08f0-4737-9e8c-148ce897a09c" xsi:nil="true"/>
    <Division_x0020_or_x0020_Unit xmlns="cdc7663a-08f0-4737-9e8c-148ce897a09c">INE/WSA</Division_x0020_or_x0020_Unit>
    <Document_x0020_Author xmlns="cdc7663a-08f0-4737-9e8c-148ce897a09c">Guerrero Rivera, Marilyn Ivette</Document_x0020_Author>
    <Fiscal_x0020_Year_x0020_IDB xmlns="cdc7663a-08f0-4737-9e8c-148ce897a09c">2019</Fiscal_x0020_Year_x0020_IDB>
    <Other_x0020_Author xmlns="cdc7663a-08f0-4737-9e8c-148ce897a09c" xsi:nil="true"/>
    <Migration_x0020_Info xmlns="cdc7663a-08f0-4737-9e8c-148ce897a09c">MS WORD0N</Migration_x0020_Info>
    <Document_x0020_Language_x0020_IDB xmlns="cdc7663a-08f0-4737-9e8c-148ce897a09c">English</Document_x0020_Language_x0020_IDB>
    <Identifier xmlns="cdc7663a-08f0-4737-9e8c-148ce897a09c" xsi:nil="true"/>
    <Access_x0020_to_x0020_Information_x00a0_Policy xmlns="cdc7663a-08f0-4737-9e8c-148ce897a09c">Public</Access_x0020_to_x0020_Information_x00a0_Policy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_dlc_DocId xmlns="cdc7663a-08f0-4737-9e8c-148ce897a09c">EZSHARE-774363997-2</_dlc_DocId>
    <_dlc_DocIdUrl xmlns="cdc7663a-08f0-4737-9e8c-148ce897a09c">
      <Url>https://idbg.sharepoint.com/teams/EZ-RG-TCP/RG-T3427/_layouts/15/DocIdRedir.aspx?ID=EZSHARE-774363997-2</Url>
      <Description>EZSHARE-774363997-2</Description>
    </_dlc_DocIdUrl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 Abstract</TermName>
          <TermId xmlns="http://schemas.microsoft.com/office/infopath/2007/PartnerControls">7d12d2c9-3b07-4a95-a4b4-99c2881b0472</TermId>
        </TermInfo>
      </Terms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pproval_x0020_Number xmlns="cdc7663a-08f0-4737-9e8c-148ce897a09c" xsi:nil="true"/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INTEGRAL MANAGEMENT OF WATER RESOURCES</TermName>
          <TermId xmlns="http://schemas.microsoft.com/office/infopath/2007/PartnerControls">b6095696-0808-4ea4-b0d5-c9646be8689e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KPR</TermName>
          <TermId xmlns="http://schemas.microsoft.com/office/infopath/2007/PartnerControls">6532625e-d021-44f5-96e1-a6225058695c</TermId>
        </TermInfo>
      </Terms>
    </g511464f9e53401d84b16fa9b379a574>
    <Related_x0020_SisCor_x0020_Number xmlns="cdc7663a-08f0-4737-9e8c-148ce897a09c" xsi:nil="true"/>
    <Operation_x0020_Type xmlns="cdc7663a-08f0-4737-9e8c-148ce897a09c">Technical Cooperation</Operation_x0020_Type>
    <Package_x0020_Code xmlns="cdc7663a-08f0-4737-9e8c-148ce897a09c" xsi:nil="true"/>
    <Project_x0020_Number xmlns="cdc7663a-08f0-4737-9e8c-148ce897a09c">RG-T3427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 xsi:nil="true"/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Water and Sanitation;</Webtopic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FormUrls xmlns="http://schemas.microsoft.com/sharepoint/v3/contenttype/forms/url">
  <Display>_catalogs/masterpage/ECMForms/CorporateCT/View.aspx</Display>
  <Edit>_catalogs/masterpage/ECMForms/CorporateCT/Edit.aspx</Edit>
</FormUrl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646DD45B-D854-4EDF-9960-CA6B700D4D7D}"/>
</file>

<file path=customXml/itemProps2.xml><?xml version="1.0" encoding="utf-8"?>
<ds:datastoreItem xmlns:ds="http://schemas.openxmlformats.org/officeDocument/2006/customXml" ds:itemID="{A89282C7-8267-4E9E-A462-AC0909AA99CF}"/>
</file>

<file path=customXml/itemProps3.xml><?xml version="1.0" encoding="utf-8"?>
<ds:datastoreItem xmlns:ds="http://schemas.openxmlformats.org/officeDocument/2006/customXml" ds:itemID="{94A4EF3C-B9DC-4797-98CB-4E0E9C1DB58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D0774C3-F95B-40CF-B0C2-E008567F8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AC47BD3-8C62-4452-8453-2D18B253E4E2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0AE56021-D25E-4012-9EA9-9C8635F9A17C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0373525A-DBB4-4EE2-9B61-965928D90E0A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60E6DAA2-7EF9-481F-A8AD-1141CA6909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 Abstract template (English) UPDATED strategic alignment</vt:lpstr>
    </vt:vector>
  </TitlesOfParts>
  <Company>Inter-American Development Bank</Company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 Abstract template (English) UPDATED strategic alignment</dc:title>
  <dc:creator>Yolanda Strachan</dc:creator>
  <cp:keywords/>
  <cp:lastModifiedBy>Guerrero Rivera, Marilyn Ivette</cp:lastModifiedBy>
  <cp:revision>8</cp:revision>
  <cp:lastPrinted>2011-03-28T14:34:00Z</cp:lastPrinted>
  <dcterms:created xsi:type="dcterms:W3CDTF">2019-03-06T14:46:00Z</dcterms:created>
  <dcterms:modified xsi:type="dcterms:W3CDTF">2019-06-03T16:16:00Z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54;#Unclassified|a6dff32e-d477-44cd-a56b-85efe9e0a56c</vt:lpwstr>
  </property>
  <property fmtid="{D5CDD505-2E9C-101B-9397-08002B2CF9AE}" pid="5" name="Function Corporate IDB">
    <vt:lpwstr>53;#IDBDocs|cca77002-e150-4b2d-ab1f-1d7a7cdcae16</vt:lpwstr>
  </property>
  <property fmtid="{D5CDD505-2E9C-101B-9397-08002B2CF9AE}" pid="6" name="TaxKeywordTaxHTField">
    <vt:lpwstr/>
  </property>
  <property fmtid="{D5CDD505-2E9C-101B-9397-08002B2CF9AE}" pid="7" name="Country">
    <vt:lpwstr>44;#Regional|2537a5b7-6d8e-482c-94dc-32c3cc44ff65</vt:lpwstr>
  </property>
  <property fmtid="{D5CDD505-2E9C-101B-9397-08002B2CF9AE}" pid="8" name="Webtopic">
    <vt:lpwstr/>
  </property>
  <property fmtid="{D5CDD505-2E9C-101B-9397-08002B2CF9AE}" pid="9" name="_dlc_DocIdItemGuid">
    <vt:lpwstr>f46878e5-a183-4993-b2e5-349c6bcc42ac</vt:lpwstr>
  </property>
  <property fmtid="{D5CDD505-2E9C-101B-9397-08002B2CF9AE}" pid="10" name="Abstract">
    <vt:lpwstr/>
  </property>
  <property fmtid="{D5CDD505-2E9C-101B-9397-08002B2CF9AE}" pid="11" name="Disclosure Activity">
    <vt:lpwstr/>
  </property>
  <property fmtid="{D5CDD505-2E9C-101B-9397-08002B2CF9AE}" pid="12" name="Region">
    <vt:lpwstr/>
  </property>
  <property fmtid="{D5CDD505-2E9C-101B-9397-08002B2CF9AE}" pid="13" name="Publication Type">
    <vt:lpwstr/>
  </property>
  <property fmtid="{D5CDD505-2E9C-101B-9397-08002B2CF9AE}" pid="14" name="Publishing House">
    <vt:lpwstr/>
  </property>
  <property fmtid="{D5CDD505-2E9C-101B-9397-08002B2CF9AE}" pid="15" name="KP Topics">
    <vt:lpwstr/>
  </property>
  <property fmtid="{D5CDD505-2E9C-101B-9397-08002B2CF9AE}" pid="16" name="Editor1">
    <vt:lpwstr/>
  </property>
  <property fmtid="{D5CDD505-2E9C-101B-9397-08002B2CF9AE}" pid="17" name="URL">
    <vt:lpwstr/>
  </property>
  <property fmtid="{D5CDD505-2E9C-101B-9397-08002B2CF9AE}" pid="18" name="Sub-Sector">
    <vt:lpwstr>238;#INTEGRAL MANAGEMENT OF WATER RESOURCES|b6095696-0808-4ea4-b0d5-c9646be8689e</vt:lpwstr>
  </property>
  <property fmtid="{D5CDD505-2E9C-101B-9397-08002B2CF9AE}" pid="19" name="Series Operations IDB">
    <vt:lpwstr>33;#TC Abstract|7d12d2c9-3b07-4a95-a4b4-99c2881b0472</vt:lpwstr>
  </property>
  <property fmtid="{D5CDD505-2E9C-101B-9397-08002B2CF9AE}" pid="20" name="Fund IDB">
    <vt:lpwstr>116;#KPR|6532625e-d021-44f5-96e1-a6225058695c</vt:lpwstr>
  </property>
  <property fmtid="{D5CDD505-2E9C-101B-9397-08002B2CF9AE}" pid="21" name="Sector IDB">
    <vt:lpwstr>237;#WATER AND SANITATION|ba6b63cd-e402-47cb-9357-08149f7ce046</vt:lpwstr>
  </property>
  <property fmtid="{D5CDD505-2E9C-101B-9397-08002B2CF9AE}" pid="22" name="Function Operations IDB">
    <vt:lpwstr>1;#Project Preparation, Planning and Design|29ca0c72-1fc4-435f-a09c-28585cb5eac9</vt:lpwstr>
  </property>
  <property fmtid="{D5CDD505-2E9C-101B-9397-08002B2CF9AE}" pid="23" name="ContentTypeId">
    <vt:lpwstr>0x0101001A458A224826124E8B45B1D613300CFC00816E9F6BDD6F4C41B162AA5B153973B7</vt:lpwstr>
  </property>
</Properties>
</file>