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2.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B2E4BDC" w14:textId="3224A6F7" w:rsidR="003B6E39" w:rsidRPr="00575069" w:rsidRDefault="003B6E39" w:rsidP="003B6E39">
      <w:pPr>
        <w:rPr>
          <w:rFonts w:ascii="Calibri" w:hAnsi="Calibri"/>
          <w:b/>
        </w:rPr>
      </w:pPr>
      <w:r>
        <w:rPr>
          <w:noProof/>
        </w:rPr>
        <mc:AlternateContent>
          <mc:Choice Requires="wps">
            <w:drawing>
              <wp:anchor distT="0" distB="0" distL="114300" distR="114300" simplePos="0" relativeHeight="251664384" behindDoc="0" locked="0" layoutInCell="1" allowOverlap="1" wp14:anchorId="2C8E82E7" wp14:editId="3312D6F9">
                <wp:simplePos x="0" y="0"/>
                <wp:positionH relativeFrom="column">
                  <wp:posOffset>-69850</wp:posOffset>
                </wp:positionH>
                <wp:positionV relativeFrom="paragraph">
                  <wp:posOffset>2554605</wp:posOffset>
                </wp:positionV>
                <wp:extent cx="3352800" cy="339725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8801B" w14:textId="77777777" w:rsidR="003B6E39" w:rsidRPr="003B6E39" w:rsidRDefault="003B6E39" w:rsidP="003B6E39">
                            <w:pPr>
                              <w:spacing w:before="120" w:after="120"/>
                              <w:rPr>
                                <w:rFonts w:ascii="Calibri" w:hAnsi="Calibri"/>
                                <w:b/>
                                <w:bCs/>
                                <w:sz w:val="44"/>
                                <w:lang w:val="es-ES"/>
                              </w:rPr>
                            </w:pPr>
                            <w:r w:rsidRPr="003B6E39">
                              <w:rPr>
                                <w:rFonts w:ascii="Calibri" w:hAnsi="Calibri"/>
                                <w:b/>
                                <w:bCs/>
                                <w:sz w:val="44"/>
                                <w:lang w:val="es-ES"/>
                              </w:rPr>
                              <w:t>Estrategia de expansión de tercer ciclo</w:t>
                            </w:r>
                          </w:p>
                          <w:p w14:paraId="02875EAF" w14:textId="77777777" w:rsidR="003B6E39" w:rsidRPr="003B6E39" w:rsidRDefault="003B6E39" w:rsidP="003B6E39">
                            <w:pPr>
                              <w:spacing w:before="120" w:after="120"/>
                              <w:rPr>
                                <w:rFonts w:ascii="Calibri" w:hAnsi="Calibri"/>
                                <w:bCs/>
                                <w:sz w:val="40"/>
                                <w:lang w:val="es-ES"/>
                              </w:rPr>
                            </w:pPr>
                            <w:r w:rsidRPr="003B6E39">
                              <w:rPr>
                                <w:rFonts w:ascii="Calibri" w:hAnsi="Calibri"/>
                                <w:bCs/>
                                <w:sz w:val="40"/>
                                <w:lang w:val="es-ES"/>
                              </w:rPr>
                              <w:t>HO-L1093</w:t>
                            </w:r>
                          </w:p>
                          <w:p w14:paraId="1E480F02" w14:textId="77777777" w:rsidR="003B6E39" w:rsidRPr="003B6E39" w:rsidRDefault="003B6E39" w:rsidP="003B6E39">
                            <w:pPr>
                              <w:spacing w:before="120" w:after="120"/>
                              <w:rPr>
                                <w:rFonts w:ascii="Arial" w:hAnsi="Arial" w:cs="Arial"/>
                                <w:bCs/>
                                <w:sz w:val="44"/>
                                <w:lang w:val="es-ES"/>
                              </w:rPr>
                            </w:pPr>
                            <w:r w:rsidRPr="003B6E39">
                              <w:rPr>
                                <w:rFonts w:ascii="Calibri" w:hAnsi="Calibri"/>
                                <w:bCs/>
                                <w:sz w:val="40"/>
                                <w:lang w:val="es-ES"/>
                              </w:rPr>
                              <w:t>Programa de Apoyo al Sistema de Protección Social</w:t>
                            </w:r>
                          </w:p>
                          <w:p w14:paraId="4D747261" w14:textId="77777777" w:rsidR="003B6E39" w:rsidRPr="003B6E39" w:rsidRDefault="003B6E39" w:rsidP="003B6E39">
                            <w:pPr>
                              <w:spacing w:before="120" w:after="120"/>
                              <w:rPr>
                                <w:rFonts w:ascii="Calibri" w:hAnsi="Calibri"/>
                                <w:sz w:val="44"/>
                                <w:lang w:val="es-ES"/>
                              </w:rPr>
                            </w:pPr>
                          </w:p>
                          <w:p w14:paraId="0754DBFE" w14:textId="77777777" w:rsidR="003B6E39" w:rsidRPr="003B6E39" w:rsidRDefault="003B6E39" w:rsidP="003B6E39">
                            <w:pPr>
                              <w:spacing w:before="120" w:after="120"/>
                              <w:rPr>
                                <w:rFonts w:ascii="Calibri" w:hAnsi="Calibri"/>
                                <w:sz w:val="44"/>
                                <w:lang w:val="es-ES"/>
                              </w:rPr>
                            </w:pPr>
                          </w:p>
                          <w:p w14:paraId="5D885033" w14:textId="77777777" w:rsidR="003B6E39" w:rsidRPr="003B6E39" w:rsidRDefault="003B6E39" w:rsidP="003B6E39">
                            <w:pPr>
                              <w:spacing w:before="120" w:after="120"/>
                              <w:rPr>
                                <w:rFonts w:ascii="Calibri" w:hAnsi="Calibri"/>
                                <w:sz w:val="44"/>
                                <w:lang w:val="es-ES"/>
                              </w:rPr>
                            </w:pPr>
                          </w:p>
                          <w:p w14:paraId="5179A5D1" w14:textId="77777777" w:rsidR="003B6E39" w:rsidRPr="003B6E39" w:rsidRDefault="003B6E39" w:rsidP="003B6E39">
                            <w:pPr>
                              <w:spacing w:before="120" w:after="120"/>
                              <w:jc w:val="both"/>
                              <w:rPr>
                                <w:rFonts w:ascii="Calibri" w:hAnsi="Calibri" w:cs="Arial"/>
                                <w:sz w:val="50"/>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5pt;margin-top:201.15pt;width:264pt;height:2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" filled="f" fillcolor="navy" stroked="f">
                <v:textbox>
                  <w:txbxContent>
                    <w:p w14:paraId="50E8801B" w14:textId="77777777" w:rsidR="003B6E39" w:rsidRPr="003B6E39" w:rsidRDefault="003B6E39" w:rsidP="003B6E39">
                      <w:pPr>
                        <w:spacing w:before="120" w:after="120"/>
                        <w:rPr>
                          <w:rFonts w:ascii="Calibri" w:hAnsi="Calibri"/>
                          <w:b/>
                          <w:bCs/>
                          <w:sz w:val="44"/>
                          <w:lang w:val="es-ES"/>
                        </w:rPr>
                      </w:pPr>
                      <w:r w:rsidRPr="003B6E39">
                        <w:rPr>
                          <w:rFonts w:ascii="Calibri" w:hAnsi="Calibri"/>
                          <w:b/>
                          <w:bCs/>
                          <w:sz w:val="44"/>
                          <w:lang w:val="es-ES"/>
                        </w:rPr>
                        <w:t>Estrategia de expansión de tercer ciclo</w:t>
                      </w:r>
                    </w:p>
                    <w:p w14:paraId="02875EAF" w14:textId="77777777" w:rsidR="003B6E39" w:rsidRPr="003B6E39" w:rsidRDefault="003B6E39" w:rsidP="003B6E39">
                      <w:pPr>
                        <w:spacing w:before="120" w:after="120"/>
                        <w:rPr>
                          <w:rFonts w:ascii="Calibri" w:hAnsi="Calibri"/>
                          <w:bCs/>
                          <w:sz w:val="40"/>
                          <w:lang w:val="es-ES"/>
                        </w:rPr>
                      </w:pPr>
                      <w:r w:rsidRPr="003B6E39">
                        <w:rPr>
                          <w:rFonts w:ascii="Calibri" w:hAnsi="Calibri"/>
                          <w:bCs/>
                          <w:sz w:val="40"/>
                          <w:lang w:val="es-ES"/>
                        </w:rPr>
                        <w:t>HO-L1093</w:t>
                      </w:r>
                    </w:p>
                    <w:p w14:paraId="1E480F02" w14:textId="77777777" w:rsidR="003B6E39" w:rsidRPr="003B6E39" w:rsidRDefault="003B6E39" w:rsidP="003B6E39">
                      <w:pPr>
                        <w:spacing w:before="120" w:after="120"/>
                        <w:rPr>
                          <w:rFonts w:ascii="Arial" w:hAnsi="Arial" w:cs="Arial"/>
                          <w:bCs/>
                          <w:sz w:val="44"/>
                          <w:lang w:val="es-ES"/>
                        </w:rPr>
                      </w:pPr>
                      <w:r w:rsidRPr="003B6E39">
                        <w:rPr>
                          <w:rFonts w:ascii="Calibri" w:hAnsi="Calibri"/>
                          <w:bCs/>
                          <w:sz w:val="40"/>
                          <w:lang w:val="es-ES"/>
                        </w:rPr>
                        <w:t>Programa de Apoyo al Sistema de Protección Social</w:t>
                      </w:r>
                    </w:p>
                    <w:p w14:paraId="4D747261" w14:textId="77777777" w:rsidR="003B6E39" w:rsidRPr="003B6E39" w:rsidRDefault="003B6E39" w:rsidP="003B6E39">
                      <w:pPr>
                        <w:spacing w:before="120" w:after="120"/>
                        <w:rPr>
                          <w:rFonts w:ascii="Calibri" w:hAnsi="Calibri"/>
                          <w:sz w:val="44"/>
                          <w:lang w:val="es-ES"/>
                        </w:rPr>
                      </w:pPr>
                    </w:p>
                    <w:p w14:paraId="0754DBFE" w14:textId="77777777" w:rsidR="003B6E39" w:rsidRPr="003B6E39" w:rsidRDefault="003B6E39" w:rsidP="003B6E39">
                      <w:pPr>
                        <w:spacing w:before="120" w:after="120"/>
                        <w:rPr>
                          <w:rFonts w:ascii="Calibri" w:hAnsi="Calibri"/>
                          <w:sz w:val="44"/>
                          <w:lang w:val="es-ES"/>
                        </w:rPr>
                      </w:pPr>
                    </w:p>
                    <w:p w14:paraId="5D885033" w14:textId="77777777" w:rsidR="003B6E39" w:rsidRPr="003B6E39" w:rsidRDefault="003B6E39" w:rsidP="003B6E39">
                      <w:pPr>
                        <w:spacing w:before="120" w:after="120"/>
                        <w:rPr>
                          <w:rFonts w:ascii="Calibri" w:hAnsi="Calibri"/>
                          <w:sz w:val="44"/>
                          <w:lang w:val="es-ES"/>
                        </w:rPr>
                      </w:pPr>
                    </w:p>
                    <w:p w14:paraId="5179A5D1" w14:textId="77777777" w:rsidR="003B6E39" w:rsidRPr="003B6E39" w:rsidRDefault="003B6E39" w:rsidP="003B6E39">
                      <w:pPr>
                        <w:spacing w:before="120" w:after="120"/>
                        <w:jc w:val="both"/>
                        <w:rPr>
                          <w:rFonts w:ascii="Calibri" w:hAnsi="Calibri" w:cs="Arial"/>
                          <w:sz w:val="50"/>
                          <w:lang w:val="es-ES"/>
                        </w:rPr>
                      </w:pPr>
                    </w:p>
                  </w:txbxContent>
                </v:textbox>
                <w10:wrap type="square"/>
              </v:shape>
            </w:pict>
          </mc:Fallback>
        </mc:AlternateContent>
      </w:r>
      <w:r>
        <w:rPr>
          <w:b/>
          <w:sz w:val="24"/>
          <w:szCs w:val="24"/>
          <w:lang w:val="es-MX"/>
        </w:rPr>
        <w:br w:type="page"/>
      </w:r>
      <w:r>
        <w:rPr>
          <w:noProof/>
        </w:rPr>
        <mc:AlternateContent>
          <mc:Choice Requires="wps">
            <w:drawing>
              <wp:anchor distT="0" distB="0" distL="114300" distR="114300" simplePos="0" relativeHeight="251666432" behindDoc="0" locked="0" layoutInCell="1" allowOverlap="1" wp14:anchorId="43263037" wp14:editId="2B1489B2">
                <wp:simplePos x="0" y="0"/>
                <wp:positionH relativeFrom="column">
                  <wp:posOffset>-76200</wp:posOffset>
                </wp:positionH>
                <wp:positionV relativeFrom="paragraph">
                  <wp:posOffset>8049895</wp:posOffset>
                </wp:positionV>
                <wp:extent cx="6430010" cy="276225"/>
                <wp:effectExtent l="12700" t="6350" r="5715" b="127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0010" cy="276225"/>
                        </a:xfrm>
                        <a:prstGeom prst="rect">
                          <a:avLst/>
                        </a:prstGeom>
                        <a:solidFill>
                          <a:srgbClr val="FFFFFF"/>
                        </a:solidFill>
                        <a:ln w="9525">
                          <a:solidFill>
                            <a:srgbClr val="000000"/>
                          </a:solidFill>
                          <a:miter lim="800000"/>
                          <a:headEnd/>
                          <a:tailEnd/>
                        </a:ln>
                      </wps:spPr>
                      <wps:txbx>
                        <w:txbxContent>
                          <w:p w14:paraId="4BFFDF41" w14:textId="4DF331BA" w:rsidR="003B6E39" w:rsidRPr="004A216B" w:rsidRDefault="003B6E39" w:rsidP="003B6E39">
                            <w:r>
                              <w:t>Este documento fue preparado por Javier Luque, SCL/EDU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27" type="#_x0000_t202" style="position:absolute;margin-left:-6pt;margin-top:633.85pt;width:506.3pt;height:21.7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">
                <v:textbox style="mso-fit-shape-to-text:t">
                  <w:txbxContent>
                    <w:p w14:paraId="4BFFDF41" w14:textId="4DF331BA" w:rsidR="003B6E39" w:rsidRPr="004A216B" w:rsidRDefault="003B6E39" w:rsidP="003B6E39">
                      <w:r>
                        <w:t xml:space="preserve">Este </w:t>
                      </w:r>
                      <w:proofErr w:type="spellStart"/>
                      <w:r>
                        <w:t>documento</w:t>
                      </w:r>
                      <w:proofErr w:type="spellEnd"/>
                      <w:r>
                        <w:t xml:space="preserve"> </w:t>
                      </w:r>
                      <w:proofErr w:type="spellStart"/>
                      <w:r>
                        <w:t>fue</w:t>
                      </w:r>
                      <w:proofErr w:type="spellEnd"/>
                      <w:r>
                        <w:t xml:space="preserve"> </w:t>
                      </w:r>
                      <w:proofErr w:type="spellStart"/>
                      <w:r>
                        <w:t>preparado</w:t>
                      </w:r>
                      <w:proofErr w:type="spellEnd"/>
                      <w:r>
                        <w:t xml:space="preserve"> </w:t>
                      </w:r>
                      <w:proofErr w:type="spellStart"/>
                      <w:r>
                        <w:t>por</w:t>
                      </w:r>
                      <w:proofErr w:type="spellEnd"/>
                      <w:r>
                        <w:t xml:space="preserve"> Javier </w:t>
                      </w:r>
                      <w:proofErr w:type="spellStart"/>
                      <w:r>
                        <w:t>Luque</w:t>
                      </w:r>
                      <w:proofErr w:type="spellEnd"/>
                      <w:r>
                        <w:t>, SCL/EDU</w:t>
                      </w:r>
                    </w:p>
                  </w:txbxContent>
                </v:textbox>
              </v:shape>
            </w:pict>
          </mc:Fallback>
        </mc:AlternateContent>
      </w:r>
      <w:r>
        <w:rPr>
          <w:noProof/>
        </w:rPr>
        <mc:AlternateContent>
          <mc:Choice Requires="wps">
            <w:drawing>
              <wp:anchor distT="36576" distB="36576" distL="36576" distR="36576" simplePos="0" relativeHeight="251659264" behindDoc="0" locked="0" layoutInCell="1" allowOverlap="1" wp14:anchorId="0B1C24BC" wp14:editId="51B9F2B9">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" fillcolor="#0078b4" stroked="f" strokecolor="#212120">
                <v:shadow color="#dcd6d4"/>
                <v:textbox inset="2.88pt,2.88pt,2.88pt,2.88pt"/>
                <w10:wrap type="tight" anchory="page"/>
              </v:rect>
            </w:pict>
          </mc:Fallback>
        </mc:AlternateContent>
      </w:r>
      <w:r>
        <w:rPr>
          <w:noProof/>
        </w:rPr>
        <w:drawing>
          <wp:anchor distT="0" distB="0" distL="114300" distR="114300" simplePos="0" relativeHeight="251661312" behindDoc="1" locked="0" layoutInCell="1" allowOverlap="1" wp14:anchorId="65A18669" wp14:editId="00AE56DF">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8" name="Picture 8"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78F9A" w14:textId="67188A0C" w:rsidR="00C149F0" w:rsidRPr="00706E0A" w:rsidRDefault="005E0397">
      <w:pPr>
        <w:rPr>
          <w:b/>
        </w:rPr>
      </w:pPr>
      <w:r w:rsidRPr="00706E0A">
        <w:rPr>
          <w:b/>
          <w:sz w:val="24"/>
          <w:szCs w:val="24"/>
          <w:lang w:val="es-MX"/>
        </w:rPr>
        <w:lastRenderedPageBreak/>
        <w:t>Introducción</w:t>
      </w:r>
    </w:p>
    <w:p w14:paraId="239CD22D" w14:textId="77777777" w:rsidR="005E0397" w:rsidRPr="00D8177F" w:rsidRDefault="005E0397" w:rsidP="00706E0A">
      <w:pPr>
        <w:pStyle w:val="ListParagraph"/>
        <w:numPr>
          <w:ilvl w:val="0"/>
          <w:numId w:val="1"/>
        </w:numPr>
        <w:jc w:val="both"/>
        <w:rPr>
          <w:sz w:val="24"/>
          <w:szCs w:val="24"/>
          <w:lang w:val="es-ES_tradnl"/>
        </w:rPr>
      </w:pPr>
      <w:r w:rsidRPr="00D8177F">
        <w:rPr>
          <w:sz w:val="24"/>
          <w:szCs w:val="24"/>
          <w:lang w:val="es-ES_tradnl"/>
        </w:rPr>
        <w:t>La asistencia a</w:t>
      </w:r>
      <w:r w:rsidR="00706E0A" w:rsidRPr="00D8177F">
        <w:rPr>
          <w:sz w:val="24"/>
          <w:szCs w:val="24"/>
          <w:lang w:val="es-ES_tradnl"/>
        </w:rPr>
        <w:t xml:space="preserve"> la educación secundaria</w:t>
      </w:r>
      <w:r w:rsidRPr="00D8177F">
        <w:rPr>
          <w:sz w:val="24"/>
          <w:szCs w:val="24"/>
          <w:lang w:val="es-ES_tradnl"/>
        </w:rPr>
        <w:t xml:space="preserve"> es un cuello de botella que frena el logro educativo.</w:t>
      </w:r>
      <w:r w:rsidR="00D8177F" w:rsidRPr="00D8177F">
        <w:rPr>
          <w:sz w:val="24"/>
          <w:szCs w:val="24"/>
          <w:lang w:val="es-ES_tradnl"/>
        </w:rPr>
        <w:t xml:space="preserve"> Si bien, Honduras ha avanzado de forma importante en el logro educativo en educación primaria, con tasas de culminación cercanas al 80 por ciento, el logro educativo en educación secundaria no ha logrado un dinamismo similar, con tasas de culminación inferiores al 30 por ciento</w:t>
      </w:r>
      <w:r w:rsidR="00D8177F">
        <w:rPr>
          <w:sz w:val="24"/>
          <w:szCs w:val="24"/>
          <w:lang w:val="es-ES_tradnl"/>
        </w:rPr>
        <w:t xml:space="preserve"> (ver Figura 1)</w:t>
      </w:r>
      <w:r w:rsidR="00D8177F" w:rsidRPr="00D8177F">
        <w:rPr>
          <w:sz w:val="24"/>
          <w:szCs w:val="24"/>
          <w:lang w:val="es-ES_tradnl"/>
        </w:rPr>
        <w:t xml:space="preserve">. Cabe anotar que Honduras </w:t>
      </w:r>
      <w:r w:rsidR="001D095E">
        <w:rPr>
          <w:sz w:val="24"/>
          <w:szCs w:val="24"/>
          <w:lang w:val="es-ES_tradnl"/>
        </w:rPr>
        <w:t xml:space="preserve">cuenta con logros superiores en primaria </w:t>
      </w:r>
      <w:r w:rsidR="00D8177F" w:rsidRPr="00D8177F">
        <w:rPr>
          <w:sz w:val="24"/>
          <w:szCs w:val="24"/>
          <w:lang w:val="es-ES_tradnl"/>
        </w:rPr>
        <w:t>a otros países de la región (como  El Salvador, Nicaragua y la Republica Dominicana), pero, dado el limitado dinamismo en la transición de primaria a secundaria, dichos países registran mayores tasas de culminación de educación secundaria</w:t>
      </w:r>
      <w:r w:rsidR="00D8177F">
        <w:rPr>
          <w:sz w:val="24"/>
          <w:szCs w:val="24"/>
          <w:lang w:val="es-ES_tradnl"/>
        </w:rPr>
        <w:t xml:space="preserve"> (ver Figura 2)</w:t>
      </w:r>
      <w:r w:rsidR="00D8177F" w:rsidRPr="00D8177F">
        <w:rPr>
          <w:sz w:val="24"/>
          <w:szCs w:val="24"/>
          <w:lang w:val="es-ES_tradnl"/>
        </w:rPr>
        <w:t xml:space="preserve">. </w:t>
      </w:r>
      <w:r w:rsidR="00C2562B">
        <w:rPr>
          <w:sz w:val="24"/>
          <w:szCs w:val="24"/>
          <w:lang w:val="es-ES_tradnl"/>
        </w:rPr>
        <w:t xml:space="preserve">Los problemas en la culminación de secundaria empiezan en el primer nivel de estudios, denominado Tercer Ciclo </w:t>
      </w:r>
      <w:r w:rsidR="00C2562B" w:rsidRPr="00D8177F">
        <w:rPr>
          <w:sz w:val="24"/>
          <w:szCs w:val="24"/>
          <w:lang w:val="es-ES_tradnl"/>
        </w:rPr>
        <w:t xml:space="preserve">(de 7mo a 9no grado). </w:t>
      </w:r>
      <w:r w:rsidR="00C2562B">
        <w:rPr>
          <w:sz w:val="24"/>
          <w:szCs w:val="24"/>
          <w:lang w:val="es-ES_tradnl"/>
        </w:rPr>
        <w:t xml:space="preserve"> </w:t>
      </w:r>
      <w:r w:rsidR="00967D06" w:rsidRPr="00D8177F">
        <w:rPr>
          <w:sz w:val="24"/>
          <w:szCs w:val="24"/>
          <w:lang w:val="es-MX"/>
        </w:rPr>
        <w:t xml:space="preserve">De acuerdo a </w:t>
      </w:r>
      <w:r w:rsidRPr="00D8177F">
        <w:rPr>
          <w:sz w:val="24"/>
          <w:szCs w:val="24"/>
          <w:lang w:val="es-MX"/>
        </w:rPr>
        <w:t>estadísticas</w:t>
      </w:r>
      <w:r w:rsidR="00967D06" w:rsidRPr="00D8177F">
        <w:rPr>
          <w:sz w:val="24"/>
          <w:szCs w:val="24"/>
          <w:lang w:val="es-MX"/>
        </w:rPr>
        <w:t xml:space="preserve"> de la UNESCO, la tasa de </w:t>
      </w:r>
      <w:r w:rsidR="00CA183D" w:rsidRPr="00D8177F">
        <w:rPr>
          <w:sz w:val="24"/>
          <w:szCs w:val="24"/>
          <w:lang w:val="es-MX"/>
        </w:rPr>
        <w:t>matrícula</w:t>
      </w:r>
      <w:r w:rsidR="00967D06" w:rsidRPr="00D8177F">
        <w:rPr>
          <w:sz w:val="24"/>
          <w:szCs w:val="24"/>
          <w:lang w:val="es-MX"/>
        </w:rPr>
        <w:t xml:space="preserve"> neta en tercer ciclo (7mo a 9no grado) en Honduras es inferior al 50 por ciento</w:t>
      </w:r>
      <w:r w:rsidRPr="00D8177F">
        <w:rPr>
          <w:sz w:val="24"/>
          <w:szCs w:val="24"/>
          <w:lang w:val="es-MX"/>
        </w:rPr>
        <w:t>. Los datos de la Encues</w:t>
      </w:r>
      <w:r w:rsidR="00967D06" w:rsidRPr="00D8177F">
        <w:rPr>
          <w:sz w:val="24"/>
          <w:szCs w:val="24"/>
          <w:lang w:val="es-MX"/>
        </w:rPr>
        <w:t xml:space="preserve">tas de Hogares y la Secretaría de Educación (SE) muestran que los problemas de matrícula son mayores en zonas rurales y en particular en los departamentos del occidente del país.  </w:t>
      </w:r>
    </w:p>
    <w:tbl>
      <w:tblPr>
        <w:tblStyle w:val="TableGrid"/>
        <w:tblW w:w="0" w:type="auto"/>
        <w:tblLook w:val="04A0" w:firstRow="1" w:lastRow="0" w:firstColumn="1" w:lastColumn="0" w:noHBand="0" w:noVBand="1"/>
      </w:tblPr>
      <w:tblGrid>
        <w:gridCol w:w="4788"/>
        <w:gridCol w:w="4788"/>
      </w:tblGrid>
      <w:tr w:rsidR="00314840" w:rsidRPr="003B6E39" w14:paraId="5066EDC1" w14:textId="77777777" w:rsidTr="00314840">
        <w:tc>
          <w:tcPr>
            <w:tcW w:w="4788" w:type="dxa"/>
          </w:tcPr>
          <w:p w14:paraId="5237C9E9" w14:textId="77777777" w:rsidR="00706E0A" w:rsidRDefault="00706E0A" w:rsidP="00706E0A">
            <w:pPr>
              <w:jc w:val="center"/>
              <w:rPr>
                <w:b/>
                <w:bCs/>
              </w:rPr>
            </w:pPr>
            <w:r>
              <w:rPr>
                <w:b/>
                <w:bCs/>
              </w:rPr>
              <w:t>FIGURA 1</w:t>
            </w:r>
          </w:p>
          <w:p w14:paraId="4149C703" w14:textId="77777777" w:rsidR="00706E0A" w:rsidRDefault="00706E0A" w:rsidP="00706E0A">
            <w:pPr>
              <w:jc w:val="center"/>
              <w:rPr>
                <w:b/>
                <w:bCs/>
              </w:rPr>
            </w:pPr>
            <w:r>
              <w:rPr>
                <w:b/>
                <w:bCs/>
              </w:rPr>
              <w:t>TASAS DE CULMINACION DE PRIMARIA Y SECUNDARIA</w:t>
            </w:r>
          </w:p>
          <w:p w14:paraId="46648FFD" w14:textId="77777777" w:rsidR="00314840" w:rsidRDefault="00706E0A" w:rsidP="00706E0A">
            <w:pPr>
              <w:jc w:val="center"/>
              <w:rPr>
                <w:lang w:val="es-ES_tradnl"/>
              </w:rPr>
            </w:pPr>
            <w:r>
              <w:rPr>
                <w:b/>
                <w:bCs/>
              </w:rPr>
              <w:t>(1950-2010 – POBLACI’ON 20-29 A’NOS</w:t>
            </w:r>
            <w:r w:rsidRPr="005E4838">
              <w:rPr>
                <w:b/>
                <w:bCs/>
              </w:rPr>
              <w:t>)</w:t>
            </w:r>
          </w:p>
        </w:tc>
        <w:tc>
          <w:tcPr>
            <w:tcW w:w="4788" w:type="dxa"/>
          </w:tcPr>
          <w:p w14:paraId="1AF4A4D8" w14:textId="77777777" w:rsidR="00314840" w:rsidRPr="00706E0A" w:rsidRDefault="00706E0A" w:rsidP="00706E0A">
            <w:pPr>
              <w:jc w:val="center"/>
              <w:rPr>
                <w:b/>
                <w:lang w:val="es-ES_tradnl"/>
              </w:rPr>
            </w:pPr>
            <w:r w:rsidRPr="00706E0A">
              <w:rPr>
                <w:b/>
                <w:lang w:val="es-ES_tradnl"/>
              </w:rPr>
              <w:t>FIGURA 2</w:t>
            </w:r>
          </w:p>
          <w:p w14:paraId="3664B455" w14:textId="77777777" w:rsidR="00706E0A" w:rsidRDefault="00706E0A" w:rsidP="00706E0A">
            <w:pPr>
              <w:jc w:val="center"/>
              <w:rPr>
                <w:lang w:val="es-ES_tradnl"/>
              </w:rPr>
            </w:pPr>
            <w:r w:rsidRPr="00706E0A">
              <w:rPr>
                <w:b/>
                <w:lang w:val="es-ES_tradnl"/>
              </w:rPr>
              <w:t>LOGRO EDUCATIVO EN CENTRO AMERICA - 2010</w:t>
            </w:r>
          </w:p>
        </w:tc>
      </w:tr>
      <w:tr w:rsidR="00314840" w14:paraId="6725AE1D" w14:textId="77777777" w:rsidTr="00314840">
        <w:tc>
          <w:tcPr>
            <w:tcW w:w="4788" w:type="dxa"/>
          </w:tcPr>
          <w:p w14:paraId="17BBECE4" w14:textId="77777777" w:rsidR="00314840" w:rsidRDefault="00706E0A" w:rsidP="00314840">
            <w:pPr>
              <w:rPr>
                <w:lang w:val="es-ES_tradnl"/>
              </w:rPr>
            </w:pPr>
            <w:r w:rsidRPr="005E4838">
              <w:rPr>
                <w:b/>
                <w:noProof/>
              </w:rPr>
              <w:drawing>
                <wp:inline distT="0" distB="0" distL="0" distR="0" wp14:anchorId="2FDC72B9" wp14:editId="3729FB66">
                  <wp:extent cx="2857500" cy="2032000"/>
                  <wp:effectExtent l="0" t="0" r="0"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788" w:type="dxa"/>
          </w:tcPr>
          <w:p w14:paraId="1F7BB043" w14:textId="77777777" w:rsidR="00314840" w:rsidRDefault="00706E0A" w:rsidP="00314840">
            <w:pPr>
              <w:rPr>
                <w:lang w:val="es-ES_tradnl"/>
              </w:rPr>
            </w:pPr>
            <w:r>
              <w:rPr>
                <w:noProof/>
              </w:rPr>
              <w:drawing>
                <wp:inline distT="0" distB="0" distL="0" distR="0" wp14:anchorId="609E49E0" wp14:editId="3384FDB4">
                  <wp:extent cx="2830025" cy="2276288"/>
                  <wp:effectExtent l="0" t="0" r="0" b="0"/>
                  <wp:docPr id="4"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0025" cy="2276288"/>
                          </a:xfrm>
                          <a:prstGeom prst="rect">
                            <a:avLst/>
                          </a:prstGeom>
                          <a:noFill/>
                          <a:ln>
                            <a:noFill/>
                          </a:ln>
                        </pic:spPr>
                      </pic:pic>
                    </a:graphicData>
                  </a:graphic>
                </wp:inline>
              </w:drawing>
            </w:r>
          </w:p>
        </w:tc>
      </w:tr>
    </w:tbl>
    <w:p w14:paraId="2B957C15" w14:textId="77777777" w:rsidR="005E0397" w:rsidRPr="00D8177F" w:rsidRDefault="00BE6B51" w:rsidP="00D8177F">
      <w:pPr>
        <w:rPr>
          <w:lang w:val="es-ES_tradnl"/>
        </w:rPr>
      </w:pPr>
      <w:r>
        <w:rPr>
          <w:lang w:val="es-ES_tradnl"/>
        </w:rPr>
        <w:t>Fuente: Barro-Lee 2010.</w:t>
      </w:r>
    </w:p>
    <w:p w14:paraId="20C5FA89" w14:textId="77777777" w:rsidR="00D8177F" w:rsidRDefault="00E5191E" w:rsidP="001D095E">
      <w:pPr>
        <w:pStyle w:val="ListParagraph"/>
        <w:numPr>
          <w:ilvl w:val="0"/>
          <w:numId w:val="1"/>
        </w:numPr>
        <w:jc w:val="both"/>
        <w:rPr>
          <w:sz w:val="24"/>
          <w:szCs w:val="24"/>
          <w:lang w:val="es-ES_tradnl"/>
        </w:rPr>
      </w:pPr>
      <w:r>
        <w:rPr>
          <w:sz w:val="24"/>
          <w:szCs w:val="24"/>
          <w:lang w:val="es-ES_tradnl"/>
        </w:rPr>
        <w:t>Los problemas de logro educativos son heterogéneos</w:t>
      </w:r>
      <w:r w:rsidR="001D095E">
        <w:rPr>
          <w:sz w:val="24"/>
          <w:szCs w:val="24"/>
          <w:lang w:val="es-ES_tradnl"/>
        </w:rPr>
        <w:t xml:space="preserve"> entre zonas urbanas y rurales, y entre departamentos</w:t>
      </w:r>
      <w:r>
        <w:rPr>
          <w:sz w:val="24"/>
          <w:szCs w:val="24"/>
          <w:lang w:val="es-ES_tradnl"/>
        </w:rPr>
        <w:t xml:space="preserve">. Los </w:t>
      </w:r>
      <w:r w:rsidR="001D095E">
        <w:rPr>
          <w:sz w:val="24"/>
          <w:szCs w:val="24"/>
          <w:lang w:val="es-ES_tradnl"/>
        </w:rPr>
        <w:t xml:space="preserve">departamentos con </w:t>
      </w:r>
      <w:r>
        <w:rPr>
          <w:sz w:val="24"/>
          <w:szCs w:val="24"/>
          <w:lang w:val="es-ES_tradnl"/>
        </w:rPr>
        <w:t>mayores logros en términos de acceso al tercer ciclo, con niveles cercanos al 70 por ciento, son Cortez y Francisco Morazán, departamento</w:t>
      </w:r>
      <w:r w:rsidR="002653BB">
        <w:rPr>
          <w:sz w:val="24"/>
          <w:szCs w:val="24"/>
          <w:lang w:val="es-ES_tradnl"/>
        </w:rPr>
        <w:t>s con los importantes centros</w:t>
      </w:r>
      <w:r>
        <w:rPr>
          <w:sz w:val="24"/>
          <w:szCs w:val="24"/>
          <w:lang w:val="es-ES_tradnl"/>
        </w:rPr>
        <w:t xml:space="preserve"> urbanos de San Pedro de Sula y Tegucigalpa, respectivamente.  </w:t>
      </w:r>
      <w:r w:rsidR="00D8177F" w:rsidRPr="00D8177F">
        <w:rPr>
          <w:sz w:val="24"/>
          <w:szCs w:val="24"/>
          <w:lang w:val="es-ES_tradnl"/>
        </w:rPr>
        <w:t xml:space="preserve">Los problemas de matrícula son mayores en la zona de occidente (departamentos de Intibuca, La Paz, Lempira, Ocotopeque, </w:t>
      </w:r>
      <w:r w:rsidR="004F1AAA">
        <w:rPr>
          <w:sz w:val="24"/>
          <w:szCs w:val="24"/>
          <w:lang w:val="es-ES_tradnl"/>
        </w:rPr>
        <w:t xml:space="preserve">Santa Barbara </w:t>
      </w:r>
      <w:r w:rsidR="00D8177F" w:rsidRPr="00D8177F">
        <w:rPr>
          <w:sz w:val="24"/>
          <w:szCs w:val="24"/>
          <w:lang w:val="es-ES_tradnl"/>
        </w:rPr>
        <w:t>y Santa Rosa de Copan)</w:t>
      </w:r>
      <w:r w:rsidR="00C2562B">
        <w:rPr>
          <w:sz w:val="24"/>
          <w:szCs w:val="24"/>
          <w:lang w:val="es-ES_tradnl"/>
        </w:rPr>
        <w:t xml:space="preserve">, departamentos con mayores tasas de pobreza y alta población </w:t>
      </w:r>
      <w:r w:rsidR="00C2562B">
        <w:rPr>
          <w:sz w:val="24"/>
          <w:szCs w:val="24"/>
          <w:lang w:val="es-ES_tradnl"/>
        </w:rPr>
        <w:lastRenderedPageBreak/>
        <w:t>indígena</w:t>
      </w:r>
      <w:r w:rsidR="00D8177F" w:rsidRPr="00D8177F">
        <w:rPr>
          <w:sz w:val="24"/>
          <w:szCs w:val="24"/>
          <w:lang w:val="es-ES_tradnl"/>
        </w:rPr>
        <w:t>. E</w:t>
      </w:r>
      <w:r w:rsidR="00C2562B">
        <w:rPr>
          <w:sz w:val="24"/>
          <w:szCs w:val="24"/>
          <w:lang w:val="es-ES_tradnl"/>
        </w:rPr>
        <w:t>n dichos departamentos aproximadamente un 80</w:t>
      </w:r>
      <w:r w:rsidR="00D8177F" w:rsidRPr="00D8177F">
        <w:rPr>
          <w:sz w:val="24"/>
          <w:szCs w:val="24"/>
          <w:lang w:val="es-ES_tradnl"/>
        </w:rPr>
        <w:t xml:space="preserve"> por ciento de la población termina sexto grado (versus </w:t>
      </w:r>
      <w:r w:rsidR="00C2562B">
        <w:rPr>
          <w:sz w:val="24"/>
          <w:szCs w:val="24"/>
          <w:lang w:val="es-ES_tradnl"/>
        </w:rPr>
        <w:t>un 87 a nivel nacional), y un 38</w:t>
      </w:r>
      <w:r w:rsidR="00D8177F" w:rsidRPr="00D8177F">
        <w:rPr>
          <w:sz w:val="24"/>
          <w:szCs w:val="24"/>
          <w:lang w:val="es-ES_tradnl"/>
        </w:rPr>
        <w:t xml:space="preserve"> por ciento termina el tercer ciclo (54 por ciento a nivel nacional).</w:t>
      </w:r>
      <w:r w:rsidR="002653BB">
        <w:rPr>
          <w:sz w:val="24"/>
          <w:szCs w:val="24"/>
          <w:lang w:val="es-ES_tradnl"/>
        </w:rPr>
        <w:t xml:space="preserve"> Las tasas de acceso a tercer ciclo son reducidas, con promedios inferiores a </w:t>
      </w:r>
      <w:r w:rsidR="008110B4">
        <w:rPr>
          <w:sz w:val="24"/>
          <w:szCs w:val="24"/>
          <w:lang w:val="es-ES_tradnl"/>
        </w:rPr>
        <w:t xml:space="preserve">50 y </w:t>
      </w:r>
      <w:r w:rsidR="002653BB">
        <w:rPr>
          <w:sz w:val="24"/>
          <w:szCs w:val="24"/>
          <w:lang w:val="es-ES_tradnl"/>
        </w:rPr>
        <w:t>60 por ciento, con retos mayores a nivel de municipios y aldeas. (ver Mapa 1).</w:t>
      </w:r>
    </w:p>
    <w:p w14:paraId="6629297E" w14:textId="77777777" w:rsidR="002653BB" w:rsidRDefault="002653BB" w:rsidP="001D095E">
      <w:pPr>
        <w:pStyle w:val="ListParagraph"/>
        <w:jc w:val="both"/>
        <w:rPr>
          <w:sz w:val="24"/>
          <w:szCs w:val="24"/>
          <w:lang w:val="es-ES_tradnl"/>
        </w:rPr>
      </w:pPr>
    </w:p>
    <w:p w14:paraId="5429AACD" w14:textId="77777777" w:rsidR="002653BB" w:rsidRPr="002653BB" w:rsidRDefault="002653BB" w:rsidP="002653BB">
      <w:pPr>
        <w:pStyle w:val="ListParagraph"/>
        <w:jc w:val="center"/>
        <w:rPr>
          <w:b/>
          <w:sz w:val="24"/>
          <w:szCs w:val="24"/>
          <w:lang w:val="es-ES_tradnl"/>
        </w:rPr>
      </w:pPr>
      <w:r w:rsidRPr="002653BB">
        <w:rPr>
          <w:b/>
          <w:sz w:val="24"/>
          <w:szCs w:val="24"/>
          <w:lang w:val="es-ES_tradnl"/>
        </w:rPr>
        <w:t>MAPA 1</w:t>
      </w:r>
    </w:p>
    <w:p w14:paraId="5D8A671E" w14:textId="77777777" w:rsidR="00D8177F" w:rsidRPr="00D8177F" w:rsidRDefault="00D8177F" w:rsidP="00D8177F">
      <w:pPr>
        <w:pStyle w:val="ListParagraph"/>
        <w:rPr>
          <w:lang w:val="es-ES_tradnl"/>
        </w:rPr>
      </w:pPr>
    </w:p>
    <w:p w14:paraId="21A2D247" w14:textId="77777777" w:rsidR="00706E0A" w:rsidRPr="00706E0A" w:rsidRDefault="00706E0A" w:rsidP="00706E0A">
      <w:pPr>
        <w:pStyle w:val="ListParagraph"/>
        <w:jc w:val="center"/>
        <w:rPr>
          <w:lang w:val="es-ES_tradnl"/>
        </w:rPr>
      </w:pPr>
      <w:r>
        <w:rPr>
          <w:noProof/>
        </w:rPr>
        <w:drawing>
          <wp:inline distT="0" distB="0" distL="0" distR="0" wp14:anchorId="1005A860" wp14:editId="44193760">
            <wp:extent cx="6090699" cy="5316860"/>
            <wp:effectExtent l="0" t="438150" r="0" b="4362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9966" cy="5316220"/>
                    </a:xfrm>
                    <a:prstGeom prst="rect">
                      <a:avLst/>
                    </a:prstGeom>
                    <a:noFill/>
                    <a:scene3d>
                      <a:camera prst="orthographicFront">
                        <a:rot lat="0" lon="0" rev="5400000"/>
                      </a:camera>
                      <a:lightRig rig="threePt" dir="t"/>
                    </a:scene3d>
                  </pic:spPr>
                </pic:pic>
              </a:graphicData>
            </a:graphic>
          </wp:inline>
        </w:drawing>
      </w:r>
    </w:p>
    <w:p w14:paraId="7E69A23D" w14:textId="77777777" w:rsidR="00706E0A" w:rsidRDefault="00706E0A" w:rsidP="00706E0A">
      <w:pPr>
        <w:pStyle w:val="ListParagraph"/>
        <w:rPr>
          <w:lang w:val="es-ES_tradnl"/>
        </w:rPr>
      </w:pPr>
    </w:p>
    <w:p w14:paraId="3582040F" w14:textId="77777777" w:rsidR="00706E0A" w:rsidRPr="00706E0A" w:rsidRDefault="00706E0A" w:rsidP="00706E0A">
      <w:pPr>
        <w:pStyle w:val="ListParagraph"/>
        <w:rPr>
          <w:lang w:val="es-ES_tradnl"/>
        </w:rPr>
      </w:pPr>
    </w:p>
    <w:p w14:paraId="57E27DB4" w14:textId="77777777" w:rsidR="002653BB" w:rsidRPr="00D8177F" w:rsidRDefault="002653BB" w:rsidP="002653BB">
      <w:pPr>
        <w:pStyle w:val="ListParagraph"/>
        <w:rPr>
          <w:lang w:val="es-ES_tradnl"/>
        </w:rPr>
      </w:pPr>
    </w:p>
    <w:p w14:paraId="26FD3C75" w14:textId="77777777" w:rsidR="002653BB" w:rsidRPr="00024A37" w:rsidRDefault="002653BB" w:rsidP="007D370D">
      <w:pPr>
        <w:pStyle w:val="ListParagraph"/>
        <w:numPr>
          <w:ilvl w:val="0"/>
          <w:numId w:val="1"/>
        </w:numPr>
        <w:jc w:val="both"/>
        <w:rPr>
          <w:sz w:val="24"/>
          <w:szCs w:val="24"/>
          <w:lang w:val="es-ES_tradnl"/>
        </w:rPr>
      </w:pPr>
      <w:r w:rsidRPr="00024A37">
        <w:rPr>
          <w:sz w:val="24"/>
          <w:szCs w:val="24"/>
          <w:lang w:val="es-ES_tradnl"/>
        </w:rPr>
        <w:t>Los niveles de asistencia en los diversos grado</w:t>
      </w:r>
      <w:r w:rsidR="00C2177A" w:rsidRPr="00024A37">
        <w:rPr>
          <w:sz w:val="24"/>
          <w:szCs w:val="24"/>
          <w:lang w:val="es-ES_tradnl"/>
        </w:rPr>
        <w:t>s, nos permite cuantificar la magnitud de la deserción</w:t>
      </w:r>
      <w:r w:rsidR="008110B4">
        <w:rPr>
          <w:sz w:val="24"/>
          <w:szCs w:val="24"/>
          <w:lang w:val="es-ES_tradnl"/>
        </w:rPr>
        <w:t xml:space="preserve"> en la zona priorizada</w:t>
      </w:r>
      <w:r w:rsidR="00C2177A" w:rsidRPr="00024A37">
        <w:rPr>
          <w:sz w:val="24"/>
          <w:szCs w:val="24"/>
          <w:lang w:val="es-ES_tradnl"/>
        </w:rPr>
        <w:t xml:space="preserve">. La deserción escolar entre 6to y 8avo grado se sitúa en </w:t>
      </w:r>
      <w:r w:rsidR="00C2562B">
        <w:rPr>
          <w:sz w:val="24"/>
          <w:szCs w:val="24"/>
          <w:lang w:val="es-ES_tradnl"/>
        </w:rPr>
        <w:t>niveles cercanos a los 17</w:t>
      </w:r>
      <w:r w:rsidR="00C2177A" w:rsidRPr="00024A37">
        <w:rPr>
          <w:sz w:val="24"/>
          <w:szCs w:val="24"/>
          <w:lang w:val="es-ES_tradnl"/>
        </w:rPr>
        <w:t xml:space="preserve"> mil desertores. Y los desertores entre el 3ro y 8avo grado se si</w:t>
      </w:r>
      <w:r w:rsidR="00C2562B">
        <w:rPr>
          <w:sz w:val="24"/>
          <w:szCs w:val="24"/>
          <w:lang w:val="es-ES_tradnl"/>
        </w:rPr>
        <w:t>túa en niveles cercanos a los 26</w:t>
      </w:r>
      <w:r w:rsidR="00C2177A" w:rsidRPr="00024A37">
        <w:rPr>
          <w:sz w:val="24"/>
          <w:szCs w:val="24"/>
          <w:lang w:val="es-ES_tradnl"/>
        </w:rPr>
        <w:t xml:space="preserve"> mil desertores</w:t>
      </w:r>
      <w:r w:rsidR="00C2177A" w:rsidRPr="00024A37">
        <w:rPr>
          <w:rStyle w:val="FootnoteReference"/>
          <w:sz w:val="24"/>
          <w:szCs w:val="24"/>
          <w:lang w:val="es-ES_tradnl"/>
        </w:rPr>
        <w:footnoteReference w:id="1"/>
      </w:r>
      <w:r w:rsidR="00C2177A" w:rsidRPr="00024A37">
        <w:rPr>
          <w:sz w:val="24"/>
          <w:szCs w:val="24"/>
          <w:lang w:val="es-ES_tradnl"/>
        </w:rPr>
        <w:t xml:space="preserve"> (Ver Figura 3).</w:t>
      </w:r>
    </w:p>
    <w:p w14:paraId="5C0514B7" w14:textId="77777777" w:rsidR="002653BB" w:rsidRPr="00314840" w:rsidRDefault="002653BB" w:rsidP="002653BB">
      <w:pPr>
        <w:pStyle w:val="ListParagraph"/>
        <w:rPr>
          <w:lang w:val="es-ES_tradnl"/>
        </w:rPr>
      </w:pPr>
    </w:p>
    <w:p w14:paraId="49F8A3DF" w14:textId="77777777" w:rsidR="00C2177A" w:rsidRDefault="00C2177A" w:rsidP="00C2177A">
      <w:pPr>
        <w:pStyle w:val="ListParagraph"/>
        <w:spacing w:after="0" w:line="240" w:lineRule="auto"/>
        <w:jc w:val="center"/>
        <w:rPr>
          <w:b/>
          <w:bCs/>
        </w:rPr>
      </w:pPr>
      <w:r>
        <w:rPr>
          <w:b/>
          <w:bCs/>
        </w:rPr>
        <w:t>FIGURA 3</w:t>
      </w:r>
    </w:p>
    <w:p w14:paraId="62B3715C" w14:textId="77777777" w:rsidR="002653BB" w:rsidRPr="00C2177A" w:rsidRDefault="002653BB" w:rsidP="00C2177A">
      <w:pPr>
        <w:pStyle w:val="ListParagraph"/>
        <w:spacing w:after="0" w:line="240" w:lineRule="auto"/>
        <w:jc w:val="center"/>
        <w:rPr>
          <w:b/>
        </w:rPr>
      </w:pPr>
      <w:r w:rsidRPr="002653BB">
        <w:rPr>
          <w:b/>
          <w:bCs/>
        </w:rPr>
        <w:t>NIVELES DE MATRICULA POR GRADO – ZONA PRIORIZADA</w:t>
      </w:r>
    </w:p>
    <w:p w14:paraId="1910BDFA" w14:textId="77777777" w:rsidR="002653BB" w:rsidRPr="00C2177A" w:rsidRDefault="002653BB" w:rsidP="00C2177A">
      <w:pPr>
        <w:ind w:left="360"/>
        <w:jc w:val="center"/>
        <w:rPr>
          <w:lang w:val="es-ES_tradnl"/>
        </w:rPr>
      </w:pPr>
      <w:r w:rsidRPr="005E4838">
        <w:rPr>
          <w:noProof/>
        </w:rPr>
        <w:drawing>
          <wp:inline distT="0" distB="0" distL="0" distR="0" wp14:anchorId="166E492D" wp14:editId="1FF9FB06">
            <wp:extent cx="3864334" cy="2083242"/>
            <wp:effectExtent l="0" t="0" r="22225"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254D459" w14:textId="77777777" w:rsidR="007D370D" w:rsidRPr="007D370D" w:rsidRDefault="007D370D" w:rsidP="007D370D">
      <w:pPr>
        <w:rPr>
          <w:lang w:val="es-ES_tradnl"/>
        </w:rPr>
      </w:pPr>
    </w:p>
    <w:p w14:paraId="7B631A78" w14:textId="77777777" w:rsidR="007D370D" w:rsidRPr="002653BB" w:rsidRDefault="007D370D" w:rsidP="002653BB">
      <w:pPr>
        <w:pStyle w:val="ListParagraph"/>
        <w:rPr>
          <w:lang w:val="es-ES_tradnl"/>
        </w:rPr>
      </w:pPr>
    </w:p>
    <w:p w14:paraId="23FB5A04" w14:textId="77777777" w:rsidR="00C2562B" w:rsidRPr="00C2562B" w:rsidRDefault="00843784" w:rsidP="00BE6B51">
      <w:pPr>
        <w:pStyle w:val="ListParagraph"/>
        <w:numPr>
          <w:ilvl w:val="0"/>
          <w:numId w:val="1"/>
        </w:numPr>
        <w:jc w:val="both"/>
        <w:rPr>
          <w:lang w:val="es-ES_tradnl"/>
        </w:rPr>
      </w:pPr>
      <w:r>
        <w:rPr>
          <w:lang w:val="es-ES_tradnl"/>
        </w:rPr>
        <w:t xml:space="preserve">La participación femenina en el sistema educativo en las zonas priorizadas es similar al total nacional, con porcentajes cercanos al 50 por ciento. Cabe anotar que en el último ano de tercer ciclo, las tasas de matrícula en el sistema educativo de estudiantes femeninas en la zona priorizada es 51 por ciento, menor al 53 por ciento a nivel nacional, lo que reflejaría una mayor equidad de género en las escuelas de la zonas priorizadas (ver Figura 2). </w:t>
      </w:r>
    </w:p>
    <w:p w14:paraId="7CB91EFF" w14:textId="77777777" w:rsidR="00C2562B" w:rsidRPr="00C2562B" w:rsidRDefault="00C2562B" w:rsidP="00C2562B">
      <w:pPr>
        <w:pStyle w:val="ListParagraph"/>
        <w:jc w:val="both"/>
        <w:rPr>
          <w:lang w:val="es-ES_tradnl"/>
        </w:rPr>
      </w:pPr>
    </w:p>
    <w:p w14:paraId="64E70AC8" w14:textId="77777777" w:rsidR="002653BB" w:rsidRPr="000179E7" w:rsidRDefault="00C2562B" w:rsidP="00BE6B51">
      <w:pPr>
        <w:pStyle w:val="ListParagraph"/>
        <w:numPr>
          <w:ilvl w:val="0"/>
          <w:numId w:val="1"/>
        </w:numPr>
        <w:jc w:val="both"/>
        <w:rPr>
          <w:lang w:val="es-ES_tradnl"/>
        </w:rPr>
      </w:pPr>
      <w:r>
        <w:rPr>
          <w:sz w:val="24"/>
          <w:szCs w:val="24"/>
          <w:lang w:val="es-ES_tradnl"/>
        </w:rPr>
        <w:t>La</w:t>
      </w:r>
      <w:r w:rsidR="000179E7" w:rsidRPr="000179E7">
        <w:rPr>
          <w:sz w:val="24"/>
          <w:szCs w:val="24"/>
          <w:lang w:val="es-ES_tradnl"/>
        </w:rPr>
        <w:t xml:space="preserve"> SE ha establecido una estrategia para cerrar las brechas de oferta que </w:t>
      </w:r>
      <w:r w:rsidR="008110B4">
        <w:rPr>
          <w:sz w:val="24"/>
          <w:szCs w:val="24"/>
          <w:lang w:val="es-ES_tradnl"/>
        </w:rPr>
        <w:t>motivan la deserción</w:t>
      </w:r>
      <w:r w:rsidR="000179E7" w:rsidRPr="000179E7">
        <w:rPr>
          <w:sz w:val="24"/>
          <w:szCs w:val="24"/>
          <w:lang w:val="es-ES_tradnl"/>
        </w:rPr>
        <w:t>. Para ello se baso en:</w:t>
      </w:r>
      <w:r w:rsidR="002653BB" w:rsidRPr="000179E7">
        <w:rPr>
          <w:sz w:val="24"/>
          <w:szCs w:val="24"/>
          <w:lang w:val="es-MX"/>
        </w:rPr>
        <w:t xml:space="preserve"> (i)  la Ley Fundamental de Educación (LFE), (ii) el Plan de Educación para Todos 2003-2015 (Plan EFA), (iii) las metas del Plan de Gobierno 2014-2018 y (iv)  el marco de la correspons</w:t>
      </w:r>
      <w:r w:rsidR="000179E7" w:rsidRPr="000179E7">
        <w:rPr>
          <w:sz w:val="24"/>
          <w:szCs w:val="24"/>
          <w:lang w:val="es-MX"/>
        </w:rPr>
        <w:t xml:space="preserve">abilidad propio de la SE. Adicionalmente, la SE ha emprendido iniciativas para mejorar la calidad educativa en zonas rurales, las que podrían </w:t>
      </w:r>
      <w:r w:rsidR="000179E7">
        <w:rPr>
          <w:sz w:val="24"/>
          <w:szCs w:val="24"/>
          <w:lang w:val="es-MX"/>
        </w:rPr>
        <w:t xml:space="preserve">aumentar la permanencia en el sistema educativo de los estudiantes. </w:t>
      </w:r>
      <w:r w:rsidR="002653BB" w:rsidRPr="000179E7">
        <w:rPr>
          <w:sz w:val="24"/>
          <w:szCs w:val="24"/>
          <w:lang w:val="es-MX"/>
        </w:rPr>
        <w:t xml:space="preserve"> </w:t>
      </w:r>
    </w:p>
    <w:p w14:paraId="0E957519" w14:textId="77777777" w:rsidR="002653BB" w:rsidRDefault="002653BB" w:rsidP="000179E7">
      <w:pPr>
        <w:pStyle w:val="ListParagraph"/>
        <w:rPr>
          <w:lang w:val="es-ES_tradnl"/>
        </w:rPr>
      </w:pPr>
    </w:p>
    <w:p w14:paraId="16B9FCC7" w14:textId="77777777" w:rsidR="000179E7" w:rsidRPr="000179E7" w:rsidRDefault="000179E7" w:rsidP="000179E7">
      <w:pPr>
        <w:rPr>
          <w:b/>
          <w:lang w:val="es-ES_tradnl"/>
        </w:rPr>
      </w:pPr>
      <w:r w:rsidRPr="000179E7">
        <w:rPr>
          <w:b/>
          <w:lang w:val="es-ES_tradnl"/>
        </w:rPr>
        <w:lastRenderedPageBreak/>
        <w:t>ESTRATEGIA DE LA SECRETARIA DE EDUCACION</w:t>
      </w:r>
    </w:p>
    <w:p w14:paraId="782316B6" w14:textId="77777777" w:rsidR="000179E7" w:rsidRDefault="000179E7" w:rsidP="000179E7">
      <w:pPr>
        <w:pStyle w:val="ListParagraph"/>
        <w:numPr>
          <w:ilvl w:val="0"/>
          <w:numId w:val="1"/>
        </w:numPr>
        <w:spacing w:before="120" w:after="0" w:line="240" w:lineRule="auto"/>
        <w:jc w:val="both"/>
        <w:rPr>
          <w:sz w:val="24"/>
          <w:szCs w:val="24"/>
          <w:lang w:val="es-ES"/>
        </w:rPr>
      </w:pPr>
      <w:r w:rsidRPr="000179E7">
        <w:rPr>
          <w:sz w:val="24"/>
          <w:szCs w:val="24"/>
          <w:lang w:val="es-ES"/>
        </w:rPr>
        <w:t>El país</w:t>
      </w:r>
      <w:r w:rsidR="00182A08">
        <w:rPr>
          <w:sz w:val="24"/>
          <w:szCs w:val="24"/>
          <w:lang w:val="es-ES"/>
        </w:rPr>
        <w:t>, y en particular, la SE, ha demostra</w:t>
      </w:r>
      <w:r w:rsidRPr="000179E7">
        <w:rPr>
          <w:sz w:val="24"/>
          <w:szCs w:val="24"/>
          <w:lang w:val="es-ES"/>
        </w:rPr>
        <w:t>do un avance muy importante en la cobertura y e</w:t>
      </w:r>
      <w:r w:rsidR="00843784">
        <w:rPr>
          <w:sz w:val="24"/>
          <w:szCs w:val="24"/>
          <w:lang w:val="es-ES"/>
        </w:rPr>
        <w:t>ficiencia de la educación primaria</w:t>
      </w:r>
      <w:r w:rsidRPr="000179E7">
        <w:rPr>
          <w:sz w:val="24"/>
          <w:szCs w:val="24"/>
          <w:lang w:val="es-ES"/>
        </w:rPr>
        <w:t xml:space="preserve"> </w:t>
      </w:r>
      <w:r w:rsidR="00843784">
        <w:rPr>
          <w:sz w:val="24"/>
          <w:szCs w:val="24"/>
          <w:lang w:val="es-ES"/>
        </w:rPr>
        <w:t>(</w:t>
      </w:r>
      <w:r w:rsidRPr="000179E7">
        <w:rPr>
          <w:sz w:val="24"/>
          <w:szCs w:val="24"/>
          <w:lang w:val="es-ES"/>
        </w:rPr>
        <w:t>hasta sexto grado</w:t>
      </w:r>
      <w:r w:rsidR="00843784">
        <w:rPr>
          <w:sz w:val="24"/>
          <w:szCs w:val="24"/>
          <w:lang w:val="es-ES"/>
        </w:rPr>
        <w:t>)</w:t>
      </w:r>
      <w:r w:rsidRPr="000179E7">
        <w:rPr>
          <w:sz w:val="24"/>
          <w:szCs w:val="24"/>
          <w:lang w:val="es-ES"/>
        </w:rPr>
        <w:t>.</w:t>
      </w:r>
      <w:r w:rsidR="008110B4">
        <w:rPr>
          <w:sz w:val="24"/>
          <w:szCs w:val="24"/>
          <w:lang w:val="es-ES"/>
        </w:rPr>
        <w:t xml:space="preserve"> D</w:t>
      </w:r>
      <w:r w:rsidRPr="000179E7">
        <w:rPr>
          <w:sz w:val="24"/>
          <w:szCs w:val="24"/>
          <w:lang w:val="es-ES"/>
        </w:rPr>
        <w:t xml:space="preserve">ebido a las características del terreno y dispersión geográfica de las </w:t>
      </w:r>
      <w:r w:rsidR="00182A08">
        <w:rPr>
          <w:sz w:val="24"/>
          <w:szCs w:val="24"/>
          <w:lang w:val="es-ES"/>
        </w:rPr>
        <w:t>comunidades, aldeas y viviendas, la expansión de la cobertura en primaria ha requerido que</w:t>
      </w:r>
      <w:r w:rsidRPr="000179E7">
        <w:rPr>
          <w:sz w:val="24"/>
          <w:szCs w:val="24"/>
          <w:lang w:val="es-ES"/>
        </w:rPr>
        <w:t xml:space="preserve">  la mayoría de los centros educativo</w:t>
      </w:r>
      <w:r w:rsidR="008110B4">
        <w:rPr>
          <w:sz w:val="24"/>
          <w:szCs w:val="24"/>
          <w:lang w:val="es-ES"/>
        </w:rPr>
        <w:t>s públicos de nivel primario sean</w:t>
      </w:r>
      <w:r w:rsidR="002251BB">
        <w:rPr>
          <w:sz w:val="24"/>
          <w:szCs w:val="24"/>
          <w:lang w:val="es-ES"/>
        </w:rPr>
        <w:t xml:space="preserve"> Unidocentes y Bidocentes</w:t>
      </w:r>
      <w:r w:rsidRPr="000179E7">
        <w:rPr>
          <w:sz w:val="24"/>
          <w:szCs w:val="24"/>
          <w:lang w:val="es-ES"/>
        </w:rPr>
        <w:t xml:space="preserve">. </w:t>
      </w:r>
      <w:r w:rsidR="00182A08">
        <w:rPr>
          <w:sz w:val="24"/>
          <w:szCs w:val="24"/>
          <w:lang w:val="es-ES"/>
        </w:rPr>
        <w:t>Por otro lado, l</w:t>
      </w:r>
      <w:r w:rsidRPr="000179E7">
        <w:rPr>
          <w:sz w:val="24"/>
          <w:szCs w:val="24"/>
          <w:lang w:val="es-ES"/>
        </w:rPr>
        <w:t>a</w:t>
      </w:r>
      <w:r w:rsidR="008110B4">
        <w:rPr>
          <w:sz w:val="24"/>
          <w:szCs w:val="24"/>
          <w:lang w:val="es-ES"/>
        </w:rPr>
        <w:t xml:space="preserve"> estrategia de</w:t>
      </w:r>
      <w:r w:rsidRPr="000179E7">
        <w:rPr>
          <w:sz w:val="24"/>
          <w:szCs w:val="24"/>
          <w:lang w:val="es-ES"/>
        </w:rPr>
        <w:t xml:space="preserve"> provisión tradicional de tercer ciclo </w:t>
      </w:r>
      <w:r w:rsidR="008110B4">
        <w:rPr>
          <w:sz w:val="24"/>
          <w:szCs w:val="24"/>
          <w:lang w:val="es-ES"/>
        </w:rPr>
        <w:t>parte</w:t>
      </w:r>
      <w:r w:rsidRPr="000179E7">
        <w:rPr>
          <w:sz w:val="24"/>
          <w:szCs w:val="24"/>
          <w:lang w:val="es-ES"/>
        </w:rPr>
        <w:t xml:space="preserve"> del supuesto que, si bien los alumnos viven en contextos dispersos, la mayor edad les permitía viajar distancias mayores hacia</w:t>
      </w:r>
      <w:r w:rsidR="008110B4">
        <w:rPr>
          <w:sz w:val="24"/>
          <w:szCs w:val="24"/>
          <w:lang w:val="es-ES"/>
        </w:rPr>
        <w:t xml:space="preserve"> centro educativos de mayor tamaño, denominados </w:t>
      </w:r>
      <w:r w:rsidRPr="000179E7">
        <w:rPr>
          <w:sz w:val="24"/>
          <w:szCs w:val="24"/>
          <w:lang w:val="es-ES"/>
        </w:rPr>
        <w:t>Centros</w:t>
      </w:r>
      <w:r w:rsidR="008110B4">
        <w:rPr>
          <w:sz w:val="24"/>
          <w:szCs w:val="24"/>
          <w:lang w:val="es-ES"/>
        </w:rPr>
        <w:t xml:space="preserve"> Básicos</w:t>
      </w:r>
      <w:r w:rsidRPr="000179E7">
        <w:rPr>
          <w:sz w:val="24"/>
          <w:szCs w:val="24"/>
          <w:lang w:val="es-ES"/>
        </w:rPr>
        <w:t xml:space="preserve"> </w:t>
      </w:r>
      <w:r w:rsidR="008110B4">
        <w:rPr>
          <w:sz w:val="24"/>
          <w:szCs w:val="24"/>
          <w:lang w:val="es-ES"/>
        </w:rPr>
        <w:t>o Institutos. Estos centros son</w:t>
      </w:r>
      <w:r w:rsidRPr="000179E7">
        <w:rPr>
          <w:sz w:val="24"/>
          <w:szCs w:val="24"/>
          <w:lang w:val="es-ES"/>
        </w:rPr>
        <w:t xml:space="preserve"> multidocentes y con facilidades adicionales</w:t>
      </w:r>
      <w:r w:rsidR="00E900F9">
        <w:rPr>
          <w:sz w:val="24"/>
          <w:szCs w:val="24"/>
          <w:lang w:val="es-ES"/>
        </w:rPr>
        <w:t xml:space="preserve"> a las aulas</w:t>
      </w:r>
      <w:r w:rsidRPr="000179E7">
        <w:rPr>
          <w:sz w:val="24"/>
          <w:szCs w:val="24"/>
          <w:lang w:val="es-ES"/>
        </w:rPr>
        <w:t>, como laboratorios</w:t>
      </w:r>
      <w:r w:rsidR="008110B4">
        <w:rPr>
          <w:sz w:val="24"/>
          <w:szCs w:val="24"/>
          <w:lang w:val="es-ES"/>
        </w:rPr>
        <w:t xml:space="preserve"> escolares</w:t>
      </w:r>
      <w:r w:rsidRPr="000179E7">
        <w:rPr>
          <w:sz w:val="24"/>
          <w:szCs w:val="24"/>
          <w:lang w:val="es-ES"/>
        </w:rPr>
        <w:t>.</w:t>
      </w:r>
      <w:r w:rsidR="002251BB">
        <w:rPr>
          <w:sz w:val="24"/>
          <w:szCs w:val="24"/>
          <w:lang w:val="es-ES"/>
        </w:rPr>
        <w:t xml:space="preserve"> Por ello, existen muchas escuelas primarias con pocos estudiantes por aula, y pocos Centros Básicos e Institutos (ver Cuadro 1).</w:t>
      </w:r>
      <w:r w:rsidRPr="000179E7">
        <w:rPr>
          <w:sz w:val="24"/>
          <w:szCs w:val="24"/>
          <w:lang w:val="es-ES"/>
        </w:rPr>
        <w:t xml:space="preserve"> No obstante ello, la dispersión de la población en ciertas zonas del país no se ajusta a dicho supuesto, dado que  las distancias son muy grandes </w:t>
      </w:r>
      <w:r w:rsidR="00E900F9">
        <w:rPr>
          <w:sz w:val="24"/>
          <w:szCs w:val="24"/>
          <w:lang w:val="es-ES"/>
        </w:rPr>
        <w:t>y/o los caminos son interrumpidos durante ciertas épocas de año por ríos. Esto genera que existan poblaciones, o conjunto de poblaciones, aisladas</w:t>
      </w:r>
      <w:r w:rsidRPr="000179E7">
        <w:rPr>
          <w:sz w:val="24"/>
          <w:szCs w:val="24"/>
          <w:lang w:val="es-ES"/>
        </w:rPr>
        <w:t xml:space="preserve"> </w:t>
      </w:r>
      <w:r w:rsidR="00E900F9">
        <w:rPr>
          <w:sz w:val="24"/>
          <w:szCs w:val="24"/>
          <w:lang w:val="es-ES"/>
        </w:rPr>
        <w:t>y muy pequeñas para justificar la instalación de</w:t>
      </w:r>
      <w:r w:rsidRPr="000179E7">
        <w:rPr>
          <w:sz w:val="24"/>
          <w:szCs w:val="24"/>
          <w:lang w:val="es-ES"/>
        </w:rPr>
        <w:t xml:space="preserve"> Centro Bá</w:t>
      </w:r>
      <w:r w:rsidR="002251BB">
        <w:rPr>
          <w:sz w:val="24"/>
          <w:szCs w:val="24"/>
          <w:lang w:val="es-ES"/>
        </w:rPr>
        <w:t>sico tradicional. Esto origina que muchos estudiantes no asista</w:t>
      </w:r>
      <w:r w:rsidRPr="000179E7">
        <w:rPr>
          <w:sz w:val="24"/>
          <w:szCs w:val="24"/>
          <w:lang w:val="es-ES"/>
        </w:rPr>
        <w:t>n a la escuela por falta de oferta, a pesar de que los padres de familia están interesados en apoyar a sus hijos(as) para que continúen sus estudios</w:t>
      </w:r>
      <w:r w:rsidR="002251BB">
        <w:rPr>
          <w:sz w:val="24"/>
          <w:szCs w:val="24"/>
          <w:lang w:val="es-ES"/>
        </w:rPr>
        <w:t>, y el interés de los propios estudiantes.</w:t>
      </w:r>
      <w:r w:rsidRPr="000179E7">
        <w:rPr>
          <w:sz w:val="24"/>
          <w:szCs w:val="24"/>
          <w:lang w:val="es-ES"/>
        </w:rPr>
        <w:t xml:space="preserve">  </w:t>
      </w:r>
    </w:p>
    <w:p w14:paraId="752B3BB3" w14:textId="77777777" w:rsidR="000771B5" w:rsidRDefault="000771B5" w:rsidP="000771B5">
      <w:pPr>
        <w:pStyle w:val="ListParagraph"/>
        <w:spacing w:before="120" w:after="0" w:line="240" w:lineRule="auto"/>
        <w:jc w:val="both"/>
        <w:rPr>
          <w:sz w:val="24"/>
          <w:szCs w:val="24"/>
          <w:lang w:val="es-ES"/>
        </w:rPr>
      </w:pPr>
    </w:p>
    <w:p w14:paraId="169E3E56" w14:textId="77777777" w:rsidR="00BD575F" w:rsidRDefault="00BD575F" w:rsidP="00BD575F">
      <w:pPr>
        <w:spacing w:after="0" w:line="240" w:lineRule="auto"/>
        <w:rPr>
          <w:b/>
          <w:lang w:val="es-ES"/>
        </w:rPr>
      </w:pPr>
    </w:p>
    <w:p w14:paraId="4FCA29E8" w14:textId="77777777" w:rsidR="001D095E" w:rsidRDefault="001D095E" w:rsidP="001D095E">
      <w:pPr>
        <w:spacing w:after="0" w:line="240" w:lineRule="auto"/>
        <w:jc w:val="center"/>
        <w:rPr>
          <w:b/>
          <w:lang w:val="es-ES"/>
        </w:rPr>
      </w:pPr>
      <w:r>
        <w:rPr>
          <w:b/>
          <w:lang w:val="es-ES"/>
        </w:rPr>
        <w:t>TABLA 1</w:t>
      </w:r>
    </w:p>
    <w:tbl>
      <w:tblPr>
        <w:tblW w:w="7280" w:type="dxa"/>
        <w:jc w:val="center"/>
        <w:tblCellMar>
          <w:left w:w="0" w:type="dxa"/>
          <w:right w:w="0" w:type="dxa"/>
        </w:tblCellMar>
        <w:tblLook w:val="0600" w:firstRow="0" w:lastRow="0" w:firstColumn="0" w:lastColumn="0" w:noHBand="1" w:noVBand="1"/>
      </w:tblPr>
      <w:tblGrid>
        <w:gridCol w:w="2080"/>
        <w:gridCol w:w="1300"/>
        <w:gridCol w:w="1300"/>
        <w:gridCol w:w="1300"/>
        <w:gridCol w:w="1300"/>
      </w:tblGrid>
      <w:tr w:rsidR="00BD575F" w:rsidRPr="005E0397" w14:paraId="57C17166"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19B679C2"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869BE1A"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BAEAEE1"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777D9DC"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2BEDAAE2"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064B09CA" w14:textId="77777777" w:rsidTr="00BD575F">
        <w:trPr>
          <w:trHeight w:val="280"/>
          <w:jc w:val="center"/>
        </w:trPr>
        <w:tc>
          <w:tcPr>
            <w:tcW w:w="3380" w:type="dxa"/>
            <w:gridSpan w:val="2"/>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332832F8"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b/>
                <w:bCs/>
                <w:color w:val="000000"/>
                <w:kern w:val="24"/>
              </w:rPr>
              <w:t>ESCUELAS EN ZONA PRIORIZADA</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28381090"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09E02E32"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7858EB62"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67C69003" w14:textId="77777777" w:rsidTr="00BD575F">
        <w:trPr>
          <w:trHeight w:val="280"/>
          <w:jc w:val="center"/>
        </w:trPr>
        <w:tc>
          <w:tcPr>
            <w:tcW w:w="208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07C32F2D"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65F58BF1"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PRIMARIA</w:t>
            </w: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1806780A"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PROHECO</w:t>
            </w: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4B37E928"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CEB</w:t>
            </w: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3AF86EFC"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INSTITUTO</w:t>
            </w:r>
          </w:p>
        </w:tc>
      </w:tr>
      <w:tr w:rsidR="00BD575F" w:rsidRPr="005E0397" w14:paraId="68078000" w14:textId="77777777" w:rsidTr="00BD575F">
        <w:trPr>
          <w:trHeight w:val="280"/>
          <w:jc w:val="center"/>
        </w:trPr>
        <w:tc>
          <w:tcPr>
            <w:tcW w:w="208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478FB475"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6F0ABF86"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1-6</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0A625B6A"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1-6</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7A599BFD"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1-9</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5AC238BD"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7-9</w:t>
            </w:r>
          </w:p>
        </w:tc>
      </w:tr>
      <w:tr w:rsidR="00BD575F" w:rsidRPr="005E0397" w14:paraId="2C4AEBEA" w14:textId="77777777" w:rsidTr="00BD575F">
        <w:trPr>
          <w:trHeight w:val="280"/>
          <w:jc w:val="center"/>
        </w:trPr>
        <w:tc>
          <w:tcPr>
            <w:tcW w:w="208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02C67BEF"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138D43F0"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2D7405F0"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5714980F"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4C1A696A"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220E16E3"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514932C5"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b/>
                <w:bCs/>
                <w:color w:val="000000"/>
                <w:kern w:val="24"/>
              </w:rPr>
              <w:t>Total</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02D8357"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1496</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6D1456ED"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584</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4057B663"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216</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FFCD897"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b/>
                <w:bCs/>
                <w:color w:val="000000"/>
                <w:kern w:val="24"/>
              </w:rPr>
              <w:t>98</w:t>
            </w:r>
          </w:p>
        </w:tc>
      </w:tr>
      <w:tr w:rsidR="00BD575F" w:rsidRPr="005E0397" w14:paraId="7A13D5EE"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1190CA06"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En aldeas con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AA30D8F"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749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C4C2ECB"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318</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1AC07B9"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216</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6FB12636"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98</w:t>
            </w:r>
          </w:p>
        </w:tc>
      </w:tr>
      <w:tr w:rsidR="00BD575F" w:rsidRPr="005E0397" w14:paraId="62711348"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66031673"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En aldeas sin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1F8137E2"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747</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B49A77A"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266</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13AACD03"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1A87AFD4"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0317979E"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26FDA4FF"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6BAF9D6E"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4B377A26"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2A55E0F1"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BA34EEC"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3703FBFE" w14:textId="77777777" w:rsidTr="00BD575F">
        <w:trPr>
          <w:trHeight w:val="280"/>
          <w:jc w:val="center"/>
        </w:trPr>
        <w:tc>
          <w:tcPr>
            <w:tcW w:w="3380" w:type="dxa"/>
            <w:gridSpan w:val="2"/>
            <w:tcBorders>
              <w:top w:val="nil"/>
              <w:left w:val="nil"/>
              <w:bottom w:val="nil"/>
              <w:right w:val="nil"/>
            </w:tcBorders>
            <w:shd w:val="clear" w:color="auto" w:fill="auto"/>
            <w:tcMar>
              <w:top w:w="20" w:type="dxa"/>
              <w:left w:w="20" w:type="dxa"/>
              <w:bottom w:w="0" w:type="dxa"/>
              <w:right w:w="20" w:type="dxa"/>
            </w:tcMar>
            <w:vAlign w:val="bottom"/>
            <w:hideMark/>
          </w:tcPr>
          <w:p w14:paraId="3B2040BF"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b/>
                <w:bCs/>
                <w:color w:val="000000"/>
                <w:kern w:val="24"/>
              </w:rPr>
              <w:t xml:space="preserve">Alumnos promedio por escuela </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F60A9A4"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1A58E9A6"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60083C73"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0E22A70C"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2EE70E8D"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b/>
                <w:bCs/>
                <w:i/>
                <w:iCs/>
                <w:color w:val="000000"/>
                <w:kern w:val="24"/>
              </w:rPr>
              <w:t>Tercer grado</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125F170"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7AC5B0F"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A2E3495"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29A3DB59"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5A4DC1CE"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626F364C"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Aldeas con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F82F1A0"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17</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D7C762B"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8</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6ACE30CD"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33318DE"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0726A61C"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7410EEC7"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Aldeas sin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48A52B33"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12</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3771461"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7</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A558058"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D295ECD"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7618ACF8"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70BF2628"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b/>
                <w:bCs/>
                <w:i/>
                <w:iCs/>
                <w:color w:val="000000"/>
                <w:kern w:val="24"/>
              </w:rPr>
              <w:t>Octavo grado</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027D041"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426D340A"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2724928"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256D8875" w14:textId="77777777" w:rsidR="00BD575F" w:rsidRPr="005E0397" w:rsidRDefault="00BD575F" w:rsidP="00216962">
            <w:pPr>
              <w:spacing w:after="0" w:line="240" w:lineRule="auto"/>
              <w:rPr>
                <w:rFonts w:ascii="Arial" w:eastAsia="Times New Roman" w:hAnsi="Arial" w:cs="Arial"/>
                <w:sz w:val="28"/>
                <w:szCs w:val="36"/>
              </w:rPr>
            </w:pPr>
          </w:p>
        </w:tc>
      </w:tr>
      <w:tr w:rsidR="00BD575F" w:rsidRPr="005E0397" w14:paraId="2DD9BD08"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2BB09657"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Aldeas con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0843EFB"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5C70DF93"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13DF3AD"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24</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70BA158D"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rPr>
              <w:t>105</w:t>
            </w:r>
          </w:p>
        </w:tc>
      </w:tr>
      <w:tr w:rsidR="00BD575F" w:rsidRPr="005E0397" w14:paraId="1D40CCAE" w14:textId="77777777" w:rsidTr="00BD575F">
        <w:trPr>
          <w:trHeight w:val="280"/>
          <w:jc w:val="center"/>
        </w:trPr>
        <w:tc>
          <w:tcPr>
            <w:tcW w:w="2080" w:type="dxa"/>
            <w:tcBorders>
              <w:top w:val="nil"/>
              <w:left w:val="nil"/>
              <w:bottom w:val="nil"/>
              <w:right w:val="nil"/>
            </w:tcBorders>
            <w:shd w:val="clear" w:color="auto" w:fill="auto"/>
            <w:tcMar>
              <w:top w:w="20" w:type="dxa"/>
              <w:left w:w="20" w:type="dxa"/>
              <w:bottom w:w="0" w:type="dxa"/>
              <w:right w:w="20" w:type="dxa"/>
            </w:tcMar>
            <w:vAlign w:val="bottom"/>
            <w:hideMark/>
          </w:tcPr>
          <w:p w14:paraId="1535AAA9"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Aldeas sin 7-9</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46E0C533"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7FA0B05"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0E85A253"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lang w:val="da-DK"/>
              </w:rPr>
              <w:t>n.a.</w:t>
            </w:r>
          </w:p>
        </w:tc>
        <w:tc>
          <w:tcPr>
            <w:tcW w:w="1300" w:type="dxa"/>
            <w:tcBorders>
              <w:top w:val="nil"/>
              <w:left w:val="nil"/>
              <w:bottom w:val="nil"/>
              <w:right w:val="nil"/>
            </w:tcBorders>
            <w:shd w:val="clear" w:color="auto" w:fill="auto"/>
            <w:tcMar>
              <w:top w:w="20" w:type="dxa"/>
              <w:left w:w="20" w:type="dxa"/>
              <w:bottom w:w="0" w:type="dxa"/>
              <w:right w:w="20" w:type="dxa"/>
            </w:tcMar>
            <w:vAlign w:val="bottom"/>
            <w:hideMark/>
          </w:tcPr>
          <w:p w14:paraId="37B10605" w14:textId="77777777" w:rsidR="00BD575F" w:rsidRPr="005E0397" w:rsidRDefault="00BD575F" w:rsidP="00216962">
            <w:pPr>
              <w:spacing w:after="0" w:line="280" w:lineRule="atLeast"/>
              <w:jc w:val="right"/>
              <w:textAlignment w:val="bottom"/>
              <w:rPr>
                <w:rFonts w:ascii="Arial" w:eastAsia="Times New Roman" w:hAnsi="Arial" w:cs="Arial"/>
                <w:sz w:val="36"/>
                <w:szCs w:val="36"/>
              </w:rPr>
            </w:pPr>
            <w:r w:rsidRPr="005E0397">
              <w:rPr>
                <w:rFonts w:ascii="Calibri" w:eastAsia="Times New Roman" w:hAnsi="Calibri" w:cs="Arial"/>
                <w:color w:val="000000"/>
                <w:kern w:val="24"/>
                <w:lang w:val="da-DK"/>
              </w:rPr>
              <w:t>n.a.</w:t>
            </w:r>
          </w:p>
        </w:tc>
      </w:tr>
      <w:tr w:rsidR="00BD575F" w:rsidRPr="005E0397" w14:paraId="7A1551FF" w14:textId="77777777" w:rsidTr="00BD575F">
        <w:trPr>
          <w:trHeight w:val="280"/>
          <w:jc w:val="center"/>
        </w:trPr>
        <w:tc>
          <w:tcPr>
            <w:tcW w:w="208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59F8E109"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3BDE0E75"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50DD5F77"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57A44493"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c>
          <w:tcPr>
            <w:tcW w:w="1300" w:type="dxa"/>
            <w:tcBorders>
              <w:top w:val="nil"/>
              <w:left w:val="nil"/>
              <w:bottom w:val="single" w:sz="4" w:space="0" w:color="000000"/>
              <w:right w:val="nil"/>
            </w:tcBorders>
            <w:shd w:val="clear" w:color="auto" w:fill="auto"/>
            <w:tcMar>
              <w:top w:w="20" w:type="dxa"/>
              <w:left w:w="20" w:type="dxa"/>
              <w:bottom w:w="0" w:type="dxa"/>
              <w:right w:w="20" w:type="dxa"/>
            </w:tcMar>
            <w:vAlign w:val="bottom"/>
            <w:hideMark/>
          </w:tcPr>
          <w:p w14:paraId="53E7AE44" w14:textId="77777777" w:rsidR="00BD575F" w:rsidRPr="005E0397" w:rsidRDefault="00BD575F" w:rsidP="00216962">
            <w:pPr>
              <w:spacing w:after="0" w:line="280" w:lineRule="atLeast"/>
              <w:textAlignment w:val="bottom"/>
              <w:rPr>
                <w:rFonts w:ascii="Arial" w:eastAsia="Times New Roman" w:hAnsi="Arial" w:cs="Arial"/>
                <w:sz w:val="36"/>
                <w:szCs w:val="36"/>
              </w:rPr>
            </w:pPr>
            <w:r w:rsidRPr="005E0397">
              <w:rPr>
                <w:rFonts w:ascii="Calibri" w:eastAsia="Times New Roman" w:hAnsi="Calibri" w:cs="Arial"/>
                <w:color w:val="000000"/>
                <w:kern w:val="24"/>
              </w:rPr>
              <w:t> </w:t>
            </w:r>
          </w:p>
        </w:tc>
      </w:tr>
      <w:tr w:rsidR="00BD575F" w:rsidRPr="005E0397" w14:paraId="3512012E" w14:textId="77777777" w:rsidTr="00BD575F">
        <w:trPr>
          <w:trHeight w:val="280"/>
          <w:jc w:val="center"/>
        </w:trPr>
        <w:tc>
          <w:tcPr>
            <w:tcW w:w="208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1EF7A80A"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1DF6399D"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0A0CF56F"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2E305C0C" w14:textId="77777777" w:rsidR="00BD575F" w:rsidRPr="005E0397" w:rsidRDefault="00BD575F" w:rsidP="00216962">
            <w:pPr>
              <w:spacing w:after="0" w:line="240" w:lineRule="auto"/>
              <w:rPr>
                <w:rFonts w:ascii="Arial" w:eastAsia="Times New Roman" w:hAnsi="Arial" w:cs="Arial"/>
                <w:sz w:val="28"/>
                <w:szCs w:val="36"/>
              </w:rPr>
            </w:pPr>
          </w:p>
        </w:tc>
        <w:tc>
          <w:tcPr>
            <w:tcW w:w="1300" w:type="dxa"/>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1047FF18" w14:textId="77777777" w:rsidR="00BD575F" w:rsidRPr="005E0397" w:rsidRDefault="00BD575F" w:rsidP="00216962">
            <w:pPr>
              <w:spacing w:after="0" w:line="240" w:lineRule="auto"/>
              <w:rPr>
                <w:rFonts w:ascii="Arial" w:eastAsia="Times New Roman" w:hAnsi="Arial" w:cs="Arial"/>
                <w:sz w:val="28"/>
                <w:szCs w:val="36"/>
              </w:rPr>
            </w:pPr>
          </w:p>
        </w:tc>
      </w:tr>
    </w:tbl>
    <w:p w14:paraId="0EC403CD" w14:textId="77777777" w:rsidR="00BD575F" w:rsidRDefault="00BD575F" w:rsidP="000771B5">
      <w:pPr>
        <w:pStyle w:val="ListParagraph"/>
        <w:spacing w:before="120" w:after="0" w:line="240" w:lineRule="auto"/>
        <w:jc w:val="both"/>
        <w:rPr>
          <w:sz w:val="24"/>
          <w:szCs w:val="24"/>
          <w:lang w:val="es-ES"/>
        </w:rPr>
      </w:pPr>
    </w:p>
    <w:p w14:paraId="10D28AE5" w14:textId="77777777" w:rsidR="00BD575F" w:rsidRDefault="00BD575F" w:rsidP="000771B5">
      <w:pPr>
        <w:pStyle w:val="ListParagraph"/>
        <w:spacing w:before="120" w:after="0" w:line="240" w:lineRule="auto"/>
        <w:jc w:val="both"/>
        <w:rPr>
          <w:sz w:val="24"/>
          <w:szCs w:val="24"/>
          <w:lang w:val="es-ES"/>
        </w:rPr>
      </w:pPr>
    </w:p>
    <w:p w14:paraId="7827283D" w14:textId="77777777" w:rsidR="000771B5" w:rsidRDefault="000771B5" w:rsidP="000179E7">
      <w:pPr>
        <w:pStyle w:val="ListParagraph"/>
        <w:numPr>
          <w:ilvl w:val="0"/>
          <w:numId w:val="1"/>
        </w:numPr>
        <w:spacing w:before="120" w:after="0" w:line="240" w:lineRule="auto"/>
        <w:jc w:val="both"/>
        <w:rPr>
          <w:sz w:val="24"/>
          <w:szCs w:val="24"/>
          <w:lang w:val="es-ES"/>
        </w:rPr>
      </w:pPr>
      <w:r>
        <w:rPr>
          <w:sz w:val="24"/>
          <w:szCs w:val="24"/>
          <w:lang w:val="es-ES"/>
        </w:rPr>
        <w:lastRenderedPageBreak/>
        <w:t>Dada</w:t>
      </w:r>
      <w:r w:rsidR="002251BB">
        <w:rPr>
          <w:sz w:val="24"/>
          <w:szCs w:val="24"/>
          <w:lang w:val="es-ES"/>
        </w:rPr>
        <w:t xml:space="preserve"> las características geográficas</w:t>
      </w:r>
      <w:r>
        <w:rPr>
          <w:sz w:val="24"/>
          <w:szCs w:val="24"/>
          <w:lang w:val="es-ES"/>
        </w:rPr>
        <w:t xml:space="preserve">, la ampliación del tercer ciclo requiere características especiales.  </w:t>
      </w:r>
      <w:r w:rsidR="002251BB">
        <w:rPr>
          <w:sz w:val="24"/>
          <w:szCs w:val="24"/>
          <w:lang w:val="es-ES"/>
        </w:rPr>
        <w:t>Adicionalmente al tamaño discutido en el párrafo anterior, l</w:t>
      </w:r>
      <w:r w:rsidR="000179E7" w:rsidRPr="000771B5">
        <w:rPr>
          <w:sz w:val="24"/>
          <w:szCs w:val="24"/>
          <w:lang w:val="es-ES"/>
        </w:rPr>
        <w:t>a oferta tradicional de Tercer Ciclo  en Honduras se basa en un Diseño del Currículum Nacional Básico (DCNEB)  con docentes orientados a las áreas curriculares,  por lo que no es posible que un solo docente pueda atender el séptimo grado y así los siguientes octavo y noveno grados. Es decir, el enfoque tradicional no permite la existencia de oferta de Tercer Ciclo Unidocente.  No obstante ello, la LFE ha autorizado la existencia de modalidades alternativas para la provisión del servicio educativo, y en particular del tercer ciclo, y</w:t>
      </w:r>
      <w:r w:rsidR="002251BB">
        <w:rPr>
          <w:sz w:val="24"/>
          <w:szCs w:val="24"/>
          <w:lang w:val="es-ES"/>
        </w:rPr>
        <w:t>, por ende,</w:t>
      </w:r>
      <w:r w:rsidR="000179E7" w:rsidRPr="000771B5">
        <w:rPr>
          <w:sz w:val="24"/>
          <w:szCs w:val="24"/>
          <w:lang w:val="es-ES"/>
        </w:rPr>
        <w:t xml:space="preserve"> facilitar el cumplimiento de la LFE en lo referente a asistencia obligatoria a dicho nivel.</w:t>
      </w:r>
    </w:p>
    <w:p w14:paraId="113F9D15" w14:textId="77777777" w:rsidR="000771B5" w:rsidRPr="000771B5" w:rsidRDefault="000771B5" w:rsidP="000771B5">
      <w:pPr>
        <w:pStyle w:val="ListParagraph"/>
        <w:rPr>
          <w:sz w:val="24"/>
          <w:szCs w:val="24"/>
          <w:lang w:val="es-ES"/>
        </w:rPr>
      </w:pPr>
    </w:p>
    <w:p w14:paraId="5079D7EA" w14:textId="77777777" w:rsidR="000179E7" w:rsidRPr="000771B5" w:rsidRDefault="000179E7" w:rsidP="000771B5">
      <w:pPr>
        <w:pStyle w:val="ListParagraph"/>
        <w:spacing w:before="120" w:after="0" w:line="240" w:lineRule="auto"/>
        <w:jc w:val="both"/>
        <w:rPr>
          <w:sz w:val="24"/>
          <w:szCs w:val="24"/>
          <w:lang w:val="es-ES"/>
        </w:rPr>
      </w:pPr>
      <w:r w:rsidRPr="000771B5">
        <w:rPr>
          <w:sz w:val="24"/>
          <w:szCs w:val="24"/>
          <w:lang w:val="es-ES"/>
        </w:rPr>
        <w:t xml:space="preserve">  </w:t>
      </w:r>
    </w:p>
    <w:p w14:paraId="6D5D0911" w14:textId="77777777" w:rsidR="00BD575F" w:rsidRDefault="002251BB" w:rsidP="000179E7">
      <w:pPr>
        <w:pStyle w:val="ListParagraph"/>
        <w:numPr>
          <w:ilvl w:val="0"/>
          <w:numId w:val="1"/>
        </w:numPr>
        <w:spacing w:before="120" w:after="0" w:line="240" w:lineRule="auto"/>
        <w:jc w:val="both"/>
        <w:rPr>
          <w:sz w:val="24"/>
          <w:szCs w:val="24"/>
          <w:lang w:val="es-ES"/>
        </w:rPr>
      </w:pPr>
      <w:r>
        <w:rPr>
          <w:sz w:val="24"/>
          <w:szCs w:val="24"/>
          <w:lang w:val="es-MX"/>
        </w:rPr>
        <w:t>La SE</w:t>
      </w:r>
      <w:r w:rsidR="000179E7" w:rsidRPr="00BD575F">
        <w:rPr>
          <w:sz w:val="24"/>
          <w:szCs w:val="24"/>
          <w:lang w:val="es-MX"/>
        </w:rPr>
        <w:t xml:space="preserve"> ha planteado en carácter de urgente la ejecución de un Plan de Ampliación de Cobertura para el Tercer Ciclo de Educación Básica a través de una </w:t>
      </w:r>
      <w:r w:rsidR="000179E7" w:rsidRPr="00BD575F">
        <w:rPr>
          <w:b/>
          <w:sz w:val="24"/>
          <w:szCs w:val="24"/>
          <w:lang w:val="es-MX"/>
        </w:rPr>
        <w:t>modalidad especial</w:t>
      </w:r>
      <w:r w:rsidR="000179E7" w:rsidRPr="00BD575F">
        <w:rPr>
          <w:sz w:val="24"/>
          <w:szCs w:val="24"/>
          <w:lang w:val="es-MX"/>
        </w:rPr>
        <w:t xml:space="preserve">, con un solo docente como facilitador pero con instrumentos curriculares de apoyo y una capacitación pertinente. El   objetivo es  contribuir a </w:t>
      </w:r>
      <w:r w:rsidR="000179E7" w:rsidRPr="00BD575F">
        <w:rPr>
          <w:sz w:val="24"/>
          <w:szCs w:val="24"/>
          <w:lang w:val="es-ES"/>
        </w:rPr>
        <w:t>extender la cobertura de este ciclo así como incrementar los grados de escolaridad en comunidades postergadas del país, asegurar la continuidad educativa de los estudiantes que han egresado de sexto grado y mejorar la calidad de los aprendizajes de la educación básica.</w:t>
      </w:r>
    </w:p>
    <w:p w14:paraId="2531C1F2" w14:textId="77777777" w:rsidR="00BD575F" w:rsidRDefault="00BD575F" w:rsidP="00BD575F">
      <w:pPr>
        <w:pStyle w:val="ListParagraph"/>
        <w:spacing w:before="120" w:after="0" w:line="240" w:lineRule="auto"/>
        <w:jc w:val="both"/>
        <w:rPr>
          <w:sz w:val="24"/>
          <w:szCs w:val="24"/>
          <w:lang w:val="es-ES"/>
        </w:rPr>
      </w:pPr>
    </w:p>
    <w:p w14:paraId="00EA22A1" w14:textId="77777777" w:rsidR="000179E7" w:rsidRDefault="002251BB" w:rsidP="000179E7">
      <w:pPr>
        <w:pStyle w:val="ListParagraph"/>
        <w:numPr>
          <w:ilvl w:val="0"/>
          <w:numId w:val="1"/>
        </w:numPr>
        <w:spacing w:before="120" w:after="0" w:line="240" w:lineRule="auto"/>
        <w:jc w:val="both"/>
        <w:rPr>
          <w:sz w:val="24"/>
          <w:szCs w:val="24"/>
          <w:lang w:val="es-ES"/>
        </w:rPr>
      </w:pPr>
      <w:r>
        <w:rPr>
          <w:sz w:val="24"/>
          <w:szCs w:val="24"/>
          <w:lang w:val="es-ES"/>
        </w:rPr>
        <w:t>Dadas las características de los alumnos sin acceso oferta, la SE se encuentra buscando una modalidad que garantice una asistencia diaria de los alumnos a los centros educativos, de forma que la experiencia educativa sea de los alumnos en las zonas rurales sea similares a las de los estudiantes en zonas urbanas.</w:t>
      </w:r>
      <w:r w:rsidR="00D76E31">
        <w:rPr>
          <w:sz w:val="24"/>
          <w:szCs w:val="24"/>
          <w:lang w:val="es-ES"/>
        </w:rPr>
        <w:t xml:space="preserve"> Asimismo, se busca formar un aula por grado (es decir un aula de 7mo, una de 8vo y una de 9no grado).</w:t>
      </w:r>
      <w:r>
        <w:rPr>
          <w:sz w:val="24"/>
          <w:szCs w:val="24"/>
          <w:lang w:val="es-ES"/>
        </w:rPr>
        <w:t xml:space="preserve"> </w:t>
      </w:r>
      <w:r w:rsidR="00BD575F">
        <w:rPr>
          <w:sz w:val="24"/>
          <w:szCs w:val="24"/>
          <w:lang w:val="es-ES"/>
        </w:rPr>
        <w:t xml:space="preserve">Existen diversas metodologías que flexibles en práctica, incluyendo </w:t>
      </w:r>
      <w:r w:rsidR="000179E7" w:rsidRPr="00BD575F">
        <w:rPr>
          <w:sz w:val="24"/>
          <w:szCs w:val="24"/>
          <w:lang w:val="es-ES"/>
        </w:rPr>
        <w:t>entre ellas EDUCATODOS, SEMED, SAT, Programa del  Instituto Ho</w:t>
      </w:r>
      <w:r w:rsidR="00BD575F">
        <w:rPr>
          <w:sz w:val="24"/>
          <w:szCs w:val="24"/>
          <w:lang w:val="es-ES"/>
        </w:rPr>
        <w:t>ndureño de Educación por Radio</w:t>
      </w:r>
      <w:r w:rsidR="00BF79B1">
        <w:rPr>
          <w:sz w:val="24"/>
          <w:szCs w:val="24"/>
          <w:lang w:val="es-ES"/>
        </w:rPr>
        <w:t xml:space="preserve"> (IHER)</w:t>
      </w:r>
      <w:r w:rsidR="000179E7" w:rsidRPr="00BD575F">
        <w:rPr>
          <w:sz w:val="24"/>
          <w:szCs w:val="24"/>
          <w:lang w:val="es-ES"/>
        </w:rPr>
        <w:t>.</w:t>
      </w:r>
      <w:r>
        <w:rPr>
          <w:sz w:val="24"/>
          <w:szCs w:val="24"/>
          <w:lang w:val="es-ES"/>
        </w:rPr>
        <w:t xml:space="preserve"> Solo el SAT y IHER garantizarían un programa de asistencia diaria por las características de su diseño.</w:t>
      </w:r>
      <w:r w:rsidR="00843784">
        <w:rPr>
          <w:sz w:val="24"/>
          <w:szCs w:val="24"/>
          <w:lang w:val="es-ES"/>
        </w:rPr>
        <w:t xml:space="preserve"> El Cuadro 2</w:t>
      </w:r>
      <w:r w:rsidR="000179E7" w:rsidRPr="00BD575F">
        <w:rPr>
          <w:sz w:val="24"/>
          <w:szCs w:val="24"/>
          <w:lang w:val="es-ES"/>
        </w:rPr>
        <w:t xml:space="preserve"> presenta un resumen de las principales características de los programas flexibles o alternativos que ofertan el Tercer Ciclo de la Educación Básica en Honduras.</w:t>
      </w:r>
    </w:p>
    <w:p w14:paraId="313F396E" w14:textId="77777777" w:rsidR="00BD575F" w:rsidRPr="00BD575F" w:rsidRDefault="00BD575F" w:rsidP="00BD575F">
      <w:pPr>
        <w:pStyle w:val="ListParagraph"/>
        <w:rPr>
          <w:sz w:val="24"/>
          <w:szCs w:val="24"/>
          <w:lang w:val="es-ES"/>
        </w:rPr>
      </w:pPr>
    </w:p>
    <w:p w14:paraId="618AFA9D" w14:textId="77777777" w:rsidR="00BD575F" w:rsidRPr="00BD575F" w:rsidRDefault="00BD575F" w:rsidP="00BD575F">
      <w:pPr>
        <w:pStyle w:val="ListParagraph"/>
        <w:spacing w:before="120" w:after="0" w:line="240" w:lineRule="auto"/>
        <w:jc w:val="both"/>
        <w:rPr>
          <w:sz w:val="24"/>
          <w:szCs w:val="24"/>
          <w:lang w:val="es-ES"/>
        </w:rPr>
      </w:pPr>
    </w:p>
    <w:p w14:paraId="2BBD5395" w14:textId="77777777" w:rsidR="000179E7" w:rsidRPr="00BD575F" w:rsidRDefault="00BF79B1" w:rsidP="00BD575F">
      <w:pPr>
        <w:spacing w:before="120" w:after="0" w:line="240" w:lineRule="auto"/>
        <w:jc w:val="center"/>
        <w:rPr>
          <w:b/>
          <w:sz w:val="24"/>
          <w:szCs w:val="24"/>
          <w:lang w:val="es-ES"/>
        </w:rPr>
      </w:pPr>
      <w:r>
        <w:rPr>
          <w:b/>
          <w:sz w:val="24"/>
          <w:szCs w:val="24"/>
          <w:lang w:val="es-ES"/>
        </w:rPr>
        <w:t>Tabla</w:t>
      </w:r>
      <w:r w:rsidR="001D095E">
        <w:rPr>
          <w:b/>
          <w:sz w:val="24"/>
          <w:szCs w:val="24"/>
          <w:lang w:val="es-ES"/>
        </w:rPr>
        <w:t xml:space="preserve"> No. 2</w:t>
      </w:r>
    </w:p>
    <w:p w14:paraId="193C4490" w14:textId="77777777" w:rsidR="000179E7" w:rsidRPr="00BD575F" w:rsidRDefault="000179E7" w:rsidP="00BD575F">
      <w:pPr>
        <w:spacing w:before="120" w:after="0" w:line="240" w:lineRule="auto"/>
        <w:jc w:val="center"/>
        <w:rPr>
          <w:b/>
          <w:sz w:val="24"/>
          <w:szCs w:val="24"/>
          <w:lang w:val="es-ES"/>
        </w:rPr>
      </w:pPr>
      <w:r w:rsidRPr="00BD575F">
        <w:rPr>
          <w:b/>
          <w:sz w:val="24"/>
          <w:szCs w:val="24"/>
          <w:lang w:val="es-ES"/>
        </w:rPr>
        <w:t>PRINCIPALES MODALIDADES FLEXIBLES</w:t>
      </w:r>
    </w:p>
    <w:tbl>
      <w:tblPr>
        <w:tblStyle w:val="TableGrid"/>
        <w:tblW w:w="0" w:type="auto"/>
        <w:tblInd w:w="-176" w:type="dxa"/>
        <w:tblLook w:val="04A0" w:firstRow="1" w:lastRow="0" w:firstColumn="1" w:lastColumn="0" w:noHBand="0" w:noVBand="1"/>
      </w:tblPr>
      <w:tblGrid>
        <w:gridCol w:w="1700"/>
        <w:gridCol w:w="5038"/>
        <w:gridCol w:w="1238"/>
        <w:gridCol w:w="1776"/>
      </w:tblGrid>
      <w:tr w:rsidR="000179E7" w:rsidRPr="0022188B" w14:paraId="51B18216" w14:textId="77777777" w:rsidTr="00B300D1">
        <w:trPr>
          <w:tblHeader/>
        </w:trPr>
        <w:tc>
          <w:tcPr>
            <w:tcW w:w="1702" w:type="dxa"/>
          </w:tcPr>
          <w:p w14:paraId="381EFC17" w14:textId="77777777" w:rsidR="000179E7" w:rsidRPr="0022188B" w:rsidRDefault="000179E7" w:rsidP="00B300D1">
            <w:pPr>
              <w:spacing w:before="120"/>
              <w:jc w:val="center"/>
              <w:rPr>
                <w:b/>
                <w:sz w:val="24"/>
                <w:szCs w:val="24"/>
              </w:rPr>
            </w:pPr>
            <w:r>
              <w:rPr>
                <w:b/>
                <w:sz w:val="24"/>
                <w:szCs w:val="24"/>
              </w:rPr>
              <w:t>Modalidad</w:t>
            </w:r>
          </w:p>
        </w:tc>
        <w:tc>
          <w:tcPr>
            <w:tcW w:w="5103" w:type="dxa"/>
          </w:tcPr>
          <w:p w14:paraId="17B9C58A" w14:textId="77777777" w:rsidR="000179E7" w:rsidRPr="0022188B" w:rsidRDefault="000179E7" w:rsidP="00B300D1">
            <w:pPr>
              <w:spacing w:before="120"/>
              <w:jc w:val="center"/>
              <w:rPr>
                <w:b/>
                <w:sz w:val="24"/>
                <w:szCs w:val="24"/>
              </w:rPr>
            </w:pPr>
            <w:r>
              <w:rPr>
                <w:b/>
                <w:sz w:val="24"/>
                <w:szCs w:val="24"/>
              </w:rPr>
              <w:t>Principal Característica</w:t>
            </w:r>
          </w:p>
        </w:tc>
        <w:tc>
          <w:tcPr>
            <w:tcW w:w="1239" w:type="dxa"/>
          </w:tcPr>
          <w:p w14:paraId="4CDC080A" w14:textId="77777777" w:rsidR="000179E7" w:rsidRPr="0022188B" w:rsidRDefault="000179E7" w:rsidP="00B300D1">
            <w:pPr>
              <w:spacing w:before="120"/>
              <w:jc w:val="center"/>
              <w:rPr>
                <w:b/>
                <w:sz w:val="24"/>
                <w:szCs w:val="24"/>
              </w:rPr>
            </w:pPr>
            <w:r>
              <w:rPr>
                <w:b/>
                <w:sz w:val="24"/>
                <w:szCs w:val="24"/>
              </w:rPr>
              <w:t>Matrícula</w:t>
            </w:r>
          </w:p>
        </w:tc>
        <w:tc>
          <w:tcPr>
            <w:tcW w:w="1776" w:type="dxa"/>
          </w:tcPr>
          <w:p w14:paraId="302D375C" w14:textId="77777777" w:rsidR="000179E7" w:rsidRPr="0022188B" w:rsidRDefault="000179E7" w:rsidP="00B300D1">
            <w:pPr>
              <w:spacing w:before="120"/>
              <w:jc w:val="center"/>
              <w:rPr>
                <w:b/>
                <w:sz w:val="24"/>
                <w:szCs w:val="24"/>
              </w:rPr>
            </w:pPr>
            <w:r>
              <w:rPr>
                <w:b/>
                <w:sz w:val="24"/>
                <w:szCs w:val="24"/>
              </w:rPr>
              <w:t>Departamentos</w:t>
            </w:r>
          </w:p>
        </w:tc>
      </w:tr>
      <w:tr w:rsidR="000179E7" w:rsidRPr="0022188B" w14:paraId="2D5C6849" w14:textId="77777777" w:rsidTr="00B300D1">
        <w:tc>
          <w:tcPr>
            <w:tcW w:w="1702" w:type="dxa"/>
          </w:tcPr>
          <w:p w14:paraId="21D872A4" w14:textId="77777777" w:rsidR="000179E7" w:rsidRPr="0022188B" w:rsidRDefault="000179E7" w:rsidP="00B300D1">
            <w:pPr>
              <w:spacing w:before="120"/>
              <w:rPr>
                <w:sz w:val="24"/>
                <w:szCs w:val="24"/>
              </w:rPr>
            </w:pPr>
            <w:r>
              <w:rPr>
                <w:sz w:val="24"/>
                <w:szCs w:val="24"/>
              </w:rPr>
              <w:t>IHER</w:t>
            </w:r>
          </w:p>
        </w:tc>
        <w:tc>
          <w:tcPr>
            <w:tcW w:w="5103" w:type="dxa"/>
          </w:tcPr>
          <w:p w14:paraId="07B2BF98" w14:textId="77777777" w:rsidR="000179E7" w:rsidRPr="0022188B" w:rsidRDefault="000179E7" w:rsidP="00B300D1">
            <w:pPr>
              <w:spacing w:before="120"/>
              <w:jc w:val="both"/>
              <w:rPr>
                <w:sz w:val="24"/>
                <w:szCs w:val="24"/>
              </w:rPr>
            </w:pPr>
            <w:r>
              <w:rPr>
                <w:sz w:val="24"/>
                <w:szCs w:val="24"/>
              </w:rPr>
              <w:t>El modelo se basa en contenidos estructurados que llegan a los alumnos mediante libros de textos y programas de radio. Estos contenidos son implementados por alumnos bajo el apoyo de un tutor.</w:t>
            </w:r>
          </w:p>
        </w:tc>
        <w:tc>
          <w:tcPr>
            <w:tcW w:w="1239" w:type="dxa"/>
          </w:tcPr>
          <w:p w14:paraId="6F6CDEAA" w14:textId="77777777" w:rsidR="000179E7" w:rsidRPr="0022188B" w:rsidRDefault="000179E7" w:rsidP="00B300D1">
            <w:pPr>
              <w:spacing w:before="120"/>
              <w:jc w:val="right"/>
              <w:rPr>
                <w:sz w:val="24"/>
                <w:szCs w:val="24"/>
              </w:rPr>
            </w:pPr>
            <w:r>
              <w:rPr>
                <w:sz w:val="24"/>
                <w:szCs w:val="24"/>
              </w:rPr>
              <w:t>17,270</w:t>
            </w:r>
          </w:p>
        </w:tc>
        <w:tc>
          <w:tcPr>
            <w:tcW w:w="1776" w:type="dxa"/>
          </w:tcPr>
          <w:p w14:paraId="3EA725A8" w14:textId="77777777" w:rsidR="000179E7" w:rsidRPr="0022188B" w:rsidRDefault="000179E7" w:rsidP="00B300D1">
            <w:pPr>
              <w:spacing w:before="120"/>
              <w:jc w:val="center"/>
              <w:rPr>
                <w:sz w:val="24"/>
                <w:szCs w:val="24"/>
              </w:rPr>
            </w:pPr>
            <w:r>
              <w:rPr>
                <w:sz w:val="24"/>
                <w:szCs w:val="24"/>
              </w:rPr>
              <w:t>15</w:t>
            </w:r>
          </w:p>
        </w:tc>
      </w:tr>
      <w:tr w:rsidR="000179E7" w:rsidRPr="0022188B" w14:paraId="097A55EB" w14:textId="77777777" w:rsidTr="00B300D1">
        <w:tc>
          <w:tcPr>
            <w:tcW w:w="1702" w:type="dxa"/>
          </w:tcPr>
          <w:p w14:paraId="4D199295" w14:textId="77777777" w:rsidR="000179E7" w:rsidRPr="0022188B" w:rsidRDefault="000179E7" w:rsidP="00B300D1">
            <w:pPr>
              <w:spacing w:before="120"/>
              <w:rPr>
                <w:sz w:val="24"/>
                <w:szCs w:val="24"/>
              </w:rPr>
            </w:pPr>
            <w:r>
              <w:rPr>
                <w:sz w:val="24"/>
                <w:szCs w:val="24"/>
              </w:rPr>
              <w:lastRenderedPageBreak/>
              <w:t>SAT</w:t>
            </w:r>
          </w:p>
        </w:tc>
        <w:tc>
          <w:tcPr>
            <w:tcW w:w="5103" w:type="dxa"/>
          </w:tcPr>
          <w:p w14:paraId="691944B4" w14:textId="77777777" w:rsidR="000179E7" w:rsidRPr="0022188B" w:rsidRDefault="000179E7" w:rsidP="00B300D1">
            <w:pPr>
              <w:spacing w:before="120"/>
              <w:rPr>
                <w:sz w:val="24"/>
                <w:szCs w:val="24"/>
              </w:rPr>
            </w:pPr>
            <w:r>
              <w:rPr>
                <w:sz w:val="24"/>
                <w:szCs w:val="24"/>
              </w:rPr>
              <w:t>Es un programa que imparte el tercer ciclo y educación media con enfoque rural, dirigido a jóvenes que han terminado su educación primaria y aspiran continuar sus estudios sin salir de sus comunidades.</w:t>
            </w:r>
          </w:p>
        </w:tc>
        <w:tc>
          <w:tcPr>
            <w:tcW w:w="1239" w:type="dxa"/>
          </w:tcPr>
          <w:p w14:paraId="096DA0C9" w14:textId="77777777" w:rsidR="000179E7" w:rsidRPr="0022188B" w:rsidRDefault="000179E7" w:rsidP="00B300D1">
            <w:pPr>
              <w:spacing w:before="120"/>
              <w:jc w:val="right"/>
              <w:rPr>
                <w:sz w:val="24"/>
                <w:szCs w:val="24"/>
              </w:rPr>
            </w:pPr>
            <w:r>
              <w:rPr>
                <w:sz w:val="24"/>
                <w:szCs w:val="24"/>
              </w:rPr>
              <w:t>5,825</w:t>
            </w:r>
          </w:p>
        </w:tc>
        <w:tc>
          <w:tcPr>
            <w:tcW w:w="1776" w:type="dxa"/>
          </w:tcPr>
          <w:p w14:paraId="4DBDE801" w14:textId="77777777" w:rsidR="000179E7" w:rsidRPr="0022188B" w:rsidRDefault="000179E7" w:rsidP="00B300D1">
            <w:pPr>
              <w:spacing w:before="120"/>
              <w:jc w:val="center"/>
              <w:rPr>
                <w:sz w:val="24"/>
                <w:szCs w:val="24"/>
              </w:rPr>
            </w:pPr>
            <w:r>
              <w:rPr>
                <w:sz w:val="24"/>
                <w:szCs w:val="24"/>
              </w:rPr>
              <w:t>13</w:t>
            </w:r>
          </w:p>
        </w:tc>
      </w:tr>
      <w:tr w:rsidR="000179E7" w:rsidRPr="0022188B" w14:paraId="7908D105" w14:textId="77777777" w:rsidTr="00B300D1">
        <w:tc>
          <w:tcPr>
            <w:tcW w:w="1702" w:type="dxa"/>
          </w:tcPr>
          <w:p w14:paraId="353ECCE6" w14:textId="77777777" w:rsidR="000179E7" w:rsidRPr="0022188B" w:rsidRDefault="000179E7" w:rsidP="00B300D1">
            <w:pPr>
              <w:spacing w:before="120"/>
              <w:rPr>
                <w:sz w:val="24"/>
                <w:szCs w:val="24"/>
              </w:rPr>
            </w:pPr>
            <w:r>
              <w:rPr>
                <w:sz w:val="24"/>
                <w:szCs w:val="24"/>
              </w:rPr>
              <w:t>SEMED</w:t>
            </w:r>
          </w:p>
        </w:tc>
        <w:tc>
          <w:tcPr>
            <w:tcW w:w="5103" w:type="dxa"/>
          </w:tcPr>
          <w:p w14:paraId="454753B1" w14:textId="77777777" w:rsidR="000179E7" w:rsidRPr="0022188B" w:rsidRDefault="000179E7" w:rsidP="00B300D1">
            <w:pPr>
              <w:spacing w:before="120"/>
              <w:rPr>
                <w:sz w:val="24"/>
                <w:szCs w:val="24"/>
              </w:rPr>
            </w:pPr>
            <w:r>
              <w:rPr>
                <w:sz w:val="24"/>
                <w:szCs w:val="24"/>
              </w:rPr>
              <w:t>Es una modalidad semi-presencial, impartida los fines de semana y dirigida a jóvenes mayores de 15 años, que atiende el tercer ciclo de educación básica y media.</w:t>
            </w:r>
          </w:p>
        </w:tc>
        <w:tc>
          <w:tcPr>
            <w:tcW w:w="1239" w:type="dxa"/>
          </w:tcPr>
          <w:p w14:paraId="5C6299B8" w14:textId="77777777" w:rsidR="000179E7" w:rsidRPr="0022188B" w:rsidRDefault="000179E7" w:rsidP="00B300D1">
            <w:pPr>
              <w:spacing w:before="120"/>
              <w:jc w:val="right"/>
              <w:rPr>
                <w:sz w:val="24"/>
                <w:szCs w:val="24"/>
              </w:rPr>
            </w:pPr>
            <w:r>
              <w:rPr>
                <w:sz w:val="24"/>
                <w:szCs w:val="24"/>
              </w:rPr>
              <w:t>27,357</w:t>
            </w:r>
          </w:p>
        </w:tc>
        <w:tc>
          <w:tcPr>
            <w:tcW w:w="1776" w:type="dxa"/>
          </w:tcPr>
          <w:p w14:paraId="4DB021AD" w14:textId="77777777" w:rsidR="000179E7" w:rsidRPr="0022188B" w:rsidRDefault="000179E7" w:rsidP="00B300D1">
            <w:pPr>
              <w:spacing w:before="120"/>
              <w:jc w:val="center"/>
              <w:rPr>
                <w:sz w:val="24"/>
                <w:szCs w:val="24"/>
              </w:rPr>
            </w:pPr>
            <w:r>
              <w:rPr>
                <w:sz w:val="24"/>
                <w:szCs w:val="24"/>
              </w:rPr>
              <w:t>16</w:t>
            </w:r>
          </w:p>
        </w:tc>
      </w:tr>
      <w:tr w:rsidR="000179E7" w:rsidRPr="0022188B" w14:paraId="62EEA407" w14:textId="77777777" w:rsidTr="00B300D1">
        <w:tc>
          <w:tcPr>
            <w:tcW w:w="1702" w:type="dxa"/>
          </w:tcPr>
          <w:p w14:paraId="6247B196" w14:textId="77777777" w:rsidR="000179E7" w:rsidRPr="0022188B" w:rsidRDefault="000179E7" w:rsidP="00B300D1">
            <w:pPr>
              <w:spacing w:before="120"/>
              <w:rPr>
                <w:sz w:val="24"/>
                <w:szCs w:val="24"/>
              </w:rPr>
            </w:pPr>
            <w:r>
              <w:rPr>
                <w:sz w:val="24"/>
                <w:szCs w:val="24"/>
              </w:rPr>
              <w:t>EDUCATODOS</w:t>
            </w:r>
          </w:p>
        </w:tc>
        <w:tc>
          <w:tcPr>
            <w:tcW w:w="5103" w:type="dxa"/>
          </w:tcPr>
          <w:p w14:paraId="7374C299" w14:textId="77777777" w:rsidR="000179E7" w:rsidRPr="0022188B" w:rsidRDefault="000179E7" w:rsidP="00B300D1">
            <w:pPr>
              <w:spacing w:before="120"/>
              <w:rPr>
                <w:sz w:val="24"/>
                <w:szCs w:val="24"/>
              </w:rPr>
            </w:pPr>
            <w:r>
              <w:rPr>
                <w:sz w:val="24"/>
                <w:szCs w:val="24"/>
              </w:rPr>
              <w:t>Es un programa orientado a jóvenes y adultos que se encuentran excluidos del sistema de educación regular, además de ofrecer la oportunidad para que los beneficiarios terminen la educación primaria y tercer ciclo sin salir de sus comunidades.</w:t>
            </w:r>
          </w:p>
        </w:tc>
        <w:tc>
          <w:tcPr>
            <w:tcW w:w="1239" w:type="dxa"/>
          </w:tcPr>
          <w:p w14:paraId="615A5221" w14:textId="77777777" w:rsidR="000179E7" w:rsidRPr="0022188B" w:rsidRDefault="000179E7" w:rsidP="00B300D1">
            <w:pPr>
              <w:spacing w:before="120"/>
              <w:jc w:val="right"/>
              <w:rPr>
                <w:sz w:val="24"/>
                <w:szCs w:val="24"/>
              </w:rPr>
            </w:pPr>
            <w:r>
              <w:rPr>
                <w:sz w:val="24"/>
                <w:szCs w:val="24"/>
              </w:rPr>
              <w:t>32,101</w:t>
            </w:r>
          </w:p>
        </w:tc>
        <w:tc>
          <w:tcPr>
            <w:tcW w:w="1776" w:type="dxa"/>
          </w:tcPr>
          <w:p w14:paraId="610DA137" w14:textId="77777777" w:rsidR="000179E7" w:rsidRPr="0022188B" w:rsidRDefault="000179E7" w:rsidP="00B300D1">
            <w:pPr>
              <w:spacing w:before="120"/>
              <w:jc w:val="center"/>
              <w:rPr>
                <w:sz w:val="24"/>
                <w:szCs w:val="24"/>
              </w:rPr>
            </w:pPr>
            <w:r>
              <w:rPr>
                <w:sz w:val="24"/>
                <w:szCs w:val="24"/>
              </w:rPr>
              <w:t>18</w:t>
            </w:r>
          </w:p>
        </w:tc>
      </w:tr>
    </w:tbl>
    <w:p w14:paraId="781793B4" w14:textId="77777777" w:rsidR="00BD575F" w:rsidRDefault="00BD575F" w:rsidP="000179E7">
      <w:pPr>
        <w:spacing w:before="120" w:after="0" w:line="240" w:lineRule="auto"/>
        <w:jc w:val="both"/>
        <w:rPr>
          <w:sz w:val="24"/>
          <w:szCs w:val="24"/>
          <w:lang w:val="es-ES"/>
        </w:rPr>
      </w:pPr>
    </w:p>
    <w:p w14:paraId="3B8A6790" w14:textId="77777777" w:rsidR="001D095E" w:rsidRDefault="00BD575F" w:rsidP="001D095E">
      <w:pPr>
        <w:pStyle w:val="ListParagraph"/>
        <w:numPr>
          <w:ilvl w:val="0"/>
          <w:numId w:val="1"/>
        </w:numPr>
        <w:spacing w:before="120" w:after="0" w:line="240" w:lineRule="auto"/>
        <w:jc w:val="both"/>
        <w:rPr>
          <w:sz w:val="24"/>
          <w:szCs w:val="24"/>
          <w:lang w:val="es-ES"/>
        </w:rPr>
      </w:pPr>
      <w:r>
        <w:rPr>
          <w:sz w:val="24"/>
          <w:szCs w:val="24"/>
          <w:lang w:val="es-ES"/>
        </w:rPr>
        <w:t>Adicionalmente existe la modalidad Tele-</w:t>
      </w:r>
      <w:r w:rsidR="00D76E31">
        <w:rPr>
          <w:sz w:val="24"/>
          <w:szCs w:val="24"/>
          <w:lang w:val="es-ES"/>
        </w:rPr>
        <w:t>Básica</w:t>
      </w:r>
      <w:r w:rsidR="002251BB">
        <w:rPr>
          <w:sz w:val="24"/>
          <w:szCs w:val="24"/>
          <w:lang w:val="es-ES"/>
        </w:rPr>
        <w:t xml:space="preserve">. Esta modalidad se aplica en zonas de mayor aislamiento. La SE </w:t>
      </w:r>
      <w:r w:rsidR="00D76E31">
        <w:rPr>
          <w:sz w:val="24"/>
          <w:szCs w:val="24"/>
          <w:lang w:val="es-ES"/>
        </w:rPr>
        <w:t>está</w:t>
      </w:r>
      <w:r w:rsidR="002251BB">
        <w:rPr>
          <w:sz w:val="24"/>
          <w:szCs w:val="24"/>
          <w:lang w:val="es-ES"/>
        </w:rPr>
        <w:t xml:space="preserve"> contemplando el uso de esta modalidad en las zonas donde </w:t>
      </w:r>
      <w:r w:rsidR="00D76E31">
        <w:rPr>
          <w:sz w:val="24"/>
          <w:szCs w:val="24"/>
          <w:lang w:val="es-ES"/>
        </w:rPr>
        <w:t>las característica poblacionales no permitan la instalación de centros presenciales con un grupo por grado (es decir, un aula con estudiantes de 7mo, 8vo y 9no grado).</w:t>
      </w:r>
    </w:p>
    <w:p w14:paraId="47B3CCDD" w14:textId="77777777" w:rsidR="001D095E" w:rsidRDefault="001D095E" w:rsidP="001D095E">
      <w:pPr>
        <w:pStyle w:val="ListParagraph"/>
        <w:spacing w:before="120" w:after="0" w:line="240" w:lineRule="auto"/>
        <w:jc w:val="both"/>
        <w:rPr>
          <w:sz w:val="24"/>
          <w:szCs w:val="24"/>
          <w:lang w:val="es-ES"/>
        </w:rPr>
      </w:pPr>
    </w:p>
    <w:p w14:paraId="57C7140C" w14:textId="77777777" w:rsidR="00BD575F" w:rsidRPr="00D76E31" w:rsidRDefault="00D76E31" w:rsidP="00BD575F">
      <w:pPr>
        <w:pStyle w:val="ListParagraph"/>
        <w:numPr>
          <w:ilvl w:val="0"/>
          <w:numId w:val="1"/>
        </w:numPr>
        <w:spacing w:before="120" w:after="0" w:line="240" w:lineRule="auto"/>
        <w:jc w:val="both"/>
        <w:rPr>
          <w:sz w:val="24"/>
          <w:szCs w:val="24"/>
          <w:lang w:val="es-ES"/>
        </w:rPr>
      </w:pPr>
      <w:r w:rsidRPr="00D76E31">
        <w:rPr>
          <w:sz w:val="24"/>
          <w:szCs w:val="24"/>
          <w:lang w:val="es-ES"/>
        </w:rPr>
        <w:t xml:space="preserve">Cabe anotar que la SE ha avanzado en el diseño e implementación de un modelo de redes educativas en zonas rurales. Este modelo potencia el uso de recursos entre escuelas de una misma área geográfica. </w:t>
      </w:r>
      <w:r w:rsidR="001D095E" w:rsidRPr="00D76E31">
        <w:rPr>
          <w:sz w:val="24"/>
          <w:szCs w:val="24"/>
          <w:lang w:val="es-MX"/>
        </w:rPr>
        <w:t xml:space="preserve">Es necesario mencionar que en la zona de Occidente y La Paz es donde está mejor organizado el Programa de Redes Educativas y uno de sus objetivos principales es que los educandos de estas comunidades puedan completar al menos el </w:t>
      </w:r>
      <w:r>
        <w:rPr>
          <w:sz w:val="24"/>
          <w:szCs w:val="24"/>
          <w:lang w:val="es-MX"/>
        </w:rPr>
        <w:t xml:space="preserve">noveno grado en forma continua. </w:t>
      </w:r>
      <w:r w:rsidR="00843784">
        <w:rPr>
          <w:sz w:val="24"/>
          <w:szCs w:val="24"/>
          <w:lang w:val="es-MX"/>
        </w:rPr>
        <w:t>Las</w:t>
      </w:r>
      <w:r>
        <w:rPr>
          <w:sz w:val="24"/>
          <w:szCs w:val="24"/>
          <w:lang w:val="es-MX"/>
        </w:rPr>
        <w:t xml:space="preserve"> posibles nuevas intervenciones en tercer ciclo se realizaran bajo el concepto de red escolar.</w:t>
      </w:r>
    </w:p>
    <w:p w14:paraId="0B59016E" w14:textId="77777777" w:rsidR="00D76E31" w:rsidRPr="00D76E31" w:rsidRDefault="00D76E31" w:rsidP="00D76E31">
      <w:pPr>
        <w:pStyle w:val="ListParagraph"/>
        <w:rPr>
          <w:sz w:val="24"/>
          <w:szCs w:val="24"/>
          <w:lang w:val="es-ES"/>
        </w:rPr>
      </w:pPr>
    </w:p>
    <w:p w14:paraId="7098901B" w14:textId="77777777" w:rsidR="00D76E31" w:rsidRPr="00D76E31" w:rsidRDefault="00D76E31" w:rsidP="00D76E31">
      <w:pPr>
        <w:pStyle w:val="ListParagraph"/>
        <w:spacing w:before="120" w:after="0" w:line="240" w:lineRule="auto"/>
        <w:jc w:val="both"/>
        <w:rPr>
          <w:sz w:val="24"/>
          <w:szCs w:val="24"/>
          <w:lang w:val="es-ES"/>
        </w:rPr>
      </w:pPr>
    </w:p>
    <w:p w14:paraId="27DD5006" w14:textId="77777777" w:rsidR="00BD575F" w:rsidRPr="00BD575F" w:rsidRDefault="00BD575F" w:rsidP="00BD575F">
      <w:pPr>
        <w:spacing w:before="120" w:after="0" w:line="240" w:lineRule="auto"/>
        <w:jc w:val="both"/>
        <w:rPr>
          <w:b/>
          <w:sz w:val="24"/>
          <w:szCs w:val="24"/>
          <w:lang w:val="es-ES"/>
        </w:rPr>
      </w:pPr>
      <w:r w:rsidRPr="00BD575F">
        <w:rPr>
          <w:b/>
          <w:sz w:val="24"/>
          <w:szCs w:val="24"/>
          <w:lang w:val="es-ES"/>
        </w:rPr>
        <w:t>Es</w:t>
      </w:r>
      <w:r w:rsidR="00D76E31">
        <w:rPr>
          <w:b/>
          <w:sz w:val="24"/>
          <w:szCs w:val="24"/>
          <w:lang w:val="es-ES"/>
        </w:rPr>
        <w:t xml:space="preserve">trategia a ser considerada en </w:t>
      </w:r>
      <w:r w:rsidRPr="00BD575F">
        <w:rPr>
          <w:b/>
          <w:sz w:val="24"/>
          <w:szCs w:val="24"/>
          <w:lang w:val="es-ES"/>
        </w:rPr>
        <w:t xml:space="preserve"> HO-L1093</w:t>
      </w:r>
    </w:p>
    <w:p w14:paraId="7053C587" w14:textId="77777777" w:rsidR="00BD575F" w:rsidRDefault="00BD575F" w:rsidP="00BD575F">
      <w:pPr>
        <w:pStyle w:val="ListParagraph"/>
        <w:spacing w:before="120" w:after="0" w:line="240" w:lineRule="auto"/>
        <w:jc w:val="both"/>
        <w:rPr>
          <w:sz w:val="24"/>
          <w:szCs w:val="24"/>
          <w:lang w:val="es-ES"/>
        </w:rPr>
      </w:pPr>
    </w:p>
    <w:p w14:paraId="58CDB398" w14:textId="77777777" w:rsidR="006436E8" w:rsidRDefault="008B109A" w:rsidP="006436E8">
      <w:pPr>
        <w:pStyle w:val="ListParagraph"/>
        <w:numPr>
          <w:ilvl w:val="0"/>
          <w:numId w:val="6"/>
        </w:numPr>
        <w:spacing w:before="120" w:after="0" w:line="240" w:lineRule="auto"/>
        <w:jc w:val="both"/>
        <w:rPr>
          <w:sz w:val="24"/>
          <w:szCs w:val="24"/>
          <w:lang w:val="es-ES_tradnl"/>
        </w:rPr>
      </w:pPr>
      <w:r>
        <w:rPr>
          <w:sz w:val="24"/>
          <w:szCs w:val="24"/>
          <w:lang w:val="es-ES"/>
        </w:rPr>
        <w:t>Con recursos del aHO-L1093, l</w:t>
      </w:r>
      <w:r w:rsidR="00BD575F">
        <w:rPr>
          <w:sz w:val="24"/>
          <w:szCs w:val="24"/>
          <w:lang w:val="es-ES"/>
        </w:rPr>
        <w:t>a SE ha considerado una expansión de la oferta educativa</w:t>
      </w:r>
      <w:r w:rsidR="00C01679">
        <w:rPr>
          <w:sz w:val="24"/>
          <w:szCs w:val="24"/>
          <w:lang w:val="es-ES"/>
        </w:rPr>
        <w:t xml:space="preserve"> en un total de 150 centros primarios </w:t>
      </w:r>
      <w:r>
        <w:rPr>
          <w:sz w:val="24"/>
          <w:szCs w:val="24"/>
          <w:lang w:val="es-ES"/>
        </w:rPr>
        <w:t xml:space="preserve">en </w:t>
      </w:r>
      <w:r w:rsidR="00C01679">
        <w:rPr>
          <w:sz w:val="24"/>
          <w:szCs w:val="24"/>
          <w:lang w:val="es-ES"/>
        </w:rPr>
        <w:t>los departamentos priorizados: Intibucá, La Paz, Lempira, Ocotepeque, Santa Bárbara y Santa Rosa de Copan. La expansión se hará bajo modalidades flexibles (un facilitador por grado)</w:t>
      </w:r>
      <w:r w:rsidR="006436E8">
        <w:rPr>
          <w:sz w:val="24"/>
          <w:szCs w:val="24"/>
          <w:lang w:val="es-ES"/>
        </w:rPr>
        <w:t xml:space="preserve"> que cumplan con en Curriculm Nacional Basico</w:t>
      </w:r>
      <w:r w:rsidR="00C01679">
        <w:rPr>
          <w:sz w:val="24"/>
          <w:szCs w:val="24"/>
          <w:lang w:val="es-ES"/>
        </w:rPr>
        <w:t>, empleándose como proveedor del servicio educativo al IH</w:t>
      </w:r>
      <w:r w:rsidR="006436E8">
        <w:rPr>
          <w:sz w:val="24"/>
          <w:szCs w:val="24"/>
          <w:lang w:val="es-ES"/>
        </w:rPr>
        <w:t>ER.  Adicionalmente, se equipará</w:t>
      </w:r>
      <w:r w:rsidR="00C01679">
        <w:rPr>
          <w:sz w:val="24"/>
          <w:szCs w:val="24"/>
          <w:lang w:val="es-ES"/>
        </w:rPr>
        <w:t xml:space="preserve"> a la escuelas con módulos (aulas)  y computadoras. </w:t>
      </w:r>
      <w:r w:rsidR="006436E8">
        <w:rPr>
          <w:sz w:val="24"/>
          <w:szCs w:val="24"/>
          <w:lang w:val="es-ES_tradnl"/>
        </w:rPr>
        <w:t xml:space="preserve">Se ha considerado una modalidad de provisión presencial de lunes a viernes. Los alumnos participantes en </w:t>
      </w:r>
      <w:r w:rsidR="006436E8">
        <w:rPr>
          <w:sz w:val="24"/>
          <w:szCs w:val="24"/>
          <w:lang w:val="es-ES_tradnl"/>
        </w:rPr>
        <w:lastRenderedPageBreak/>
        <w:t xml:space="preserve">estas escuelas serán alumnos regulares de la secretaria,  matriculados de forma ordinaria y con sus registros apareciendo en el Sistema de Administración del Centro Educativo (SACE). La secretaria de educación monitoreara la provisión del servicio educativo mediante sus canales establecidos para tal fin. </w:t>
      </w:r>
      <w:r w:rsidR="006436E8">
        <w:rPr>
          <w:sz w:val="24"/>
          <w:szCs w:val="24"/>
          <w:lang w:val="es-ES"/>
        </w:rPr>
        <w:t>Adicionalmente, se emplearán recursos del HO-L1093 para el fortalecimiento institucional de la SE en lo referente a manejo de redes educativas en zonas rurales.</w:t>
      </w:r>
    </w:p>
    <w:p w14:paraId="666FA941" w14:textId="77777777" w:rsidR="00C01679" w:rsidRDefault="00C01679" w:rsidP="006436E8">
      <w:pPr>
        <w:pStyle w:val="ListParagraph"/>
        <w:spacing w:before="120" w:after="0" w:line="240" w:lineRule="auto"/>
        <w:jc w:val="both"/>
        <w:rPr>
          <w:sz w:val="24"/>
          <w:szCs w:val="24"/>
          <w:lang w:val="es-ES"/>
        </w:rPr>
      </w:pPr>
    </w:p>
    <w:p w14:paraId="64BD170D" w14:textId="77777777" w:rsidR="008B109A" w:rsidRDefault="008B109A" w:rsidP="008B109A">
      <w:pPr>
        <w:pStyle w:val="ListParagraph"/>
        <w:spacing w:before="120" w:after="0" w:line="240" w:lineRule="auto"/>
        <w:jc w:val="both"/>
        <w:rPr>
          <w:sz w:val="24"/>
          <w:szCs w:val="24"/>
          <w:lang w:val="es-ES"/>
        </w:rPr>
      </w:pPr>
    </w:p>
    <w:p w14:paraId="452A31E7" w14:textId="77777777" w:rsidR="00C56D63" w:rsidRDefault="008B109A" w:rsidP="00C56D63">
      <w:pPr>
        <w:pStyle w:val="ListParagraph"/>
        <w:numPr>
          <w:ilvl w:val="0"/>
          <w:numId w:val="6"/>
        </w:numPr>
        <w:spacing w:before="120" w:after="0" w:line="240" w:lineRule="auto"/>
        <w:jc w:val="both"/>
        <w:rPr>
          <w:sz w:val="24"/>
          <w:szCs w:val="24"/>
          <w:lang w:val="es-ES"/>
        </w:rPr>
      </w:pPr>
      <w:r w:rsidRPr="00C56D63">
        <w:rPr>
          <w:b/>
          <w:sz w:val="24"/>
          <w:szCs w:val="24"/>
          <w:lang w:val="es-ES"/>
        </w:rPr>
        <w:t xml:space="preserve">Contratación del IHER. </w:t>
      </w:r>
      <w:r>
        <w:rPr>
          <w:sz w:val="24"/>
          <w:szCs w:val="24"/>
          <w:lang w:val="es-ES"/>
        </w:rPr>
        <w:t>El IHER será contratado por una aproximado de US$ 10 millones para la provisión del servicio educativo en las 150 escuelas seleccionadas por la secretaría de educación</w:t>
      </w:r>
      <w:r w:rsidR="00C56D63">
        <w:rPr>
          <w:sz w:val="24"/>
          <w:szCs w:val="24"/>
          <w:lang w:val="es-ES"/>
        </w:rPr>
        <w:t xml:space="preserve"> por tres años</w:t>
      </w:r>
      <w:r>
        <w:rPr>
          <w:sz w:val="24"/>
          <w:szCs w:val="24"/>
          <w:lang w:val="es-ES"/>
        </w:rPr>
        <w:t>. El IHER cuenta con un modelo pedagógico, basado en la figura del facilitador pedagógico que guía a los alumnos en el proceso educativo. Tanto el facilitador como los alumnos cuentan con material pedagógico producido por el IHER, el que incluye todos los elementos del Curriculum Nacional Básico. La selección de los facilitadores se realizará de forma conjunta entre la SE y el IHER, en base a criterios determinados por la SE. Una vez selecc</w:t>
      </w:r>
      <w:r w:rsidR="00C56D63">
        <w:rPr>
          <w:sz w:val="24"/>
          <w:szCs w:val="24"/>
          <w:lang w:val="es-ES"/>
        </w:rPr>
        <w:t>ionados, los facilitadores serán capacitados en elementos de pedagogía en modalidades flexibles.</w:t>
      </w:r>
      <w:r>
        <w:rPr>
          <w:sz w:val="24"/>
          <w:szCs w:val="24"/>
          <w:lang w:val="es-ES"/>
        </w:rPr>
        <w:t xml:space="preserve"> </w:t>
      </w:r>
      <w:r w:rsidR="00C56D63">
        <w:rPr>
          <w:sz w:val="24"/>
          <w:szCs w:val="24"/>
          <w:lang w:val="es-ES"/>
        </w:rPr>
        <w:t xml:space="preserve">El IHER brindará acompañamiento a los facilitadores durante el año escolar. Adicionalmente, el IHER brindará a los alumnos los libros de textos y otros materiales necesarios para el funcionamiento del modelo educativo. </w:t>
      </w:r>
    </w:p>
    <w:p w14:paraId="7EC93F22" w14:textId="77777777" w:rsidR="006436E8" w:rsidRPr="006436E8" w:rsidRDefault="006436E8" w:rsidP="006436E8">
      <w:pPr>
        <w:pStyle w:val="ListParagraph"/>
        <w:spacing w:before="120" w:after="0" w:line="240" w:lineRule="auto"/>
        <w:jc w:val="both"/>
        <w:rPr>
          <w:sz w:val="24"/>
          <w:szCs w:val="24"/>
          <w:lang w:val="es-ES"/>
        </w:rPr>
      </w:pPr>
    </w:p>
    <w:p w14:paraId="098801DA" w14:textId="77777777" w:rsidR="00BF79B1" w:rsidRDefault="00216962" w:rsidP="00C01679">
      <w:pPr>
        <w:pStyle w:val="ListParagraph"/>
        <w:numPr>
          <w:ilvl w:val="0"/>
          <w:numId w:val="6"/>
        </w:numPr>
        <w:spacing w:before="120" w:after="0" w:line="240" w:lineRule="auto"/>
        <w:jc w:val="both"/>
        <w:rPr>
          <w:sz w:val="24"/>
          <w:szCs w:val="24"/>
          <w:lang w:val="es-ES"/>
        </w:rPr>
      </w:pPr>
      <w:r w:rsidRPr="00216962">
        <w:rPr>
          <w:b/>
          <w:i/>
          <w:sz w:val="24"/>
          <w:szCs w:val="24"/>
          <w:lang w:val="es-ES"/>
        </w:rPr>
        <w:t>Elementos específicos que sustentan contratación del IHER</w:t>
      </w:r>
      <w:r>
        <w:rPr>
          <w:sz w:val="24"/>
          <w:szCs w:val="24"/>
          <w:lang w:val="es-ES"/>
        </w:rPr>
        <w:t xml:space="preserve">. La secretaria está implementando una expansión piloto de la oferta de tercer ciclo en la zona de occidente en cooperación con el IHER. Para ello se está empleando fondos de la operación </w:t>
      </w:r>
      <w:r w:rsidR="00843784">
        <w:rPr>
          <w:sz w:val="24"/>
          <w:szCs w:val="24"/>
          <w:lang w:val="es-ES"/>
        </w:rPr>
        <w:t>2937/BL-HO.</w:t>
      </w:r>
      <w:r w:rsidR="00F86B12">
        <w:rPr>
          <w:sz w:val="24"/>
          <w:szCs w:val="24"/>
          <w:lang w:val="es-ES"/>
        </w:rPr>
        <w:t xml:space="preserve"> Los aspectos que justifican la contratación del IHER de  forma directa son</w:t>
      </w:r>
      <w:r>
        <w:rPr>
          <w:sz w:val="24"/>
          <w:szCs w:val="24"/>
          <w:lang w:val="es-ES"/>
        </w:rPr>
        <w:t xml:space="preserve">: </w:t>
      </w:r>
    </w:p>
    <w:p w14:paraId="41BBBD78" w14:textId="77777777" w:rsidR="00BF79B1" w:rsidRDefault="00BF79B1" w:rsidP="00BF79B1">
      <w:pPr>
        <w:pStyle w:val="ListParagraph"/>
        <w:spacing w:before="120" w:after="0" w:line="240" w:lineRule="auto"/>
        <w:jc w:val="both"/>
        <w:rPr>
          <w:sz w:val="24"/>
          <w:szCs w:val="24"/>
          <w:lang w:val="es-ES"/>
        </w:rPr>
      </w:pPr>
    </w:p>
    <w:p w14:paraId="5A60840D" w14:textId="77777777" w:rsidR="00216962" w:rsidRPr="00216962" w:rsidRDefault="00216962" w:rsidP="00216962">
      <w:pPr>
        <w:pStyle w:val="xmsonormal"/>
        <w:ind w:left="720"/>
        <w:jc w:val="both"/>
        <w:rPr>
          <w:rFonts w:asciiTheme="minorHAnsi" w:hAnsiTheme="minorHAnsi" w:cs="Tahoma"/>
          <w:lang w:val="es-ES_tradnl"/>
        </w:rPr>
      </w:pPr>
      <w:r w:rsidRPr="00216962">
        <w:rPr>
          <w:rFonts w:asciiTheme="minorHAnsi" w:hAnsiTheme="minorHAnsi" w:cs="Tahoma"/>
          <w:b/>
          <w:lang w:val="es-ES_tradnl"/>
        </w:rPr>
        <w:t>Aspectos Metodológicos</w:t>
      </w:r>
      <w:r w:rsidRPr="00216962">
        <w:rPr>
          <w:rFonts w:asciiTheme="minorHAnsi" w:hAnsiTheme="minorHAnsi" w:cs="Tahoma"/>
          <w:lang w:val="es-ES_tradnl"/>
        </w:rPr>
        <w:t>: El gestor de los servicios educativos tiene que cumplir con el CNB, es decir, los contenidos del CNB tiene que estar incluidos en los libros de textos y los docentes tienen que estar capacitados en los mismos. Actualmente la Secretaria de Educación tiene bajo implementación tres metodologías de modalidades flexibles en ejecución, dichos servicios son provistos por tres instituciones cada una con un enfoque particular. El SEMED está vinculado con la Secretaria de Educación, El SAT y el IHER son ONGs con amplia experiencia en la modalidad flexible. Una comisión de la Secretaria analizo el contenido y efectividad de las tres metodologías propuestas con base al cumplimento del CNB. Esta comisión determinó que la propuesta del IHER cumple en su totalidad con el contenido del CNB. SEMED está actualmente en proceso de ajust</w:t>
      </w:r>
      <w:r w:rsidR="00D76E31">
        <w:rPr>
          <w:rFonts w:asciiTheme="minorHAnsi" w:hAnsiTheme="minorHAnsi" w:cs="Tahoma"/>
          <w:lang w:val="es-ES_tradnl"/>
        </w:rPr>
        <w:t xml:space="preserve">es metodológicos y de contenido. </w:t>
      </w:r>
      <w:r w:rsidR="00F86B12">
        <w:rPr>
          <w:rFonts w:asciiTheme="minorHAnsi" w:hAnsiTheme="minorHAnsi" w:cs="Tahoma"/>
          <w:lang w:val="es-ES_tradnl"/>
        </w:rPr>
        <w:t xml:space="preserve">En un primer momento, el </w:t>
      </w:r>
      <w:r w:rsidRPr="00216962">
        <w:rPr>
          <w:rFonts w:asciiTheme="minorHAnsi" w:hAnsiTheme="minorHAnsi" w:cs="Tahoma"/>
          <w:lang w:val="es-ES_tradnl"/>
        </w:rPr>
        <w:t xml:space="preserve">SAT no considera factible </w:t>
      </w:r>
      <w:r w:rsidR="00D76E31">
        <w:rPr>
          <w:rFonts w:asciiTheme="minorHAnsi" w:hAnsiTheme="minorHAnsi" w:cs="Tahoma"/>
          <w:lang w:val="es-ES_tradnl"/>
        </w:rPr>
        <w:t>dada la continuidad necesaria a los servicios implementados en el 2014</w:t>
      </w:r>
      <w:r w:rsidRPr="00216962">
        <w:rPr>
          <w:rFonts w:asciiTheme="minorHAnsi" w:hAnsiTheme="minorHAnsi" w:cs="Tahoma"/>
          <w:lang w:val="es-ES_tradnl"/>
        </w:rPr>
        <w:t>.</w:t>
      </w:r>
    </w:p>
    <w:p w14:paraId="43B6D04C" w14:textId="77777777" w:rsidR="00216962" w:rsidRPr="00216962" w:rsidRDefault="00216962" w:rsidP="00216962">
      <w:pPr>
        <w:pStyle w:val="xmsonormal"/>
        <w:ind w:left="720"/>
        <w:jc w:val="both"/>
        <w:rPr>
          <w:rFonts w:asciiTheme="minorHAnsi" w:hAnsiTheme="minorHAnsi" w:cs="Tahoma"/>
          <w:lang w:val="es-ES_tradnl"/>
        </w:rPr>
      </w:pPr>
      <w:r w:rsidRPr="00216962">
        <w:rPr>
          <w:rFonts w:asciiTheme="minorHAnsi" w:hAnsiTheme="minorHAnsi" w:cs="Tahoma"/>
          <w:b/>
          <w:lang w:val="es-ES_tradnl"/>
        </w:rPr>
        <w:t>Aspectos de Costos</w:t>
      </w:r>
      <w:r w:rsidRPr="00216962">
        <w:rPr>
          <w:rFonts w:asciiTheme="minorHAnsi" w:hAnsiTheme="minorHAnsi" w:cs="Tahoma"/>
          <w:lang w:val="es-ES_tradnl"/>
        </w:rPr>
        <w:t xml:space="preserve"> Se consideraron dos aspectos. Por un lado se compararon los costos de cada propuesta. </w:t>
      </w:r>
      <w:r w:rsidRPr="00216962">
        <w:rPr>
          <w:rFonts w:asciiTheme="minorHAnsi" w:hAnsiTheme="minorHAnsi"/>
          <w:lang w:val="es-ES_tradnl"/>
        </w:rPr>
        <w:t>Los análisis de costos totales por graduado tanto del SEMED como el SAT se sitúan sobre los US$ 2 500 por graduado por los tres años, monto muy superior a los US$  US$ 876 bajo el modelo IHER</w:t>
      </w:r>
      <w:r w:rsidR="00D76E31">
        <w:rPr>
          <w:rFonts w:asciiTheme="minorHAnsi" w:hAnsiTheme="minorHAnsi"/>
          <w:lang w:val="es-ES_tradnl"/>
        </w:rPr>
        <w:t xml:space="preserve"> (sin incluir costos de merienda escolar)</w:t>
      </w:r>
      <w:r w:rsidRPr="00216962">
        <w:rPr>
          <w:rFonts w:asciiTheme="minorHAnsi" w:hAnsiTheme="minorHAnsi"/>
          <w:lang w:val="es-ES_tradnl"/>
        </w:rPr>
        <w:t xml:space="preserve">.  Por otro </w:t>
      </w:r>
      <w:r w:rsidRPr="00216962">
        <w:rPr>
          <w:rFonts w:asciiTheme="minorHAnsi" w:hAnsiTheme="minorHAnsi"/>
          <w:lang w:val="es-ES_tradnl"/>
        </w:rPr>
        <w:lastRenderedPageBreak/>
        <w:t xml:space="preserve">lado,  al revisar </w:t>
      </w:r>
      <w:r w:rsidRPr="00216962">
        <w:rPr>
          <w:rFonts w:asciiTheme="minorHAnsi" w:hAnsiTheme="minorHAnsi" w:cs="Tahoma"/>
          <w:lang w:val="es-ES_tradnl"/>
        </w:rPr>
        <w:t xml:space="preserve">la estructura de costos de la propuesta del IHER, se encontró que en su mayoría corresponde a pagos por remuneración de los facilitadores, y los bienes a adquirir reflejan costos de mercado. El monto del pago a facilitadores  ha sido determinado por la Secretaria de Educación, con base a la escala salariar de docentes en Honduras. </w:t>
      </w:r>
    </w:p>
    <w:p w14:paraId="5761CAD3" w14:textId="77777777" w:rsidR="00216962" w:rsidRPr="00216962" w:rsidRDefault="00216962" w:rsidP="00216962">
      <w:pPr>
        <w:pStyle w:val="xmsonormal"/>
        <w:ind w:left="720"/>
        <w:jc w:val="both"/>
        <w:rPr>
          <w:rFonts w:asciiTheme="minorHAnsi" w:hAnsiTheme="minorHAnsi" w:cs="Tahoma"/>
          <w:lang w:val="es-ES_tradnl"/>
        </w:rPr>
      </w:pPr>
      <w:r w:rsidRPr="00216962">
        <w:rPr>
          <w:rFonts w:asciiTheme="minorHAnsi" w:hAnsiTheme="minorHAnsi" w:cs="Tahoma"/>
          <w:b/>
          <w:lang w:val="es-ES_tradnl"/>
        </w:rPr>
        <w:t>Aspectos geográficos</w:t>
      </w:r>
      <w:r w:rsidRPr="00216962">
        <w:rPr>
          <w:rFonts w:asciiTheme="minorHAnsi" w:hAnsiTheme="minorHAnsi" w:cs="Tahoma"/>
          <w:lang w:val="es-ES_tradnl"/>
        </w:rPr>
        <w:t>: El IHER tiene presencia a nivel nacional, y en particular, comprobada y amplia en las zonas de influencia del Bono 10Mil PARA VIDA MEJOR. Adicionalmente, cuenta con una cadena de emisoras de radio que permiten llegar de forma costo efectiva a los centros educativos de la zona, garantizando el apoyo efectivo el proceso educativo.</w:t>
      </w:r>
    </w:p>
    <w:p w14:paraId="5DAEEAF9" w14:textId="77777777" w:rsidR="00216962" w:rsidRPr="00216962" w:rsidRDefault="00216962" w:rsidP="00216962">
      <w:pPr>
        <w:pStyle w:val="xmsonormal"/>
        <w:ind w:left="720"/>
        <w:jc w:val="both"/>
        <w:rPr>
          <w:rFonts w:asciiTheme="minorHAnsi" w:hAnsiTheme="minorHAnsi" w:cs="Tahoma"/>
          <w:lang w:val="es-ES_tradnl"/>
        </w:rPr>
      </w:pPr>
      <w:r w:rsidRPr="00216962">
        <w:rPr>
          <w:rFonts w:asciiTheme="minorHAnsi" w:hAnsiTheme="minorHAnsi" w:cs="Tahoma"/>
          <w:b/>
          <w:lang w:val="es-ES_tradnl"/>
        </w:rPr>
        <w:t>Aspectos generales</w:t>
      </w:r>
      <w:r w:rsidRPr="00216962">
        <w:rPr>
          <w:rFonts w:asciiTheme="minorHAnsi" w:hAnsiTheme="minorHAnsi" w:cs="Tahoma"/>
          <w:lang w:val="es-ES_tradnl"/>
        </w:rPr>
        <w:t>: Cabe anotar que el SEMED, IHER y SAT tienen experiencia amplia y han estado trabajando en forma masiva con población de características similares a la presente intervención. En la oferta de servicios educativos para el sector rural en el nivel de secundaria existen otros actores como Colegios privados, los cuales no constituyen competencia en iguales condiciones como las que puede suplir las tres analizadas, por las razones expuestas; además de que la contratación de diversos proveedores para atender fracciones de la población, llevaría a la SE a enfrentar problemas de administración de varios contratos.</w:t>
      </w:r>
    </w:p>
    <w:p w14:paraId="1A7948FF" w14:textId="77777777" w:rsidR="00216962" w:rsidRDefault="00216962" w:rsidP="00216962">
      <w:pPr>
        <w:spacing w:before="120" w:after="0" w:line="240" w:lineRule="auto"/>
        <w:jc w:val="both"/>
        <w:rPr>
          <w:sz w:val="24"/>
          <w:szCs w:val="24"/>
          <w:lang w:val="es-ES_tradnl"/>
        </w:rPr>
      </w:pPr>
    </w:p>
    <w:p w14:paraId="39F21FC0" w14:textId="77777777" w:rsidR="00216962" w:rsidRPr="006436E8" w:rsidRDefault="00216962" w:rsidP="00C01679">
      <w:pPr>
        <w:pStyle w:val="ListParagraph"/>
        <w:numPr>
          <w:ilvl w:val="0"/>
          <w:numId w:val="6"/>
        </w:numPr>
        <w:spacing w:before="120" w:after="0" w:line="240" w:lineRule="auto"/>
        <w:jc w:val="both"/>
        <w:rPr>
          <w:sz w:val="24"/>
          <w:szCs w:val="24"/>
          <w:lang w:val="es-ES_tradnl"/>
        </w:rPr>
      </w:pPr>
      <w:r w:rsidRPr="00216962">
        <w:rPr>
          <w:b/>
          <w:sz w:val="24"/>
          <w:szCs w:val="24"/>
          <w:lang w:val="es-ES_tradnl"/>
        </w:rPr>
        <w:t>Criterios de selección de escuelas</w:t>
      </w:r>
      <w:r>
        <w:rPr>
          <w:sz w:val="24"/>
          <w:szCs w:val="24"/>
          <w:lang w:val="es-ES_tradnl"/>
        </w:rPr>
        <w:t xml:space="preserve">. Con recursos de la operación HO-L1093 </w:t>
      </w:r>
      <w:r w:rsidR="00C56D63">
        <w:rPr>
          <w:sz w:val="24"/>
          <w:szCs w:val="24"/>
          <w:lang w:val="es-ES_tradnl"/>
        </w:rPr>
        <w:t>se dará continuidad y potenciará</w:t>
      </w:r>
      <w:r>
        <w:rPr>
          <w:sz w:val="24"/>
          <w:szCs w:val="24"/>
          <w:lang w:val="es-ES_tradnl"/>
        </w:rPr>
        <w:t xml:space="preserve"> a las 100 escuelas que están siendo financiadas con recursos de la operación </w:t>
      </w:r>
      <w:r w:rsidR="00F86B12">
        <w:rPr>
          <w:sz w:val="24"/>
          <w:szCs w:val="24"/>
          <w:lang w:val="es-ES"/>
        </w:rPr>
        <w:t>2937/BL-HO</w:t>
      </w:r>
      <w:r w:rsidR="00F86B12">
        <w:rPr>
          <w:sz w:val="24"/>
          <w:szCs w:val="24"/>
          <w:lang w:val="es-ES_tradnl"/>
        </w:rPr>
        <w:t xml:space="preserve"> </w:t>
      </w:r>
      <w:r w:rsidR="004F1AAA">
        <w:rPr>
          <w:sz w:val="24"/>
          <w:szCs w:val="24"/>
          <w:lang w:val="es-ES_tradnl"/>
        </w:rPr>
        <w:t>durante el 2014</w:t>
      </w:r>
      <w:r>
        <w:rPr>
          <w:sz w:val="24"/>
          <w:szCs w:val="24"/>
          <w:lang w:val="es-ES_tradnl"/>
        </w:rPr>
        <w:t xml:space="preserve">. Estas 100 escuelas pertenecen a los departamentos de </w:t>
      </w:r>
      <w:r w:rsidRPr="004F1AAA">
        <w:rPr>
          <w:sz w:val="24"/>
          <w:szCs w:val="24"/>
          <w:lang w:val="es-MX"/>
        </w:rPr>
        <w:t xml:space="preserve">La Paz, Intibucá, Lempira y Santa Bárbara con </w:t>
      </w:r>
      <w:r w:rsidR="00C56D63">
        <w:rPr>
          <w:sz w:val="24"/>
          <w:szCs w:val="24"/>
          <w:lang w:val="es-MX"/>
        </w:rPr>
        <w:t xml:space="preserve">un total </w:t>
      </w:r>
      <w:r w:rsidRPr="004F1AAA">
        <w:rPr>
          <w:sz w:val="24"/>
          <w:szCs w:val="24"/>
          <w:lang w:val="es-MX"/>
        </w:rPr>
        <w:t xml:space="preserve">de 2,500 </w:t>
      </w:r>
      <w:r w:rsidR="00C56D63">
        <w:rPr>
          <w:sz w:val="24"/>
          <w:szCs w:val="24"/>
          <w:lang w:val="es-MX"/>
        </w:rPr>
        <w:t>cupos</w:t>
      </w:r>
      <w:r w:rsidRPr="004F1AAA">
        <w:rPr>
          <w:sz w:val="24"/>
          <w:szCs w:val="24"/>
          <w:lang w:val="es-MX"/>
        </w:rPr>
        <w:t>. Estas escuelas fueron seleccionadas en</w:t>
      </w:r>
      <w:r>
        <w:rPr>
          <w:sz w:val="24"/>
          <w:szCs w:val="24"/>
          <w:lang w:val="es-MX"/>
        </w:rPr>
        <w:t xml:space="preserve"> base </w:t>
      </w:r>
      <w:r w:rsidR="00C56D63">
        <w:rPr>
          <w:sz w:val="24"/>
          <w:szCs w:val="24"/>
          <w:lang w:val="es-MX"/>
        </w:rPr>
        <w:t xml:space="preserve">de no contar con oferta cercana de tercer ciclo, </w:t>
      </w:r>
      <w:r w:rsidR="004F1AAA">
        <w:rPr>
          <w:sz w:val="24"/>
          <w:szCs w:val="24"/>
          <w:lang w:val="es-MX"/>
        </w:rPr>
        <w:t>estar ubicadas en áreas con alta concentración de beneficiarios del bono, ser cabeceras de red escolar (establecida o de potencial formación). Est</w:t>
      </w:r>
      <w:r w:rsidR="00C56D63">
        <w:rPr>
          <w:sz w:val="24"/>
          <w:szCs w:val="24"/>
          <w:lang w:val="es-MX"/>
        </w:rPr>
        <w:t>o último garantiza la matrícula.</w:t>
      </w:r>
      <w:r w:rsidR="004F1AAA">
        <w:rPr>
          <w:sz w:val="24"/>
          <w:szCs w:val="24"/>
          <w:lang w:val="es-MX"/>
        </w:rPr>
        <w:t xml:space="preserve"> </w:t>
      </w:r>
    </w:p>
    <w:p w14:paraId="18B8DCAC" w14:textId="77777777" w:rsidR="006436E8" w:rsidRPr="004F1AAA" w:rsidRDefault="006436E8" w:rsidP="006436E8">
      <w:pPr>
        <w:pStyle w:val="ListParagraph"/>
        <w:spacing w:before="120" w:after="0" w:line="240" w:lineRule="auto"/>
        <w:jc w:val="both"/>
        <w:rPr>
          <w:sz w:val="24"/>
          <w:szCs w:val="24"/>
          <w:lang w:val="es-ES_tradnl"/>
        </w:rPr>
      </w:pPr>
    </w:p>
    <w:p w14:paraId="06F676BF" w14:textId="77777777" w:rsidR="004F1AAA" w:rsidRPr="004F1AAA" w:rsidRDefault="004F1AAA" w:rsidP="004F1AAA">
      <w:pPr>
        <w:spacing w:before="120" w:after="0" w:line="240" w:lineRule="auto"/>
        <w:ind w:left="720"/>
        <w:jc w:val="both"/>
        <w:rPr>
          <w:sz w:val="24"/>
          <w:szCs w:val="24"/>
          <w:lang w:val="es-ES_tradnl"/>
        </w:rPr>
      </w:pPr>
      <w:r>
        <w:rPr>
          <w:sz w:val="24"/>
          <w:szCs w:val="24"/>
          <w:lang w:val="es-ES_tradnl"/>
        </w:rPr>
        <w:t xml:space="preserve">A las 100 escuelas seleccionadas se le añadirá 50 escuelas para tener un total de 150 escuelas. Se seguirán los mismos criterios </w:t>
      </w:r>
      <w:r w:rsidR="00C56D63">
        <w:rPr>
          <w:sz w:val="24"/>
          <w:szCs w:val="24"/>
          <w:lang w:val="es-ES_tradnl"/>
        </w:rPr>
        <w:t xml:space="preserve">de selección </w:t>
      </w:r>
      <w:r>
        <w:rPr>
          <w:sz w:val="24"/>
          <w:szCs w:val="24"/>
          <w:lang w:val="es-ES_tradnl"/>
        </w:rPr>
        <w:t>definidos en el párrafo anterior, sólo añadiéndose l</w:t>
      </w:r>
      <w:r w:rsidR="00F86B12">
        <w:rPr>
          <w:sz w:val="24"/>
          <w:szCs w:val="24"/>
          <w:lang w:val="es-ES_tradnl"/>
        </w:rPr>
        <w:t>a elegibilidad de escuelas en los</w:t>
      </w:r>
      <w:r>
        <w:rPr>
          <w:sz w:val="24"/>
          <w:szCs w:val="24"/>
          <w:lang w:val="es-ES_tradnl"/>
        </w:rPr>
        <w:t xml:space="preserve"> departamento</w:t>
      </w:r>
      <w:r w:rsidR="00F86B12">
        <w:rPr>
          <w:sz w:val="24"/>
          <w:szCs w:val="24"/>
          <w:lang w:val="es-ES_tradnl"/>
        </w:rPr>
        <w:t>s de Ocotepeque</w:t>
      </w:r>
      <w:r>
        <w:rPr>
          <w:sz w:val="24"/>
          <w:szCs w:val="24"/>
          <w:lang w:val="es-ES_tradnl"/>
        </w:rPr>
        <w:t xml:space="preserve"> Santa Rosa de Copan.   </w:t>
      </w:r>
    </w:p>
    <w:p w14:paraId="38364312" w14:textId="77777777" w:rsidR="00FF4493" w:rsidRDefault="00FF4493" w:rsidP="00FF4493">
      <w:pPr>
        <w:spacing w:before="120" w:after="0" w:line="240" w:lineRule="auto"/>
        <w:jc w:val="both"/>
        <w:rPr>
          <w:sz w:val="24"/>
          <w:szCs w:val="24"/>
          <w:lang w:val="es-ES_tradnl"/>
        </w:rPr>
      </w:pPr>
    </w:p>
    <w:p w14:paraId="14B7E089" w14:textId="77777777" w:rsidR="00FF4493" w:rsidRPr="006436E8" w:rsidRDefault="00FF4493" w:rsidP="006436E8">
      <w:pPr>
        <w:pStyle w:val="ListParagraph"/>
        <w:numPr>
          <w:ilvl w:val="0"/>
          <w:numId w:val="6"/>
        </w:numPr>
        <w:spacing w:before="120" w:after="0" w:line="240" w:lineRule="auto"/>
        <w:jc w:val="both"/>
        <w:rPr>
          <w:sz w:val="24"/>
          <w:szCs w:val="24"/>
          <w:lang w:val="es-ES_tradnl"/>
        </w:rPr>
      </w:pPr>
      <w:r w:rsidRPr="00C56D63">
        <w:rPr>
          <w:b/>
          <w:sz w:val="24"/>
          <w:szCs w:val="24"/>
          <w:lang w:val="es-ES_tradnl"/>
        </w:rPr>
        <w:t>Intervención a nivel de escuela</w:t>
      </w:r>
      <w:r w:rsidRPr="00C56D63">
        <w:rPr>
          <w:sz w:val="24"/>
          <w:szCs w:val="24"/>
          <w:lang w:val="es-ES_tradnl"/>
        </w:rPr>
        <w:t>.</w:t>
      </w:r>
      <w:r w:rsidR="006436E8">
        <w:rPr>
          <w:sz w:val="24"/>
          <w:szCs w:val="24"/>
          <w:lang w:val="es-ES_tradnl"/>
        </w:rPr>
        <w:t xml:space="preserve"> Adicionalmente al facilitador y el material didáctico, </w:t>
      </w:r>
      <w:r w:rsidR="003247C4" w:rsidRPr="00C56D63">
        <w:rPr>
          <w:sz w:val="24"/>
          <w:szCs w:val="24"/>
          <w:lang w:val="es-ES_tradnl"/>
        </w:rPr>
        <w:t xml:space="preserve"> </w:t>
      </w:r>
      <w:r w:rsidR="006436E8">
        <w:rPr>
          <w:sz w:val="24"/>
          <w:szCs w:val="24"/>
          <w:lang w:val="es-ES_tradnl"/>
        </w:rPr>
        <w:t>c</w:t>
      </w:r>
      <w:r w:rsidR="003247C4" w:rsidRPr="006436E8">
        <w:rPr>
          <w:sz w:val="24"/>
          <w:szCs w:val="24"/>
          <w:lang w:val="es-ES_tradnl"/>
        </w:rPr>
        <w:t>ada escuela</w:t>
      </w:r>
      <w:r w:rsidR="00F86B12" w:rsidRPr="006436E8">
        <w:rPr>
          <w:sz w:val="24"/>
          <w:szCs w:val="24"/>
          <w:lang w:val="es-ES_tradnl"/>
        </w:rPr>
        <w:t xml:space="preserve"> tendrá un reforzamiento de infraestructura</w:t>
      </w:r>
      <w:r w:rsidR="00544551">
        <w:rPr>
          <w:sz w:val="24"/>
          <w:szCs w:val="24"/>
          <w:lang w:val="es-ES_tradnl"/>
        </w:rPr>
        <w:t xml:space="preserve"> y tecnológico, dedicándose un monto total de US$ 25 millones</w:t>
      </w:r>
      <w:r w:rsidR="00F86B12" w:rsidRPr="006436E8">
        <w:rPr>
          <w:sz w:val="24"/>
          <w:szCs w:val="24"/>
          <w:lang w:val="es-ES_tradnl"/>
        </w:rPr>
        <w:t>. C</w:t>
      </w:r>
      <w:r w:rsidR="003247C4" w:rsidRPr="006436E8">
        <w:rPr>
          <w:sz w:val="24"/>
          <w:szCs w:val="24"/>
          <w:lang w:val="es-ES_tradnl"/>
        </w:rPr>
        <w:t xml:space="preserve">ada grado </w:t>
      </w:r>
      <w:r w:rsidR="00F86B12" w:rsidRPr="006436E8">
        <w:rPr>
          <w:sz w:val="24"/>
          <w:szCs w:val="24"/>
          <w:lang w:val="es-ES_tradnl"/>
        </w:rPr>
        <w:t>contará</w:t>
      </w:r>
      <w:r w:rsidR="003247C4" w:rsidRPr="006436E8">
        <w:rPr>
          <w:sz w:val="24"/>
          <w:szCs w:val="24"/>
          <w:lang w:val="es-ES_tradnl"/>
        </w:rPr>
        <w:t xml:space="preserve"> con su propio ambiente (ie, un ambiente para séptimo grado, un ambiente para 8vo grado y un ambiente para 9no grado). </w:t>
      </w:r>
      <w:r w:rsidR="006436E8">
        <w:rPr>
          <w:sz w:val="24"/>
          <w:szCs w:val="24"/>
          <w:lang w:val="es-ES_tradnl"/>
        </w:rPr>
        <w:t xml:space="preserve">También </w:t>
      </w:r>
      <w:r w:rsidR="003247C4" w:rsidRPr="006436E8">
        <w:rPr>
          <w:sz w:val="24"/>
          <w:szCs w:val="24"/>
          <w:lang w:val="es-ES_tradnl"/>
        </w:rPr>
        <w:t xml:space="preserve">se proveerá de un área de depósito y un área común de patio escolar. </w:t>
      </w:r>
      <w:r w:rsidR="001D095E" w:rsidRPr="006436E8">
        <w:rPr>
          <w:sz w:val="24"/>
          <w:szCs w:val="24"/>
          <w:lang w:val="es-ES_tradnl"/>
        </w:rPr>
        <w:t xml:space="preserve">Las construcciones se realizaran de acuerdo a los modelos de escuelas contemplados en </w:t>
      </w:r>
      <w:r w:rsidR="001D095E" w:rsidRPr="006436E8">
        <w:rPr>
          <w:sz w:val="24"/>
          <w:szCs w:val="24"/>
          <w:lang w:val="es-ES_tradnl"/>
        </w:rPr>
        <w:lastRenderedPageBreak/>
        <w:t>el plan maestro de infraestructura</w:t>
      </w:r>
      <w:r w:rsidR="006436E8">
        <w:rPr>
          <w:sz w:val="24"/>
          <w:szCs w:val="24"/>
          <w:lang w:val="es-ES_tradnl"/>
        </w:rPr>
        <w:t>, adecuándose a las características climáticas de la zona</w:t>
      </w:r>
      <w:r w:rsidR="001D095E" w:rsidRPr="006436E8">
        <w:rPr>
          <w:sz w:val="24"/>
          <w:szCs w:val="24"/>
          <w:lang w:val="es-ES_tradnl"/>
        </w:rPr>
        <w:t>.</w:t>
      </w:r>
    </w:p>
    <w:p w14:paraId="6D2D96D2" w14:textId="77777777" w:rsidR="003247C4" w:rsidRDefault="003247C4" w:rsidP="003247C4">
      <w:pPr>
        <w:pStyle w:val="ListParagraph"/>
        <w:spacing w:before="120" w:after="0" w:line="240" w:lineRule="auto"/>
        <w:jc w:val="both"/>
        <w:rPr>
          <w:b/>
          <w:sz w:val="24"/>
          <w:szCs w:val="24"/>
          <w:lang w:val="es-ES_tradnl"/>
        </w:rPr>
      </w:pPr>
    </w:p>
    <w:p w14:paraId="08FFF931" w14:textId="77777777" w:rsidR="003247C4" w:rsidRDefault="003247C4" w:rsidP="003247C4">
      <w:pPr>
        <w:pStyle w:val="ListParagraph"/>
        <w:spacing w:before="120" w:after="0" w:line="240" w:lineRule="auto"/>
        <w:jc w:val="both"/>
        <w:rPr>
          <w:sz w:val="24"/>
          <w:szCs w:val="24"/>
          <w:lang w:val="es-ES_tradnl"/>
        </w:rPr>
      </w:pPr>
      <w:r>
        <w:rPr>
          <w:sz w:val="24"/>
          <w:szCs w:val="24"/>
          <w:lang w:val="es-ES_tradnl"/>
        </w:rPr>
        <w:t xml:space="preserve">Para mejorar la calidad de provisión de servicio y en línea con las políticas del Gobierno de Honduras, cada aula contara con un área de tecnología, y la escuela </w:t>
      </w:r>
      <w:r w:rsidR="00F86B12">
        <w:rPr>
          <w:sz w:val="24"/>
          <w:szCs w:val="24"/>
          <w:lang w:val="es-ES_tradnl"/>
        </w:rPr>
        <w:t>contará</w:t>
      </w:r>
      <w:r>
        <w:rPr>
          <w:sz w:val="24"/>
          <w:szCs w:val="24"/>
          <w:lang w:val="es-ES_tradnl"/>
        </w:rPr>
        <w:t xml:space="preserve"> con una red local. Para acceso a contenido educativo,  la escuela contara con acceso a internet, y un servidor de respaldo de contenidos.</w:t>
      </w:r>
      <w:r w:rsidR="006436E8">
        <w:rPr>
          <w:sz w:val="24"/>
          <w:szCs w:val="24"/>
          <w:lang w:val="es-ES_tradnl"/>
        </w:rPr>
        <w:t xml:space="preserve"> Los contenidos pedagógicos a instalarse en las computadoras serán coordinados entre la SE y el IHER, y se basarán en los avances en la materia realizados por el programa EDUCATRACHOS.</w:t>
      </w:r>
    </w:p>
    <w:p w14:paraId="5F078CDD" w14:textId="77777777" w:rsidR="003247C4" w:rsidRDefault="003247C4" w:rsidP="003247C4">
      <w:pPr>
        <w:pStyle w:val="ListParagraph"/>
        <w:spacing w:before="120" w:after="0" w:line="240" w:lineRule="auto"/>
        <w:jc w:val="both"/>
        <w:rPr>
          <w:sz w:val="24"/>
          <w:szCs w:val="24"/>
          <w:lang w:val="es-ES_tradnl"/>
        </w:rPr>
      </w:pPr>
    </w:p>
    <w:p w14:paraId="3FB3DFBD" w14:textId="77777777" w:rsidR="003247C4" w:rsidRPr="003247C4" w:rsidRDefault="003247C4" w:rsidP="003247C4">
      <w:pPr>
        <w:pStyle w:val="ListParagraph"/>
        <w:spacing w:before="120" w:after="0" w:line="240" w:lineRule="auto"/>
        <w:jc w:val="both"/>
        <w:rPr>
          <w:sz w:val="24"/>
          <w:szCs w:val="24"/>
          <w:lang w:val="es-ES_tradnl"/>
        </w:rPr>
      </w:pPr>
      <w:r>
        <w:rPr>
          <w:sz w:val="24"/>
          <w:szCs w:val="24"/>
          <w:lang w:val="es-ES_tradnl"/>
        </w:rPr>
        <w:t>Para superar las características de  posible falta de electricidad en algunas comunidades, se prevé el empleo de paneles solares en las escuelas que lo necesiten.</w:t>
      </w:r>
    </w:p>
    <w:p w14:paraId="729B2D40" w14:textId="77777777" w:rsidR="00544551" w:rsidRDefault="00544551" w:rsidP="00BF79B1">
      <w:pPr>
        <w:pStyle w:val="ListParagraph"/>
        <w:spacing w:before="120" w:after="0" w:line="240" w:lineRule="auto"/>
        <w:jc w:val="both"/>
        <w:rPr>
          <w:sz w:val="24"/>
          <w:szCs w:val="24"/>
          <w:lang w:val="es-ES_tradnl"/>
        </w:rPr>
      </w:pPr>
    </w:p>
    <w:p w14:paraId="4623D70D" w14:textId="77777777" w:rsidR="00544551" w:rsidRDefault="00544551" w:rsidP="00544551">
      <w:pPr>
        <w:pStyle w:val="ListParagraph"/>
        <w:numPr>
          <w:ilvl w:val="0"/>
          <w:numId w:val="6"/>
        </w:numPr>
        <w:spacing w:before="120" w:after="0" w:line="240" w:lineRule="auto"/>
        <w:jc w:val="both"/>
        <w:rPr>
          <w:sz w:val="24"/>
          <w:szCs w:val="24"/>
          <w:lang w:val="es-ES_tradnl"/>
        </w:rPr>
      </w:pPr>
      <w:r w:rsidRPr="00544551">
        <w:rPr>
          <w:b/>
          <w:sz w:val="24"/>
          <w:szCs w:val="24"/>
          <w:lang w:val="es-ES_tradnl"/>
        </w:rPr>
        <w:t>Reforzamiento institucional de la Secretaria Educación</w:t>
      </w:r>
      <w:r>
        <w:rPr>
          <w:sz w:val="24"/>
          <w:szCs w:val="24"/>
          <w:lang w:val="es-ES_tradnl"/>
        </w:rPr>
        <w:t xml:space="preserve">. (US$ 1 millón). La potenciación del modelo de tercer ciclo en áreas rurales requerirá mayores capacidades de la secretaría de educación para el monitoreo de las escuelas. Asimismo, se necesitará el reforzamiento de la coordinación entre el los componentes de transferencias monetarias y los de educación de la operación para garantizar la materialización de las sinergias potenciales. </w:t>
      </w:r>
    </w:p>
    <w:p w14:paraId="67FDEFA7" w14:textId="77777777" w:rsidR="00544551" w:rsidRDefault="00544551" w:rsidP="00BF79B1">
      <w:pPr>
        <w:pStyle w:val="ListParagraph"/>
        <w:spacing w:before="120" w:after="0" w:line="240" w:lineRule="auto"/>
        <w:jc w:val="both"/>
        <w:rPr>
          <w:sz w:val="24"/>
          <w:szCs w:val="24"/>
          <w:lang w:val="es-ES_tradnl"/>
        </w:rPr>
      </w:pPr>
    </w:p>
    <w:p w14:paraId="13DFC305" w14:textId="77777777" w:rsidR="00FF4493" w:rsidRPr="004F1AAA" w:rsidRDefault="00FF4493" w:rsidP="001D095E">
      <w:pPr>
        <w:pStyle w:val="ListParagraph"/>
        <w:spacing w:before="120" w:after="0" w:line="240" w:lineRule="auto"/>
        <w:jc w:val="both"/>
        <w:rPr>
          <w:sz w:val="24"/>
          <w:szCs w:val="24"/>
          <w:lang w:val="es-ES_tradnl"/>
        </w:rPr>
      </w:pPr>
    </w:p>
    <w:p w14:paraId="0A495922" w14:textId="77777777" w:rsidR="00024A37" w:rsidRDefault="003247C4" w:rsidP="00C01679">
      <w:pPr>
        <w:pStyle w:val="ListParagraph"/>
        <w:numPr>
          <w:ilvl w:val="0"/>
          <w:numId w:val="6"/>
        </w:numPr>
        <w:jc w:val="both"/>
        <w:rPr>
          <w:sz w:val="24"/>
          <w:szCs w:val="24"/>
          <w:lang w:val="es-ES_tradnl"/>
        </w:rPr>
      </w:pPr>
      <w:r w:rsidRPr="001D095E">
        <w:rPr>
          <w:b/>
          <w:sz w:val="24"/>
          <w:szCs w:val="24"/>
          <w:lang w:val="es-ES_tradnl"/>
        </w:rPr>
        <w:t>Beneficiarios</w:t>
      </w:r>
      <w:r>
        <w:rPr>
          <w:sz w:val="24"/>
          <w:szCs w:val="24"/>
          <w:lang w:val="es-ES_tradnl"/>
        </w:rPr>
        <w:t xml:space="preserve">. </w:t>
      </w:r>
      <w:r w:rsidR="00CC6B84">
        <w:rPr>
          <w:sz w:val="24"/>
          <w:szCs w:val="24"/>
          <w:lang w:val="es-ES_tradnl"/>
        </w:rPr>
        <w:t xml:space="preserve">Durante los tres años de intervención con recursos de HO-L1093 </w:t>
      </w:r>
      <w:r>
        <w:rPr>
          <w:sz w:val="24"/>
          <w:szCs w:val="24"/>
          <w:lang w:val="es-ES_tradnl"/>
        </w:rPr>
        <w:t xml:space="preserve">se </w:t>
      </w:r>
      <w:r w:rsidR="006436E8">
        <w:rPr>
          <w:sz w:val="24"/>
          <w:szCs w:val="24"/>
          <w:lang w:val="es-ES_tradnl"/>
        </w:rPr>
        <w:t>crearán 27500 cupos</w:t>
      </w:r>
      <w:r>
        <w:rPr>
          <w:sz w:val="24"/>
          <w:szCs w:val="24"/>
          <w:lang w:val="es-ES_tradnl"/>
        </w:rPr>
        <w:t xml:space="preserve"> escolares. Estos </w:t>
      </w:r>
      <w:r w:rsidR="00CC6B84">
        <w:rPr>
          <w:sz w:val="24"/>
          <w:szCs w:val="24"/>
          <w:lang w:val="es-ES_tradnl"/>
        </w:rPr>
        <w:t xml:space="preserve">cupos apoyarán al </w:t>
      </w:r>
      <w:r>
        <w:rPr>
          <w:sz w:val="24"/>
          <w:szCs w:val="24"/>
          <w:lang w:val="es-ES_tradnl"/>
        </w:rPr>
        <w:t xml:space="preserve">cohorte siguiendo 8vo grado en 2015 </w:t>
      </w:r>
      <w:r w:rsidR="00CC6B84">
        <w:rPr>
          <w:sz w:val="24"/>
          <w:szCs w:val="24"/>
          <w:lang w:val="es-ES_tradnl"/>
        </w:rPr>
        <w:t xml:space="preserve">y 9no grado en 2016, </w:t>
      </w:r>
      <w:r w:rsidR="001D095E">
        <w:rPr>
          <w:sz w:val="24"/>
          <w:szCs w:val="24"/>
          <w:lang w:val="es-ES_tradnl"/>
        </w:rPr>
        <w:t>provenientes</w:t>
      </w:r>
      <w:r>
        <w:rPr>
          <w:sz w:val="24"/>
          <w:szCs w:val="24"/>
          <w:lang w:val="es-ES_tradnl"/>
        </w:rPr>
        <w:t xml:space="preserve"> de las 100 escuelas benef</w:t>
      </w:r>
      <w:r w:rsidR="00F86B12">
        <w:rPr>
          <w:sz w:val="24"/>
          <w:szCs w:val="24"/>
          <w:lang w:val="es-ES_tradnl"/>
        </w:rPr>
        <w:t xml:space="preserve">iciadas por la operación </w:t>
      </w:r>
      <w:r w:rsidR="00F86B12">
        <w:rPr>
          <w:sz w:val="24"/>
          <w:szCs w:val="24"/>
          <w:lang w:val="es-ES"/>
        </w:rPr>
        <w:t>2937/BL-HO</w:t>
      </w:r>
      <w:r w:rsidR="006436E8">
        <w:rPr>
          <w:sz w:val="24"/>
          <w:szCs w:val="24"/>
          <w:lang w:val="es-ES_tradnl"/>
        </w:rPr>
        <w:t>, y a los nuevos cupos</w:t>
      </w:r>
      <w:r>
        <w:rPr>
          <w:sz w:val="24"/>
          <w:szCs w:val="24"/>
          <w:lang w:val="es-ES_tradnl"/>
        </w:rPr>
        <w:t xml:space="preserve">, </w:t>
      </w:r>
      <w:r w:rsidR="006436E8">
        <w:rPr>
          <w:sz w:val="24"/>
          <w:szCs w:val="24"/>
          <w:lang w:val="es-ES_tradnl"/>
        </w:rPr>
        <w:t>para generaciones que inicial el 7mo grado en</w:t>
      </w:r>
      <w:r>
        <w:rPr>
          <w:sz w:val="24"/>
          <w:szCs w:val="24"/>
          <w:lang w:val="es-ES_tradnl"/>
        </w:rPr>
        <w:t xml:space="preserve"> 2015, 2016 y 2017</w:t>
      </w:r>
      <w:r w:rsidR="006436E8">
        <w:rPr>
          <w:sz w:val="24"/>
          <w:szCs w:val="24"/>
          <w:lang w:val="es-ES_tradnl"/>
        </w:rPr>
        <w:t xml:space="preserve">. La estructura de los cupos </w:t>
      </w:r>
      <w:r w:rsidR="001D095E">
        <w:rPr>
          <w:sz w:val="24"/>
          <w:szCs w:val="24"/>
          <w:lang w:val="es-ES_tradnl"/>
        </w:rPr>
        <w:t>se describe a continuación:</w:t>
      </w:r>
    </w:p>
    <w:p w14:paraId="3AED1750" w14:textId="77777777" w:rsidR="001D095E" w:rsidRDefault="001D095E" w:rsidP="001D095E">
      <w:pPr>
        <w:pStyle w:val="ListParagraph"/>
        <w:jc w:val="both"/>
        <w:rPr>
          <w:sz w:val="24"/>
          <w:szCs w:val="24"/>
          <w:lang w:val="es-ES_tradnl"/>
        </w:rPr>
      </w:pPr>
    </w:p>
    <w:p w14:paraId="34A4271D" w14:textId="77777777" w:rsidR="001D095E" w:rsidRPr="001D095E" w:rsidRDefault="001D095E" w:rsidP="001D095E">
      <w:pPr>
        <w:jc w:val="center"/>
        <w:rPr>
          <w:b/>
          <w:sz w:val="24"/>
          <w:szCs w:val="24"/>
          <w:lang w:val="es-ES_tradnl"/>
        </w:rPr>
      </w:pPr>
      <w:r w:rsidRPr="001D095E">
        <w:rPr>
          <w:b/>
          <w:sz w:val="24"/>
          <w:szCs w:val="24"/>
          <w:lang w:val="es-ES_tradnl"/>
        </w:rPr>
        <w:t>TABLA 3</w:t>
      </w:r>
    </w:p>
    <w:tbl>
      <w:tblPr>
        <w:tblW w:w="4800" w:type="dxa"/>
        <w:jc w:val="center"/>
        <w:tblInd w:w="93" w:type="dxa"/>
        <w:tblLook w:val="04A0" w:firstRow="1" w:lastRow="0" w:firstColumn="1" w:lastColumn="0" w:noHBand="0" w:noVBand="1"/>
      </w:tblPr>
      <w:tblGrid>
        <w:gridCol w:w="888"/>
        <w:gridCol w:w="1050"/>
        <w:gridCol w:w="1050"/>
        <w:gridCol w:w="852"/>
        <w:gridCol w:w="960"/>
      </w:tblGrid>
      <w:tr w:rsidR="00FF4493" w:rsidRPr="003B6E39" w14:paraId="3ED68FEA" w14:textId="77777777" w:rsidTr="00FF4493">
        <w:trPr>
          <w:trHeight w:val="300"/>
          <w:jc w:val="center"/>
        </w:trPr>
        <w:tc>
          <w:tcPr>
            <w:tcW w:w="3840" w:type="dxa"/>
            <w:gridSpan w:val="4"/>
            <w:tcBorders>
              <w:top w:val="nil"/>
              <w:left w:val="nil"/>
              <w:bottom w:val="nil"/>
              <w:right w:val="nil"/>
            </w:tcBorders>
            <w:shd w:val="clear" w:color="auto" w:fill="auto"/>
            <w:noWrap/>
            <w:vAlign w:val="bottom"/>
            <w:hideMark/>
          </w:tcPr>
          <w:p w14:paraId="187D4F37" w14:textId="77777777" w:rsidR="00FF4493" w:rsidRPr="00FF4493" w:rsidRDefault="00FF4493" w:rsidP="00FF4493">
            <w:pPr>
              <w:spacing w:after="0" w:line="240" w:lineRule="auto"/>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Cupos creados : 1 aula con 25 alumno</w:t>
            </w:r>
            <w:r w:rsidR="001D095E">
              <w:rPr>
                <w:rFonts w:ascii="Calibri" w:eastAsia="Times New Roman" w:hAnsi="Calibri" w:cs="Times New Roman"/>
                <w:b/>
                <w:bCs/>
                <w:color w:val="000000"/>
                <w:lang w:val="es-ES_tradnl"/>
              </w:rPr>
              <w:t>s</w:t>
            </w:r>
          </w:p>
        </w:tc>
        <w:tc>
          <w:tcPr>
            <w:tcW w:w="960" w:type="dxa"/>
            <w:tcBorders>
              <w:top w:val="nil"/>
              <w:left w:val="nil"/>
              <w:bottom w:val="nil"/>
              <w:right w:val="nil"/>
            </w:tcBorders>
            <w:shd w:val="clear" w:color="auto" w:fill="auto"/>
            <w:noWrap/>
            <w:vAlign w:val="bottom"/>
            <w:hideMark/>
          </w:tcPr>
          <w:p w14:paraId="1A54B5FE" w14:textId="77777777" w:rsidR="00FF4493" w:rsidRPr="00FF4493" w:rsidRDefault="00FF4493" w:rsidP="00FF4493">
            <w:pPr>
              <w:spacing w:after="0" w:line="240" w:lineRule="auto"/>
              <w:rPr>
                <w:rFonts w:ascii="Calibri" w:eastAsia="Times New Roman" w:hAnsi="Calibri" w:cs="Times New Roman"/>
                <w:color w:val="000000"/>
                <w:lang w:val="es-ES_tradnl"/>
              </w:rPr>
            </w:pPr>
          </w:p>
        </w:tc>
      </w:tr>
      <w:tr w:rsidR="00FF4493" w:rsidRPr="00FF4493" w14:paraId="3575D603" w14:textId="77777777" w:rsidTr="00FF4493">
        <w:trPr>
          <w:trHeight w:val="300"/>
          <w:jc w:val="center"/>
        </w:trPr>
        <w:tc>
          <w:tcPr>
            <w:tcW w:w="888" w:type="dxa"/>
            <w:tcBorders>
              <w:top w:val="single" w:sz="4" w:space="0" w:color="auto"/>
              <w:left w:val="nil"/>
              <w:bottom w:val="single" w:sz="4" w:space="0" w:color="auto"/>
              <w:right w:val="nil"/>
            </w:tcBorders>
            <w:shd w:val="clear" w:color="auto" w:fill="auto"/>
            <w:noWrap/>
            <w:vAlign w:val="bottom"/>
            <w:hideMark/>
          </w:tcPr>
          <w:p w14:paraId="485BD827" w14:textId="77777777" w:rsidR="00FF4493" w:rsidRPr="00FF4493" w:rsidRDefault="00FF4493" w:rsidP="00FF4493">
            <w:pPr>
              <w:spacing w:after="0" w:line="240" w:lineRule="auto"/>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 </w:t>
            </w:r>
          </w:p>
        </w:tc>
        <w:tc>
          <w:tcPr>
            <w:tcW w:w="1050" w:type="dxa"/>
            <w:tcBorders>
              <w:top w:val="single" w:sz="4" w:space="0" w:color="auto"/>
              <w:left w:val="nil"/>
              <w:bottom w:val="single" w:sz="4" w:space="0" w:color="auto"/>
              <w:right w:val="nil"/>
            </w:tcBorders>
            <w:shd w:val="clear" w:color="auto" w:fill="auto"/>
            <w:noWrap/>
            <w:vAlign w:val="bottom"/>
            <w:hideMark/>
          </w:tcPr>
          <w:p w14:paraId="06802956" w14:textId="77777777" w:rsidR="00FF4493" w:rsidRPr="00FF4493" w:rsidRDefault="00FF4493" w:rsidP="00FF4493">
            <w:pPr>
              <w:spacing w:after="0" w:line="240" w:lineRule="auto"/>
              <w:jc w:val="right"/>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7mo</w:t>
            </w:r>
          </w:p>
        </w:tc>
        <w:tc>
          <w:tcPr>
            <w:tcW w:w="1050" w:type="dxa"/>
            <w:tcBorders>
              <w:top w:val="single" w:sz="4" w:space="0" w:color="auto"/>
              <w:left w:val="nil"/>
              <w:bottom w:val="single" w:sz="4" w:space="0" w:color="auto"/>
              <w:right w:val="nil"/>
            </w:tcBorders>
            <w:shd w:val="clear" w:color="auto" w:fill="auto"/>
            <w:noWrap/>
            <w:vAlign w:val="bottom"/>
            <w:hideMark/>
          </w:tcPr>
          <w:p w14:paraId="7DBE818F" w14:textId="77777777" w:rsidR="00FF4493" w:rsidRPr="00FF4493" w:rsidRDefault="00FF4493" w:rsidP="00FF4493">
            <w:pPr>
              <w:spacing w:after="0" w:line="240" w:lineRule="auto"/>
              <w:jc w:val="right"/>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8avo</w:t>
            </w:r>
          </w:p>
        </w:tc>
        <w:tc>
          <w:tcPr>
            <w:tcW w:w="852" w:type="dxa"/>
            <w:tcBorders>
              <w:top w:val="single" w:sz="4" w:space="0" w:color="auto"/>
              <w:left w:val="nil"/>
              <w:bottom w:val="single" w:sz="4" w:space="0" w:color="auto"/>
              <w:right w:val="nil"/>
            </w:tcBorders>
            <w:shd w:val="clear" w:color="auto" w:fill="auto"/>
            <w:noWrap/>
            <w:vAlign w:val="bottom"/>
            <w:hideMark/>
          </w:tcPr>
          <w:p w14:paraId="107D496E" w14:textId="77777777" w:rsidR="00FF4493" w:rsidRPr="00FF4493" w:rsidRDefault="00FF4493" w:rsidP="00FF4493">
            <w:pPr>
              <w:spacing w:after="0" w:line="240" w:lineRule="auto"/>
              <w:jc w:val="right"/>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9no</w:t>
            </w:r>
          </w:p>
        </w:tc>
        <w:tc>
          <w:tcPr>
            <w:tcW w:w="960" w:type="dxa"/>
            <w:tcBorders>
              <w:top w:val="single" w:sz="4" w:space="0" w:color="auto"/>
              <w:left w:val="nil"/>
              <w:bottom w:val="single" w:sz="4" w:space="0" w:color="auto"/>
              <w:right w:val="nil"/>
            </w:tcBorders>
            <w:shd w:val="clear" w:color="auto" w:fill="auto"/>
            <w:noWrap/>
            <w:vAlign w:val="bottom"/>
            <w:hideMark/>
          </w:tcPr>
          <w:p w14:paraId="3176CBD1" w14:textId="77777777" w:rsidR="00FF4493" w:rsidRPr="00FF4493" w:rsidRDefault="00FF4493" w:rsidP="00FF4493">
            <w:pPr>
              <w:spacing w:after="0" w:line="240" w:lineRule="auto"/>
              <w:jc w:val="right"/>
              <w:rPr>
                <w:rFonts w:ascii="Calibri" w:eastAsia="Times New Roman" w:hAnsi="Calibri" w:cs="Times New Roman"/>
                <w:b/>
                <w:bCs/>
                <w:color w:val="000000"/>
                <w:lang w:val="es-ES_tradnl"/>
              </w:rPr>
            </w:pPr>
            <w:r w:rsidRPr="00FF4493">
              <w:rPr>
                <w:rFonts w:ascii="Calibri" w:eastAsia="Times New Roman" w:hAnsi="Calibri" w:cs="Times New Roman"/>
                <w:b/>
                <w:bCs/>
                <w:color w:val="000000"/>
                <w:lang w:val="es-ES_tradnl"/>
              </w:rPr>
              <w:t>Total</w:t>
            </w:r>
          </w:p>
        </w:tc>
      </w:tr>
      <w:tr w:rsidR="00FF4493" w:rsidRPr="00FF4493" w14:paraId="2D764A9A"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049FF6B4" w14:textId="77777777" w:rsidR="00FF4493" w:rsidRPr="00FF4493" w:rsidRDefault="00FF4493" w:rsidP="00FF4493">
            <w:pPr>
              <w:spacing w:after="0" w:line="240" w:lineRule="auto"/>
              <w:rPr>
                <w:rFonts w:ascii="Calibri" w:eastAsia="Times New Roman" w:hAnsi="Calibri" w:cs="Times New Roman"/>
                <w:color w:val="000000"/>
                <w:lang w:val="es-ES_tradnl"/>
              </w:rPr>
            </w:pPr>
            <w:r w:rsidRPr="00FF4493">
              <w:rPr>
                <w:rFonts w:ascii="Calibri" w:eastAsia="Times New Roman" w:hAnsi="Calibri" w:cs="Times New Roman"/>
                <w:color w:val="000000"/>
                <w:lang w:val="es-ES_tradnl"/>
              </w:rPr>
              <w:t>2015</w:t>
            </w:r>
          </w:p>
        </w:tc>
        <w:tc>
          <w:tcPr>
            <w:tcW w:w="1050" w:type="dxa"/>
            <w:tcBorders>
              <w:top w:val="nil"/>
              <w:left w:val="nil"/>
              <w:bottom w:val="nil"/>
              <w:right w:val="nil"/>
            </w:tcBorders>
            <w:shd w:val="clear" w:color="auto" w:fill="auto"/>
            <w:noWrap/>
            <w:vAlign w:val="bottom"/>
            <w:hideMark/>
          </w:tcPr>
          <w:p w14:paraId="07C8010E" w14:textId="77777777" w:rsidR="00FF4493" w:rsidRPr="00FF4493" w:rsidRDefault="00FF4493" w:rsidP="00FF4493">
            <w:pPr>
              <w:spacing w:after="0" w:line="240" w:lineRule="auto"/>
              <w:jc w:val="right"/>
              <w:rPr>
                <w:rFonts w:ascii="Calibri" w:eastAsia="Times New Roman" w:hAnsi="Calibri" w:cs="Times New Roman"/>
                <w:color w:val="000000"/>
                <w:lang w:val="es-ES_tradnl"/>
              </w:rPr>
            </w:pPr>
            <w:r w:rsidRPr="00FF4493">
              <w:rPr>
                <w:rFonts w:ascii="Calibri" w:eastAsia="Times New Roman" w:hAnsi="Calibri" w:cs="Times New Roman"/>
                <w:color w:val="000000"/>
                <w:lang w:val="es-ES_tradnl"/>
              </w:rPr>
              <w:t>3750</w:t>
            </w:r>
          </w:p>
        </w:tc>
        <w:tc>
          <w:tcPr>
            <w:tcW w:w="1050" w:type="dxa"/>
            <w:tcBorders>
              <w:top w:val="nil"/>
              <w:left w:val="nil"/>
              <w:bottom w:val="nil"/>
              <w:right w:val="nil"/>
            </w:tcBorders>
            <w:shd w:val="clear" w:color="auto" w:fill="auto"/>
            <w:noWrap/>
            <w:vAlign w:val="bottom"/>
            <w:hideMark/>
          </w:tcPr>
          <w:p w14:paraId="1EDD2944" w14:textId="77777777" w:rsidR="00FF4493" w:rsidRPr="00FF4493" w:rsidRDefault="00FF4493" w:rsidP="00FF4493">
            <w:pPr>
              <w:spacing w:after="0" w:line="240" w:lineRule="auto"/>
              <w:jc w:val="right"/>
              <w:rPr>
                <w:rFonts w:ascii="Calibri" w:eastAsia="Times New Roman" w:hAnsi="Calibri" w:cs="Times New Roman"/>
                <w:color w:val="000000"/>
                <w:lang w:val="es-ES_tradnl"/>
              </w:rPr>
            </w:pPr>
            <w:r w:rsidRPr="00FF4493">
              <w:rPr>
                <w:rFonts w:ascii="Calibri" w:eastAsia="Times New Roman" w:hAnsi="Calibri" w:cs="Times New Roman"/>
                <w:color w:val="000000"/>
                <w:lang w:val="es-ES_tradnl"/>
              </w:rPr>
              <w:t>2500</w:t>
            </w:r>
          </w:p>
        </w:tc>
        <w:tc>
          <w:tcPr>
            <w:tcW w:w="852" w:type="dxa"/>
            <w:tcBorders>
              <w:top w:val="nil"/>
              <w:left w:val="nil"/>
              <w:bottom w:val="nil"/>
              <w:right w:val="nil"/>
            </w:tcBorders>
            <w:shd w:val="clear" w:color="auto" w:fill="auto"/>
            <w:noWrap/>
            <w:vAlign w:val="bottom"/>
            <w:hideMark/>
          </w:tcPr>
          <w:p w14:paraId="2584CB81" w14:textId="77777777" w:rsidR="00FF4493" w:rsidRPr="00FF4493" w:rsidRDefault="00FF4493" w:rsidP="00FF4493">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14:paraId="727FD75F" w14:textId="77777777" w:rsidR="00FF4493" w:rsidRPr="00FF4493" w:rsidRDefault="00FF4493" w:rsidP="00FF4493">
            <w:pPr>
              <w:spacing w:after="0" w:line="240" w:lineRule="auto"/>
              <w:rPr>
                <w:rFonts w:ascii="Calibri" w:eastAsia="Times New Roman" w:hAnsi="Calibri" w:cs="Times New Roman"/>
                <w:color w:val="000000"/>
                <w:lang w:val="es-ES_tradnl"/>
              </w:rPr>
            </w:pPr>
          </w:p>
        </w:tc>
      </w:tr>
      <w:tr w:rsidR="00FF4493" w:rsidRPr="00FF4493" w14:paraId="0689EE17"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2E18CFC9"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lang w:val="es-ES_tradnl"/>
              </w:rPr>
              <w:t>2</w:t>
            </w:r>
            <w:r w:rsidRPr="00FF4493">
              <w:rPr>
                <w:rFonts w:ascii="Calibri" w:eastAsia="Times New Roman" w:hAnsi="Calibri" w:cs="Times New Roman"/>
                <w:color w:val="000000"/>
              </w:rPr>
              <w:t>016</w:t>
            </w:r>
          </w:p>
        </w:tc>
        <w:tc>
          <w:tcPr>
            <w:tcW w:w="1050" w:type="dxa"/>
            <w:tcBorders>
              <w:top w:val="nil"/>
              <w:left w:val="nil"/>
              <w:bottom w:val="nil"/>
              <w:right w:val="nil"/>
            </w:tcBorders>
            <w:shd w:val="clear" w:color="auto" w:fill="auto"/>
            <w:noWrap/>
            <w:vAlign w:val="bottom"/>
            <w:hideMark/>
          </w:tcPr>
          <w:p w14:paraId="08E823B2"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3750</w:t>
            </w:r>
          </w:p>
        </w:tc>
        <w:tc>
          <w:tcPr>
            <w:tcW w:w="1050" w:type="dxa"/>
            <w:tcBorders>
              <w:top w:val="nil"/>
              <w:left w:val="nil"/>
              <w:bottom w:val="nil"/>
              <w:right w:val="nil"/>
            </w:tcBorders>
            <w:shd w:val="clear" w:color="auto" w:fill="auto"/>
            <w:noWrap/>
            <w:vAlign w:val="bottom"/>
            <w:hideMark/>
          </w:tcPr>
          <w:p w14:paraId="4CAE16B1"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3750</w:t>
            </w:r>
          </w:p>
        </w:tc>
        <w:tc>
          <w:tcPr>
            <w:tcW w:w="852" w:type="dxa"/>
            <w:tcBorders>
              <w:top w:val="nil"/>
              <w:left w:val="nil"/>
              <w:bottom w:val="nil"/>
              <w:right w:val="nil"/>
            </w:tcBorders>
            <w:shd w:val="clear" w:color="auto" w:fill="auto"/>
            <w:noWrap/>
            <w:vAlign w:val="bottom"/>
            <w:hideMark/>
          </w:tcPr>
          <w:p w14:paraId="4DA95287"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2500</w:t>
            </w:r>
          </w:p>
        </w:tc>
        <w:tc>
          <w:tcPr>
            <w:tcW w:w="960" w:type="dxa"/>
            <w:tcBorders>
              <w:top w:val="nil"/>
              <w:left w:val="nil"/>
              <w:bottom w:val="nil"/>
              <w:right w:val="nil"/>
            </w:tcBorders>
            <w:shd w:val="clear" w:color="auto" w:fill="auto"/>
            <w:noWrap/>
            <w:vAlign w:val="bottom"/>
            <w:hideMark/>
          </w:tcPr>
          <w:p w14:paraId="73CFD0CB" w14:textId="77777777" w:rsidR="00FF4493" w:rsidRPr="00FF4493" w:rsidRDefault="00FF4493" w:rsidP="00FF4493">
            <w:pPr>
              <w:spacing w:after="0" w:line="240" w:lineRule="auto"/>
              <w:rPr>
                <w:rFonts w:ascii="Calibri" w:eastAsia="Times New Roman" w:hAnsi="Calibri" w:cs="Times New Roman"/>
                <w:color w:val="000000"/>
              </w:rPr>
            </w:pPr>
          </w:p>
        </w:tc>
      </w:tr>
      <w:tr w:rsidR="00FF4493" w:rsidRPr="00FF4493" w14:paraId="1AA75CB3"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747FA305"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2017</w:t>
            </w:r>
          </w:p>
        </w:tc>
        <w:tc>
          <w:tcPr>
            <w:tcW w:w="1050" w:type="dxa"/>
            <w:tcBorders>
              <w:top w:val="nil"/>
              <w:left w:val="nil"/>
              <w:bottom w:val="nil"/>
              <w:right w:val="nil"/>
            </w:tcBorders>
            <w:shd w:val="clear" w:color="auto" w:fill="auto"/>
            <w:noWrap/>
            <w:vAlign w:val="bottom"/>
            <w:hideMark/>
          </w:tcPr>
          <w:p w14:paraId="5F9DFFA2"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3750</w:t>
            </w:r>
          </w:p>
        </w:tc>
        <w:tc>
          <w:tcPr>
            <w:tcW w:w="1050" w:type="dxa"/>
            <w:tcBorders>
              <w:top w:val="nil"/>
              <w:left w:val="nil"/>
              <w:bottom w:val="nil"/>
              <w:right w:val="nil"/>
            </w:tcBorders>
            <w:shd w:val="clear" w:color="auto" w:fill="auto"/>
            <w:noWrap/>
            <w:vAlign w:val="bottom"/>
            <w:hideMark/>
          </w:tcPr>
          <w:p w14:paraId="4B64DDC4"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3750</w:t>
            </w:r>
          </w:p>
        </w:tc>
        <w:tc>
          <w:tcPr>
            <w:tcW w:w="852" w:type="dxa"/>
            <w:tcBorders>
              <w:top w:val="nil"/>
              <w:left w:val="nil"/>
              <w:bottom w:val="nil"/>
              <w:right w:val="nil"/>
            </w:tcBorders>
            <w:shd w:val="clear" w:color="auto" w:fill="auto"/>
            <w:noWrap/>
            <w:vAlign w:val="bottom"/>
            <w:hideMark/>
          </w:tcPr>
          <w:p w14:paraId="779C81F7" w14:textId="77777777" w:rsidR="00FF4493" w:rsidRPr="00FF4493" w:rsidRDefault="00FF4493" w:rsidP="00FF4493">
            <w:pPr>
              <w:spacing w:after="0" w:line="240" w:lineRule="auto"/>
              <w:jc w:val="right"/>
              <w:rPr>
                <w:rFonts w:ascii="Calibri" w:eastAsia="Times New Roman" w:hAnsi="Calibri" w:cs="Times New Roman"/>
                <w:color w:val="000000"/>
              </w:rPr>
            </w:pPr>
            <w:r w:rsidRPr="00FF4493">
              <w:rPr>
                <w:rFonts w:ascii="Calibri" w:eastAsia="Times New Roman" w:hAnsi="Calibri" w:cs="Times New Roman"/>
                <w:color w:val="000000"/>
              </w:rPr>
              <w:t>3750</w:t>
            </w:r>
          </w:p>
        </w:tc>
        <w:tc>
          <w:tcPr>
            <w:tcW w:w="960" w:type="dxa"/>
            <w:tcBorders>
              <w:top w:val="nil"/>
              <w:left w:val="nil"/>
              <w:bottom w:val="nil"/>
              <w:right w:val="nil"/>
            </w:tcBorders>
            <w:shd w:val="clear" w:color="auto" w:fill="auto"/>
            <w:noWrap/>
            <w:vAlign w:val="bottom"/>
            <w:hideMark/>
          </w:tcPr>
          <w:p w14:paraId="4A32D1CC" w14:textId="77777777" w:rsidR="00FF4493" w:rsidRPr="00FF4493" w:rsidRDefault="00FF4493" w:rsidP="00FF4493">
            <w:pPr>
              <w:spacing w:after="0" w:line="240" w:lineRule="auto"/>
              <w:rPr>
                <w:rFonts w:ascii="Calibri" w:eastAsia="Times New Roman" w:hAnsi="Calibri" w:cs="Times New Roman"/>
                <w:color w:val="000000"/>
              </w:rPr>
            </w:pPr>
          </w:p>
        </w:tc>
      </w:tr>
      <w:tr w:rsidR="00FF4493" w:rsidRPr="00FF4493" w14:paraId="7F4C6359"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219BED7C" w14:textId="77777777" w:rsidR="00FF4493" w:rsidRPr="00FF4493" w:rsidRDefault="00FF4493" w:rsidP="00FF4493">
            <w:pPr>
              <w:spacing w:after="0" w:line="240" w:lineRule="auto"/>
              <w:rPr>
                <w:rFonts w:ascii="Calibri" w:eastAsia="Times New Roman" w:hAnsi="Calibri" w:cs="Times New Roman"/>
                <w:color w:val="000000"/>
              </w:rPr>
            </w:pPr>
          </w:p>
        </w:tc>
        <w:tc>
          <w:tcPr>
            <w:tcW w:w="1050" w:type="dxa"/>
            <w:tcBorders>
              <w:top w:val="nil"/>
              <w:left w:val="nil"/>
              <w:bottom w:val="nil"/>
              <w:right w:val="nil"/>
            </w:tcBorders>
            <w:shd w:val="clear" w:color="auto" w:fill="auto"/>
            <w:noWrap/>
            <w:vAlign w:val="bottom"/>
            <w:hideMark/>
          </w:tcPr>
          <w:p w14:paraId="75F27932" w14:textId="77777777" w:rsidR="00FF4493" w:rsidRPr="00FF4493" w:rsidRDefault="00FF4493" w:rsidP="00FF4493">
            <w:pPr>
              <w:spacing w:after="0" w:line="240" w:lineRule="auto"/>
              <w:rPr>
                <w:rFonts w:ascii="Calibri" w:eastAsia="Times New Roman" w:hAnsi="Calibri" w:cs="Times New Roman"/>
                <w:color w:val="000000"/>
              </w:rPr>
            </w:pPr>
          </w:p>
        </w:tc>
        <w:tc>
          <w:tcPr>
            <w:tcW w:w="1050" w:type="dxa"/>
            <w:tcBorders>
              <w:top w:val="nil"/>
              <w:left w:val="nil"/>
              <w:bottom w:val="nil"/>
              <w:right w:val="nil"/>
            </w:tcBorders>
            <w:shd w:val="clear" w:color="auto" w:fill="auto"/>
            <w:noWrap/>
            <w:vAlign w:val="bottom"/>
            <w:hideMark/>
          </w:tcPr>
          <w:p w14:paraId="72207A7B" w14:textId="77777777" w:rsidR="00FF4493" w:rsidRPr="00FF4493" w:rsidRDefault="00FF4493" w:rsidP="00FF4493">
            <w:pPr>
              <w:spacing w:after="0" w:line="240" w:lineRule="auto"/>
              <w:rPr>
                <w:rFonts w:ascii="Calibri" w:eastAsia="Times New Roman" w:hAnsi="Calibri" w:cs="Times New Roman"/>
                <w:color w:val="000000"/>
              </w:rPr>
            </w:pPr>
          </w:p>
        </w:tc>
        <w:tc>
          <w:tcPr>
            <w:tcW w:w="852" w:type="dxa"/>
            <w:tcBorders>
              <w:top w:val="nil"/>
              <w:left w:val="nil"/>
              <w:bottom w:val="nil"/>
              <w:right w:val="nil"/>
            </w:tcBorders>
            <w:shd w:val="clear" w:color="auto" w:fill="auto"/>
            <w:noWrap/>
            <w:vAlign w:val="bottom"/>
            <w:hideMark/>
          </w:tcPr>
          <w:p w14:paraId="6307C2AF" w14:textId="77777777" w:rsidR="00FF4493" w:rsidRPr="00FF4493" w:rsidRDefault="00FF4493" w:rsidP="00FF4493">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3BC4931C" w14:textId="77777777" w:rsidR="00FF4493" w:rsidRPr="00FF4493" w:rsidRDefault="00FF4493" w:rsidP="00FF4493">
            <w:pPr>
              <w:spacing w:after="0" w:line="240" w:lineRule="auto"/>
              <w:rPr>
                <w:rFonts w:ascii="Calibri" w:eastAsia="Times New Roman" w:hAnsi="Calibri" w:cs="Times New Roman"/>
                <w:color w:val="000000"/>
              </w:rPr>
            </w:pPr>
          </w:p>
        </w:tc>
      </w:tr>
      <w:tr w:rsidR="00FF4493" w:rsidRPr="00FF4493" w14:paraId="66FBAAC6"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308C46CB" w14:textId="77777777" w:rsidR="00FF4493" w:rsidRPr="00FF4493" w:rsidRDefault="00FF4493" w:rsidP="00FF4493">
            <w:pPr>
              <w:spacing w:after="0" w:line="240" w:lineRule="auto"/>
              <w:rPr>
                <w:rFonts w:ascii="Calibri" w:eastAsia="Times New Roman" w:hAnsi="Calibri" w:cs="Times New Roman"/>
                <w:b/>
                <w:bCs/>
                <w:color w:val="000000"/>
              </w:rPr>
            </w:pPr>
            <w:r w:rsidRPr="00FF4493">
              <w:rPr>
                <w:rFonts w:ascii="Calibri" w:eastAsia="Times New Roman" w:hAnsi="Calibri" w:cs="Times New Roman"/>
                <w:b/>
                <w:bCs/>
                <w:color w:val="000000"/>
              </w:rPr>
              <w:t>Total</w:t>
            </w:r>
          </w:p>
        </w:tc>
        <w:tc>
          <w:tcPr>
            <w:tcW w:w="1050" w:type="dxa"/>
            <w:tcBorders>
              <w:top w:val="nil"/>
              <w:left w:val="nil"/>
              <w:bottom w:val="nil"/>
              <w:right w:val="nil"/>
            </w:tcBorders>
            <w:shd w:val="clear" w:color="auto" w:fill="auto"/>
            <w:noWrap/>
            <w:vAlign w:val="bottom"/>
            <w:hideMark/>
          </w:tcPr>
          <w:p w14:paraId="10849E29" w14:textId="77777777" w:rsidR="00FF4493" w:rsidRPr="00FF4493" w:rsidRDefault="00FF4493" w:rsidP="00FF4493">
            <w:pPr>
              <w:spacing w:after="0" w:line="240" w:lineRule="auto"/>
              <w:jc w:val="right"/>
              <w:rPr>
                <w:rFonts w:ascii="Calibri" w:eastAsia="Times New Roman" w:hAnsi="Calibri" w:cs="Times New Roman"/>
                <w:b/>
                <w:bCs/>
                <w:color w:val="000000"/>
              </w:rPr>
            </w:pPr>
            <w:r w:rsidRPr="00FF4493">
              <w:rPr>
                <w:rFonts w:ascii="Calibri" w:eastAsia="Times New Roman" w:hAnsi="Calibri" w:cs="Times New Roman"/>
                <w:b/>
                <w:bCs/>
                <w:color w:val="000000"/>
              </w:rPr>
              <w:t>11250</w:t>
            </w:r>
          </w:p>
        </w:tc>
        <w:tc>
          <w:tcPr>
            <w:tcW w:w="1050" w:type="dxa"/>
            <w:tcBorders>
              <w:top w:val="nil"/>
              <w:left w:val="nil"/>
              <w:bottom w:val="nil"/>
              <w:right w:val="nil"/>
            </w:tcBorders>
            <w:shd w:val="clear" w:color="auto" w:fill="auto"/>
            <w:noWrap/>
            <w:vAlign w:val="bottom"/>
            <w:hideMark/>
          </w:tcPr>
          <w:p w14:paraId="4AB43827" w14:textId="77777777" w:rsidR="00FF4493" w:rsidRPr="00FF4493" w:rsidRDefault="00FF4493" w:rsidP="00FF4493">
            <w:pPr>
              <w:spacing w:after="0" w:line="240" w:lineRule="auto"/>
              <w:jc w:val="right"/>
              <w:rPr>
                <w:rFonts w:ascii="Calibri" w:eastAsia="Times New Roman" w:hAnsi="Calibri" w:cs="Times New Roman"/>
                <w:b/>
                <w:bCs/>
                <w:color w:val="000000"/>
              </w:rPr>
            </w:pPr>
            <w:r w:rsidRPr="00FF4493">
              <w:rPr>
                <w:rFonts w:ascii="Calibri" w:eastAsia="Times New Roman" w:hAnsi="Calibri" w:cs="Times New Roman"/>
                <w:b/>
                <w:bCs/>
                <w:color w:val="000000"/>
              </w:rPr>
              <w:t>10000</w:t>
            </w:r>
          </w:p>
        </w:tc>
        <w:tc>
          <w:tcPr>
            <w:tcW w:w="852" w:type="dxa"/>
            <w:tcBorders>
              <w:top w:val="nil"/>
              <w:left w:val="nil"/>
              <w:bottom w:val="nil"/>
              <w:right w:val="nil"/>
            </w:tcBorders>
            <w:shd w:val="clear" w:color="auto" w:fill="auto"/>
            <w:noWrap/>
            <w:vAlign w:val="bottom"/>
            <w:hideMark/>
          </w:tcPr>
          <w:p w14:paraId="7EDAFEEA" w14:textId="77777777" w:rsidR="00FF4493" w:rsidRPr="00FF4493" w:rsidRDefault="00FF4493" w:rsidP="00FF4493">
            <w:pPr>
              <w:spacing w:after="0" w:line="240" w:lineRule="auto"/>
              <w:jc w:val="right"/>
              <w:rPr>
                <w:rFonts w:ascii="Calibri" w:eastAsia="Times New Roman" w:hAnsi="Calibri" w:cs="Times New Roman"/>
                <w:b/>
                <w:bCs/>
                <w:color w:val="000000"/>
              </w:rPr>
            </w:pPr>
            <w:r w:rsidRPr="00FF4493">
              <w:rPr>
                <w:rFonts w:ascii="Calibri" w:eastAsia="Times New Roman" w:hAnsi="Calibri" w:cs="Times New Roman"/>
                <w:b/>
                <w:bCs/>
                <w:color w:val="000000"/>
              </w:rPr>
              <w:t>6250</w:t>
            </w:r>
          </w:p>
        </w:tc>
        <w:tc>
          <w:tcPr>
            <w:tcW w:w="960" w:type="dxa"/>
            <w:tcBorders>
              <w:top w:val="nil"/>
              <w:left w:val="nil"/>
              <w:bottom w:val="nil"/>
              <w:right w:val="nil"/>
            </w:tcBorders>
            <w:shd w:val="clear" w:color="auto" w:fill="auto"/>
            <w:noWrap/>
            <w:vAlign w:val="bottom"/>
            <w:hideMark/>
          </w:tcPr>
          <w:p w14:paraId="3272538A" w14:textId="77777777" w:rsidR="00FF4493" w:rsidRPr="00FF4493" w:rsidRDefault="00FF4493" w:rsidP="00FF4493">
            <w:pPr>
              <w:spacing w:after="0" w:line="240" w:lineRule="auto"/>
              <w:jc w:val="right"/>
              <w:rPr>
                <w:rFonts w:ascii="Calibri" w:eastAsia="Times New Roman" w:hAnsi="Calibri" w:cs="Times New Roman"/>
                <w:b/>
                <w:bCs/>
                <w:color w:val="000000"/>
              </w:rPr>
            </w:pPr>
            <w:r w:rsidRPr="00FF4493">
              <w:rPr>
                <w:rFonts w:ascii="Calibri" w:eastAsia="Times New Roman" w:hAnsi="Calibri" w:cs="Times New Roman"/>
                <w:b/>
                <w:bCs/>
                <w:color w:val="000000"/>
              </w:rPr>
              <w:t>27500</w:t>
            </w:r>
          </w:p>
        </w:tc>
      </w:tr>
      <w:tr w:rsidR="00FF4493" w:rsidRPr="00FF4493" w14:paraId="1F6465EA" w14:textId="77777777" w:rsidTr="00FF4493">
        <w:trPr>
          <w:trHeight w:val="300"/>
          <w:jc w:val="center"/>
        </w:trPr>
        <w:tc>
          <w:tcPr>
            <w:tcW w:w="888" w:type="dxa"/>
            <w:tcBorders>
              <w:top w:val="nil"/>
              <w:left w:val="nil"/>
              <w:bottom w:val="single" w:sz="4" w:space="0" w:color="auto"/>
              <w:right w:val="nil"/>
            </w:tcBorders>
            <w:shd w:val="clear" w:color="auto" w:fill="auto"/>
            <w:noWrap/>
            <w:vAlign w:val="bottom"/>
            <w:hideMark/>
          </w:tcPr>
          <w:p w14:paraId="5FD35F5F"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 </w:t>
            </w:r>
          </w:p>
        </w:tc>
        <w:tc>
          <w:tcPr>
            <w:tcW w:w="1050" w:type="dxa"/>
            <w:tcBorders>
              <w:top w:val="nil"/>
              <w:left w:val="nil"/>
              <w:bottom w:val="single" w:sz="4" w:space="0" w:color="auto"/>
              <w:right w:val="nil"/>
            </w:tcBorders>
            <w:shd w:val="clear" w:color="auto" w:fill="auto"/>
            <w:noWrap/>
            <w:vAlign w:val="bottom"/>
            <w:hideMark/>
          </w:tcPr>
          <w:p w14:paraId="4AFE9980"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 </w:t>
            </w:r>
          </w:p>
        </w:tc>
        <w:tc>
          <w:tcPr>
            <w:tcW w:w="1050" w:type="dxa"/>
            <w:tcBorders>
              <w:top w:val="nil"/>
              <w:left w:val="nil"/>
              <w:bottom w:val="single" w:sz="4" w:space="0" w:color="auto"/>
              <w:right w:val="nil"/>
            </w:tcBorders>
            <w:shd w:val="clear" w:color="auto" w:fill="auto"/>
            <w:noWrap/>
            <w:vAlign w:val="bottom"/>
            <w:hideMark/>
          </w:tcPr>
          <w:p w14:paraId="2453A31C"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 </w:t>
            </w:r>
          </w:p>
        </w:tc>
        <w:tc>
          <w:tcPr>
            <w:tcW w:w="852" w:type="dxa"/>
            <w:tcBorders>
              <w:top w:val="nil"/>
              <w:left w:val="nil"/>
              <w:bottom w:val="single" w:sz="4" w:space="0" w:color="auto"/>
              <w:right w:val="nil"/>
            </w:tcBorders>
            <w:shd w:val="clear" w:color="auto" w:fill="auto"/>
            <w:noWrap/>
            <w:vAlign w:val="bottom"/>
            <w:hideMark/>
          </w:tcPr>
          <w:p w14:paraId="37A53A52"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 </w:t>
            </w:r>
          </w:p>
        </w:tc>
        <w:tc>
          <w:tcPr>
            <w:tcW w:w="960" w:type="dxa"/>
            <w:tcBorders>
              <w:top w:val="nil"/>
              <w:left w:val="nil"/>
              <w:bottom w:val="single" w:sz="4" w:space="0" w:color="auto"/>
              <w:right w:val="nil"/>
            </w:tcBorders>
            <w:shd w:val="clear" w:color="auto" w:fill="auto"/>
            <w:noWrap/>
            <w:vAlign w:val="bottom"/>
            <w:hideMark/>
          </w:tcPr>
          <w:p w14:paraId="58BB2AC3" w14:textId="77777777" w:rsidR="00FF4493" w:rsidRPr="00FF4493" w:rsidRDefault="00FF4493" w:rsidP="00FF4493">
            <w:pPr>
              <w:spacing w:after="0" w:line="240" w:lineRule="auto"/>
              <w:rPr>
                <w:rFonts w:ascii="Calibri" w:eastAsia="Times New Roman" w:hAnsi="Calibri" w:cs="Times New Roman"/>
                <w:color w:val="000000"/>
              </w:rPr>
            </w:pPr>
            <w:r w:rsidRPr="00FF4493">
              <w:rPr>
                <w:rFonts w:ascii="Calibri" w:eastAsia="Times New Roman" w:hAnsi="Calibri" w:cs="Times New Roman"/>
                <w:color w:val="000000"/>
              </w:rPr>
              <w:t> </w:t>
            </w:r>
          </w:p>
        </w:tc>
      </w:tr>
      <w:tr w:rsidR="00FF4493" w:rsidRPr="00FF4493" w14:paraId="7C7750C2" w14:textId="77777777" w:rsidTr="00FF4493">
        <w:trPr>
          <w:trHeight w:val="300"/>
          <w:jc w:val="center"/>
        </w:trPr>
        <w:tc>
          <w:tcPr>
            <w:tcW w:w="888" w:type="dxa"/>
            <w:tcBorders>
              <w:top w:val="nil"/>
              <w:left w:val="nil"/>
              <w:bottom w:val="nil"/>
              <w:right w:val="nil"/>
            </w:tcBorders>
            <w:shd w:val="clear" w:color="auto" w:fill="auto"/>
            <w:noWrap/>
            <w:vAlign w:val="bottom"/>
            <w:hideMark/>
          </w:tcPr>
          <w:p w14:paraId="69A68B23" w14:textId="77777777" w:rsidR="00FF4493" w:rsidRPr="00FF4493" w:rsidRDefault="00FF4493" w:rsidP="00FF4493">
            <w:pPr>
              <w:spacing w:after="0" w:line="240" w:lineRule="auto"/>
              <w:rPr>
                <w:rFonts w:ascii="Calibri" w:eastAsia="Times New Roman" w:hAnsi="Calibri" w:cs="Times New Roman"/>
                <w:color w:val="000000"/>
              </w:rPr>
            </w:pPr>
          </w:p>
        </w:tc>
        <w:tc>
          <w:tcPr>
            <w:tcW w:w="1050" w:type="dxa"/>
            <w:tcBorders>
              <w:top w:val="nil"/>
              <w:left w:val="nil"/>
              <w:bottom w:val="nil"/>
              <w:right w:val="nil"/>
            </w:tcBorders>
            <w:shd w:val="clear" w:color="auto" w:fill="auto"/>
            <w:noWrap/>
            <w:vAlign w:val="bottom"/>
            <w:hideMark/>
          </w:tcPr>
          <w:p w14:paraId="3534A258" w14:textId="77777777" w:rsidR="00FF4493" w:rsidRPr="00FF4493" w:rsidRDefault="00FF4493" w:rsidP="00FF4493">
            <w:pPr>
              <w:spacing w:after="0" w:line="240" w:lineRule="auto"/>
              <w:rPr>
                <w:rFonts w:ascii="Calibri" w:eastAsia="Times New Roman" w:hAnsi="Calibri" w:cs="Times New Roman"/>
                <w:color w:val="000000"/>
              </w:rPr>
            </w:pPr>
          </w:p>
        </w:tc>
        <w:tc>
          <w:tcPr>
            <w:tcW w:w="1050" w:type="dxa"/>
            <w:tcBorders>
              <w:top w:val="nil"/>
              <w:left w:val="nil"/>
              <w:bottom w:val="nil"/>
              <w:right w:val="nil"/>
            </w:tcBorders>
            <w:shd w:val="clear" w:color="auto" w:fill="auto"/>
            <w:noWrap/>
            <w:vAlign w:val="bottom"/>
            <w:hideMark/>
          </w:tcPr>
          <w:p w14:paraId="3F44E1A3" w14:textId="77777777" w:rsidR="00FF4493" w:rsidRPr="00FF4493" w:rsidRDefault="00FF4493" w:rsidP="00FF4493">
            <w:pPr>
              <w:spacing w:after="0" w:line="240" w:lineRule="auto"/>
              <w:rPr>
                <w:rFonts w:ascii="Calibri" w:eastAsia="Times New Roman" w:hAnsi="Calibri" w:cs="Times New Roman"/>
                <w:color w:val="000000"/>
              </w:rPr>
            </w:pPr>
          </w:p>
        </w:tc>
        <w:tc>
          <w:tcPr>
            <w:tcW w:w="852" w:type="dxa"/>
            <w:tcBorders>
              <w:top w:val="nil"/>
              <w:left w:val="nil"/>
              <w:bottom w:val="nil"/>
              <w:right w:val="nil"/>
            </w:tcBorders>
            <w:shd w:val="clear" w:color="auto" w:fill="auto"/>
            <w:noWrap/>
            <w:vAlign w:val="bottom"/>
            <w:hideMark/>
          </w:tcPr>
          <w:p w14:paraId="5090F19F" w14:textId="77777777" w:rsidR="00FF4493" w:rsidRPr="00FF4493" w:rsidRDefault="00FF4493" w:rsidP="00FF4493">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63923E92" w14:textId="77777777" w:rsidR="00FF4493" w:rsidRPr="00FF4493" w:rsidRDefault="00FF4493" w:rsidP="00FF4493">
            <w:pPr>
              <w:spacing w:after="0" w:line="240" w:lineRule="auto"/>
              <w:rPr>
                <w:rFonts w:ascii="Calibri" w:eastAsia="Times New Roman" w:hAnsi="Calibri" w:cs="Times New Roman"/>
                <w:color w:val="000000"/>
              </w:rPr>
            </w:pPr>
          </w:p>
        </w:tc>
      </w:tr>
    </w:tbl>
    <w:p w14:paraId="08622DFF" w14:textId="038F610D" w:rsidR="003B6E39" w:rsidRDefault="003B6E39" w:rsidP="00967D06">
      <w:pPr>
        <w:rPr>
          <w:lang w:val="es-ES_tradnl"/>
        </w:rPr>
      </w:pPr>
    </w:p>
    <w:p w14:paraId="2E8ACF58" w14:textId="77777777" w:rsidR="003B6E39" w:rsidRDefault="003B6E39">
      <w:pPr>
        <w:rPr>
          <w:lang w:val="es-ES_tradnl"/>
        </w:rPr>
      </w:pPr>
      <w:r>
        <w:rPr>
          <w:lang w:val="es-ES_tradnl"/>
        </w:rPr>
        <w:br w:type="page"/>
      </w:r>
    </w:p>
    <w:p w14:paraId="1E412F79" w14:textId="77777777" w:rsidR="003B6E39" w:rsidRPr="00675FB3" w:rsidRDefault="003B6E39" w:rsidP="003B6E39">
      <w:pPr>
        <w:jc w:val="center"/>
        <w:rPr>
          <w:b/>
          <w:lang w:val="es-ES_tradnl"/>
        </w:rPr>
      </w:pPr>
      <w:r w:rsidRPr="00675FB3">
        <w:rPr>
          <w:b/>
          <w:lang w:val="es-ES_tradnl"/>
        </w:rPr>
        <w:lastRenderedPageBreak/>
        <w:t xml:space="preserve">AVANCES EN IMPLEMENTACIÓN DEL PILOTO </w:t>
      </w:r>
      <w:r>
        <w:rPr>
          <w:b/>
          <w:lang w:val="es-ES_tradnl"/>
        </w:rPr>
        <w:t xml:space="preserve">DE AMPLIACION DE OFERTA DE TERCER CICLO </w:t>
      </w:r>
      <w:r w:rsidRPr="00675FB3">
        <w:rPr>
          <w:b/>
          <w:lang w:val="es-ES_tradnl"/>
        </w:rPr>
        <w:t>EN OCCIDENTE</w:t>
      </w:r>
    </w:p>
    <w:p w14:paraId="45C6F9E4" w14:textId="77777777" w:rsidR="003B6E39" w:rsidRDefault="003B6E39" w:rsidP="003B6E39">
      <w:pPr>
        <w:rPr>
          <w:lang w:val="es-ES_tradnl"/>
        </w:rPr>
      </w:pPr>
    </w:p>
    <w:p w14:paraId="7D6D7DDC" w14:textId="77777777" w:rsidR="003B6E39" w:rsidRDefault="003B6E39" w:rsidP="003B6E39">
      <w:pPr>
        <w:rPr>
          <w:lang w:val="es-ES_tradnl"/>
        </w:rPr>
      </w:pPr>
    </w:p>
    <w:p w14:paraId="6C825F8C" w14:textId="77777777" w:rsidR="003B6E39" w:rsidRDefault="003B6E39" w:rsidP="003B6E39">
      <w:pPr>
        <w:jc w:val="both"/>
        <w:rPr>
          <w:lang w:val="es-ES_tradnl"/>
        </w:rPr>
      </w:pPr>
      <w:r>
        <w:rPr>
          <w:lang w:val="es-ES_tradnl"/>
        </w:rPr>
        <w:t xml:space="preserve">Para enfrentar la falta de oferta educativa en la zona de occidente de Honduras, y garantizar el acceso a servicios educativos a beneficiarios del Bono Vida Mejor, la Secretaría de Educación y la Secretaría de Desarrollo Social, en coordinación con el BID, se encuentra implementando un programa piloto de ampliación oferta de tercer ciclo (7mo a 9no grado). En la actualidad, el piloto es apoyado por la operación HO-L1087.  En la operación HO-L1093, se contempla la ampliación del piloto. </w:t>
      </w:r>
    </w:p>
    <w:p w14:paraId="60987D03" w14:textId="77777777" w:rsidR="003B6E39" w:rsidRDefault="003B6E39" w:rsidP="003B6E39">
      <w:pPr>
        <w:jc w:val="both"/>
        <w:rPr>
          <w:lang w:val="es-ES_tradnl"/>
        </w:rPr>
      </w:pPr>
    </w:p>
    <w:p w14:paraId="5500BF5E" w14:textId="77777777" w:rsidR="003B6E39" w:rsidRDefault="003B6E39" w:rsidP="003B6E39">
      <w:pPr>
        <w:jc w:val="both"/>
        <w:rPr>
          <w:lang w:val="es-ES_tradnl"/>
        </w:rPr>
      </w:pPr>
      <w:r>
        <w:rPr>
          <w:lang w:val="es-ES_tradnl"/>
        </w:rPr>
        <w:t xml:space="preserve">El piloto se esta implementando en la región de Occidente  de Honduras. Los departamentos de la misma (Copán, Intibuca, La Paz, Lempira, Ocotepeque, Santa Bárbara) registra los peores indicadores de desarrollo humano en Honduras. Esto responde, al menos parcialmente, a sus condiciones geográficas particulares, con poblaciones pequeñas de difícil acceso. En particular, los indicadores educativos son bajos. La transición de 6to a 7mo grado es sólo de 60 por ciento (versus 74 por ciento nacional), y en las zonas rurales de occidente, el 47 por ciento de los graduados de 6to grado ingresan a 7mo (versus el 58 por ciento en zonas rurales a nivel nacional). </w:t>
      </w:r>
    </w:p>
    <w:p w14:paraId="18BA6CD7" w14:textId="77777777" w:rsidR="003B6E39" w:rsidRDefault="003B6E39" w:rsidP="003B6E39">
      <w:pPr>
        <w:rPr>
          <w:lang w:val="es-ES_tradnl"/>
        </w:rPr>
      </w:pPr>
    </w:p>
    <w:p w14:paraId="42EE38F7" w14:textId="77777777" w:rsidR="003B6E39" w:rsidRDefault="003B6E39" w:rsidP="003B6E39">
      <w:pPr>
        <w:jc w:val="center"/>
        <w:rPr>
          <w:lang w:val="es-ES_tradnl"/>
        </w:rPr>
      </w:pPr>
      <w:r>
        <w:rPr>
          <w:noProof/>
        </w:rPr>
        <w:drawing>
          <wp:inline distT="0" distB="0" distL="0" distR="0" wp14:anchorId="472A13EC" wp14:editId="344B1F79">
            <wp:extent cx="3939540" cy="1891004"/>
            <wp:effectExtent l="0" t="0" r="22860" b="1460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80C32CC" w14:textId="77777777" w:rsidR="003B6E39" w:rsidRDefault="003B6E39" w:rsidP="003B6E39">
      <w:pPr>
        <w:rPr>
          <w:lang w:val="es-ES_tradnl"/>
        </w:rPr>
      </w:pPr>
    </w:p>
    <w:p w14:paraId="17059880" w14:textId="77777777" w:rsidR="003B6E39" w:rsidRDefault="003B6E39" w:rsidP="003B6E39">
      <w:pPr>
        <w:jc w:val="both"/>
        <w:rPr>
          <w:lang w:val="es-ES_tradnl"/>
        </w:rPr>
      </w:pPr>
      <w:r>
        <w:rPr>
          <w:lang w:val="es-ES_tradnl"/>
        </w:rPr>
        <w:t xml:space="preserve">Si bien la tasa de transición de 6to a 7mo grado en las zonas rurales de occidente  es cercana a 47 por ciento en promedio (equivalente a 13000 estudiantes ingresando a 7mo grado), un número importante de municipios de la zona no cuenta con centros educativos con 7mo grado. Para continuar estudiando, los estudiantes tienen que realizar largas caminatas, usar medios de transporte motorizados o mudarse a la cabecera municipal. Estas dos últimas alternativas imponen importantes costos en las familias de la zona.  El programa piloto esta enfocado a estudiantes que egresan del 6to  grado y no acceden a 7mo grado por la falta de oferta (aproximadamente 15000 estudiantes) en sus comunidades. El piloto se ha </w:t>
      </w:r>
      <w:r>
        <w:rPr>
          <w:lang w:val="es-ES_tradnl"/>
        </w:rPr>
        <w:lastRenderedPageBreak/>
        <w:t xml:space="preserve">ubicado en comunidades aisladas pero con población escolar suficiente para un salón de clase (20 estudiantes), y con alto nivel de pobreza (y por ende, de beneficiarios del Bono Vida Mejor). </w:t>
      </w:r>
    </w:p>
    <w:p w14:paraId="4CB8188D" w14:textId="77777777" w:rsidR="003B6E39" w:rsidRDefault="003B6E39" w:rsidP="003B6E39">
      <w:pPr>
        <w:jc w:val="both"/>
        <w:rPr>
          <w:lang w:val="es-ES_tradnl"/>
        </w:rPr>
      </w:pPr>
      <w:r>
        <w:rPr>
          <w:lang w:val="es-ES_tradnl"/>
        </w:rPr>
        <w:t>El piloto brinda un instructor para la enseñanza de todas las materias del 7mo grado empleando modalidades alternativas al modelo de secundaria tradicional (que se basa en maestros por materias) . La Secretaria de Desarrollo Social ha contratado al Instituto Hondureño de Educación por Radio (IHER) para la implementación del piloto. El piloto no incluye recursos para mejoras en infraestructura, por lo que las comunidades han implementado el piloto en base a los recursos con los que disponen. Se espera que la operación HO-L1093 permita apoyar la mejora en las condiciones de las escuelas.</w:t>
      </w:r>
    </w:p>
    <w:p w14:paraId="4D92BFF3" w14:textId="77777777" w:rsidR="003B6E39" w:rsidRDefault="003B6E39" w:rsidP="003B6E39">
      <w:pPr>
        <w:rPr>
          <w:lang w:val="es-ES_tradnl"/>
        </w:rPr>
      </w:pPr>
    </w:p>
    <w:p w14:paraId="11DAA83E" w14:textId="77777777" w:rsidR="003B6E39" w:rsidRDefault="003B6E39" w:rsidP="003B6E39">
      <w:pPr>
        <w:rPr>
          <w:lang w:val="es-ES_tradnl"/>
        </w:rPr>
      </w:pPr>
    </w:p>
    <w:tbl>
      <w:tblPr>
        <w:tblStyle w:val="TableGrid"/>
        <w:tblW w:w="0" w:type="auto"/>
        <w:tblLayout w:type="fixed"/>
        <w:tblLook w:val="04A0" w:firstRow="1" w:lastRow="0" w:firstColumn="1" w:lastColumn="0" w:noHBand="0" w:noVBand="1"/>
      </w:tblPr>
      <w:tblGrid>
        <w:gridCol w:w="4968"/>
        <w:gridCol w:w="3888"/>
      </w:tblGrid>
      <w:tr w:rsidR="003B6E39" w:rsidRPr="003B6E39" w14:paraId="03651DCB" w14:textId="77777777" w:rsidTr="005D718F">
        <w:tc>
          <w:tcPr>
            <w:tcW w:w="8856" w:type="dxa"/>
            <w:gridSpan w:val="2"/>
          </w:tcPr>
          <w:p w14:paraId="0C7519A2" w14:textId="77777777" w:rsidR="003B6E39" w:rsidRPr="00AE02E3" w:rsidRDefault="003B6E39" w:rsidP="005D718F">
            <w:pPr>
              <w:jc w:val="center"/>
              <w:rPr>
                <w:b/>
                <w:lang w:val="es-ES_tradnl"/>
              </w:rPr>
            </w:pPr>
            <w:r w:rsidRPr="00AE02E3">
              <w:rPr>
                <w:b/>
                <w:lang w:val="es-ES_tradnl"/>
              </w:rPr>
              <w:t>EJEMPLOS DE ESCUELAS DEL PILOTO</w:t>
            </w:r>
          </w:p>
        </w:tc>
      </w:tr>
      <w:tr w:rsidR="003B6E39" w14:paraId="02C2FC7F" w14:textId="77777777" w:rsidTr="005D718F">
        <w:tc>
          <w:tcPr>
            <w:tcW w:w="4968" w:type="dxa"/>
          </w:tcPr>
          <w:p w14:paraId="5934A23A" w14:textId="77777777" w:rsidR="003B6E39" w:rsidRDefault="003B6E39" w:rsidP="005D718F">
            <w:pPr>
              <w:rPr>
                <w:lang w:val="es-ES_tradnl"/>
              </w:rPr>
            </w:pPr>
            <w:r w:rsidRPr="00C36161">
              <w:rPr>
                <w:noProof/>
              </w:rPr>
              <w:drawing>
                <wp:inline distT="0" distB="0" distL="0" distR="0" wp14:anchorId="41033D86" wp14:editId="345C0BFB">
                  <wp:extent cx="2974532" cy="1952725"/>
                  <wp:effectExtent l="0" t="0" r="0" b="3175"/>
                  <wp:docPr id="717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4737" cy="1952860"/>
                          </a:xfrm>
                          <a:prstGeom prst="rect">
                            <a:avLst/>
                          </a:prstGeom>
                          <a:noFill/>
                          <a:ln>
                            <a:noFill/>
                          </a:ln>
                          <a:effectLst/>
                          <a:extLst/>
                        </pic:spPr>
                      </pic:pic>
                    </a:graphicData>
                  </a:graphic>
                </wp:inline>
              </w:drawing>
            </w:r>
          </w:p>
        </w:tc>
        <w:tc>
          <w:tcPr>
            <w:tcW w:w="3888" w:type="dxa"/>
          </w:tcPr>
          <w:p w14:paraId="53406EB9" w14:textId="77777777" w:rsidR="003B6E39" w:rsidRPr="00AE02E3" w:rsidRDefault="003B6E39" w:rsidP="005D718F">
            <w:pPr>
              <w:rPr>
                <w:b/>
                <w:i/>
                <w:lang w:val="es-ES_tradnl"/>
              </w:rPr>
            </w:pPr>
            <w:r w:rsidRPr="00AE02E3">
              <w:rPr>
                <w:b/>
                <w:i/>
                <w:lang w:val="es-ES_tradnl"/>
              </w:rPr>
              <w:t>ESCUELA EN LA PAZ</w:t>
            </w:r>
          </w:p>
          <w:p w14:paraId="69E49F5F" w14:textId="77777777" w:rsidR="003B6E39" w:rsidRDefault="003B6E39" w:rsidP="005D718F">
            <w:pPr>
              <w:jc w:val="both"/>
              <w:rPr>
                <w:lang w:val="es-ES_tradnl"/>
              </w:rPr>
            </w:pPr>
            <w:r>
              <w:rPr>
                <w:lang w:val="es-ES_tradnl"/>
              </w:rPr>
              <w:t>El piloto funciona en un almacén de una empresa de productos agrícolas. Gran participación de la comunidad. Escuela alternativa 1 hora caminando. Posibilidad de transporte, pero de acuerdo a los padres cuesta aproximadamente 10000 lempiras al año (10 dólares a la semana), fuera de sus posibilidades. Cuenta con terreno para construir aulas de tercer ciclo.</w:t>
            </w:r>
          </w:p>
        </w:tc>
      </w:tr>
      <w:tr w:rsidR="003B6E39" w:rsidRPr="003B6E39" w14:paraId="3737FF88" w14:textId="77777777" w:rsidTr="005D718F">
        <w:tc>
          <w:tcPr>
            <w:tcW w:w="4968" w:type="dxa"/>
          </w:tcPr>
          <w:p w14:paraId="0D5D46B7" w14:textId="77777777" w:rsidR="003B6E39" w:rsidRDefault="003B6E39" w:rsidP="005D718F">
            <w:pPr>
              <w:rPr>
                <w:lang w:val="es-ES_tradnl"/>
              </w:rPr>
            </w:pPr>
            <w:r w:rsidRPr="00BD1B11">
              <w:rPr>
                <w:noProof/>
              </w:rPr>
              <w:drawing>
                <wp:inline distT="0" distB="0" distL="0" distR="0" wp14:anchorId="4A446EE7" wp14:editId="3E5F8223">
                  <wp:extent cx="3019439" cy="2046572"/>
                  <wp:effectExtent l="0" t="0" r="3175" b="11430"/>
                  <wp:docPr id="30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0521" cy="2047305"/>
                          </a:xfrm>
                          <a:prstGeom prst="rect">
                            <a:avLst/>
                          </a:prstGeom>
                          <a:noFill/>
                          <a:ln>
                            <a:noFill/>
                          </a:ln>
                          <a:effectLst/>
                          <a:extLst/>
                        </pic:spPr>
                      </pic:pic>
                    </a:graphicData>
                  </a:graphic>
                </wp:inline>
              </w:drawing>
            </w:r>
          </w:p>
        </w:tc>
        <w:tc>
          <w:tcPr>
            <w:tcW w:w="3888" w:type="dxa"/>
          </w:tcPr>
          <w:p w14:paraId="4E6EA543" w14:textId="77777777" w:rsidR="003B6E39" w:rsidRPr="00AE02E3" w:rsidRDefault="003B6E39" w:rsidP="005D718F">
            <w:pPr>
              <w:rPr>
                <w:b/>
                <w:i/>
                <w:lang w:val="es-ES_tradnl"/>
              </w:rPr>
            </w:pPr>
            <w:r w:rsidRPr="00AE02E3">
              <w:rPr>
                <w:b/>
                <w:i/>
                <w:lang w:val="es-ES_tradnl"/>
              </w:rPr>
              <w:t>ESCUELA EN INTIBUCA (1)</w:t>
            </w:r>
          </w:p>
          <w:p w14:paraId="05C6D076" w14:textId="77777777" w:rsidR="003B6E39" w:rsidRDefault="003B6E39" w:rsidP="005D718F">
            <w:pPr>
              <w:jc w:val="both"/>
              <w:rPr>
                <w:lang w:val="es-ES_tradnl"/>
              </w:rPr>
            </w:pPr>
            <w:r>
              <w:rPr>
                <w:lang w:val="es-ES_tradnl"/>
              </w:rPr>
              <w:t>El piloto funciona en una aula que estaba en desuso (la infraestructura de la escuela fue modernizada, muchas aulas antiguas fueron abandonadas). Gran participación de la comunidad y del director de la escuela. La escuela alternativa se encuentra a 3 horas caminando (en temporada seca). No hay posibilidad de transporte regular. Cuenta con terreno para construir aulas de tercer ciclo.</w:t>
            </w:r>
          </w:p>
        </w:tc>
      </w:tr>
      <w:tr w:rsidR="003B6E39" w:rsidRPr="003B6E39" w14:paraId="7D19815A" w14:textId="77777777" w:rsidTr="005D718F">
        <w:tc>
          <w:tcPr>
            <w:tcW w:w="4968" w:type="dxa"/>
          </w:tcPr>
          <w:p w14:paraId="7A52D4E0" w14:textId="77777777" w:rsidR="003B6E39" w:rsidRDefault="003B6E39" w:rsidP="005D718F">
            <w:pPr>
              <w:rPr>
                <w:lang w:val="es-ES_tradnl"/>
              </w:rPr>
            </w:pPr>
            <w:r w:rsidRPr="00BD1B11">
              <w:rPr>
                <w:noProof/>
              </w:rPr>
              <w:lastRenderedPageBreak/>
              <w:drawing>
                <wp:inline distT="0" distB="0" distL="0" distR="0" wp14:anchorId="711059F8" wp14:editId="1B587675">
                  <wp:extent cx="3085129" cy="1966595"/>
                  <wp:effectExtent l="127000" t="76200" r="90170" b="141605"/>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7109" cy="1967857"/>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a:extLst>
                            <a:ext uri="{909E8E84-426E-40DD-AFC4-6F175D3DCCD1}">
                              <a14:hiddenFill xmlns:a14="http://schemas.microsoft.com/office/drawing/2010/main">
                                <a:solidFill>
                                  <a:schemeClr val="accent1"/>
                                </a:solidFill>
                              </a14:hiddenFill>
                            </a:ext>
                          </a:extLst>
                        </pic:spPr>
                      </pic:pic>
                    </a:graphicData>
                  </a:graphic>
                </wp:inline>
              </w:drawing>
            </w:r>
          </w:p>
        </w:tc>
        <w:tc>
          <w:tcPr>
            <w:tcW w:w="3888" w:type="dxa"/>
          </w:tcPr>
          <w:p w14:paraId="56BD98B9" w14:textId="77777777" w:rsidR="003B6E39" w:rsidRPr="00AE02E3" w:rsidRDefault="003B6E39" w:rsidP="005D718F">
            <w:pPr>
              <w:rPr>
                <w:b/>
                <w:i/>
                <w:lang w:val="es-ES_tradnl"/>
              </w:rPr>
            </w:pPr>
            <w:r w:rsidRPr="00AE02E3">
              <w:rPr>
                <w:b/>
                <w:i/>
                <w:lang w:val="es-ES_tradnl"/>
              </w:rPr>
              <w:t>ESCUELA EN INTIBUCA (2)</w:t>
            </w:r>
          </w:p>
          <w:p w14:paraId="4298DB15" w14:textId="77777777" w:rsidR="003B6E39" w:rsidRDefault="003B6E39" w:rsidP="005D718F">
            <w:pPr>
              <w:jc w:val="both"/>
              <w:rPr>
                <w:lang w:val="es-ES_tradnl"/>
              </w:rPr>
            </w:pPr>
            <w:r>
              <w:rPr>
                <w:lang w:val="es-ES_tradnl"/>
              </w:rPr>
              <w:t>El piloto funciona a la intemperie, cubierto con una lona. Gran participación de  la comunidad educativa y del director de la escuela. La escuela alternativa se encuentra a 2 horas caminando (en temporada seca). No hay posibilidad de transporte regular. No cuenta con terreno para construir aulas de tercer ciclo.</w:t>
            </w:r>
          </w:p>
        </w:tc>
      </w:tr>
    </w:tbl>
    <w:p w14:paraId="568459E6" w14:textId="77777777" w:rsidR="003B6E39" w:rsidRDefault="003B6E39" w:rsidP="003B6E39">
      <w:pPr>
        <w:rPr>
          <w:lang w:val="es-ES_tradnl"/>
        </w:rPr>
      </w:pPr>
    </w:p>
    <w:p w14:paraId="2E799E4E" w14:textId="77777777" w:rsidR="003B6E39" w:rsidRDefault="003B6E39" w:rsidP="003B6E39">
      <w:pPr>
        <w:rPr>
          <w:lang w:val="es-ES_tradnl"/>
        </w:rPr>
      </w:pPr>
    </w:p>
    <w:p w14:paraId="0ABAD056" w14:textId="77777777" w:rsidR="003B6E39" w:rsidRDefault="003B6E39" w:rsidP="003B6E39">
      <w:pPr>
        <w:jc w:val="both"/>
        <w:rPr>
          <w:lang w:val="es-ES_tradnl"/>
        </w:rPr>
      </w:pPr>
      <w:r>
        <w:rPr>
          <w:lang w:val="es-ES_tradnl"/>
        </w:rPr>
        <w:t>No obstante las dificultades y retos, la implementación del piloto a la fecha refleja avances importantes:</w:t>
      </w:r>
    </w:p>
    <w:p w14:paraId="3BD716FC" w14:textId="77777777" w:rsidR="003B6E39" w:rsidRDefault="003B6E39" w:rsidP="003B6E39">
      <w:pPr>
        <w:jc w:val="both"/>
        <w:rPr>
          <w:lang w:val="es-ES_tradnl"/>
        </w:rPr>
      </w:pPr>
    </w:p>
    <w:p w14:paraId="45998DAD" w14:textId="77777777" w:rsidR="003B6E39" w:rsidRPr="0068710D" w:rsidRDefault="003B6E39" w:rsidP="003B6E39">
      <w:pPr>
        <w:pStyle w:val="ListParagraph"/>
        <w:numPr>
          <w:ilvl w:val="0"/>
          <w:numId w:val="7"/>
        </w:numPr>
        <w:spacing w:after="0" w:line="240" w:lineRule="auto"/>
        <w:jc w:val="both"/>
        <w:rPr>
          <w:lang w:val="es-ES_tradnl"/>
        </w:rPr>
      </w:pPr>
      <w:r w:rsidRPr="0068710D">
        <w:rPr>
          <w:lang w:val="es-ES_tradnl"/>
        </w:rPr>
        <w:t>Se instalaron 113 aulas de 7mo grado en el mismo número de escuelas. De esta forma, se ha incorporado un total de 2500 estudiantes al sistema educativo.</w:t>
      </w:r>
    </w:p>
    <w:p w14:paraId="2EDCEE4E" w14:textId="1179605C" w:rsidR="003B6E39" w:rsidRDefault="003B6E39" w:rsidP="003B6E39">
      <w:pPr>
        <w:pStyle w:val="ListParagraph"/>
        <w:numPr>
          <w:ilvl w:val="0"/>
          <w:numId w:val="7"/>
        </w:numPr>
        <w:spacing w:after="0" w:line="240" w:lineRule="auto"/>
        <w:jc w:val="both"/>
        <w:rPr>
          <w:lang w:val="es-ES_tradnl"/>
        </w:rPr>
      </w:pPr>
      <w:r>
        <w:rPr>
          <w:lang w:val="es-ES_tradnl"/>
        </w:rPr>
        <w:t xml:space="preserve">Si bien el piloto empezó con un retraso de 2 meses con relación al comienzo del año escolar regular, los estudiantes han logrado los objetivos esperados en desarrollo de contenidos esperados para esta época del </w:t>
      </w:r>
      <w:r w:rsidR="00AD2012">
        <w:rPr>
          <w:lang w:val="es-ES_tradnl"/>
        </w:rPr>
        <w:t>año</w:t>
      </w:r>
      <w:r>
        <w:rPr>
          <w:lang w:val="es-ES_tradnl"/>
        </w:rPr>
        <w:t>. Cabe anotar que se espera un comienzo oportuno en el próximo año escolar.</w:t>
      </w:r>
    </w:p>
    <w:p w14:paraId="6CAEF29C" w14:textId="77777777" w:rsidR="003B6E39" w:rsidRDefault="003B6E39" w:rsidP="003B6E39">
      <w:pPr>
        <w:pStyle w:val="ListParagraph"/>
        <w:numPr>
          <w:ilvl w:val="0"/>
          <w:numId w:val="7"/>
        </w:numPr>
        <w:spacing w:after="0" w:line="240" w:lineRule="auto"/>
        <w:jc w:val="both"/>
        <w:rPr>
          <w:lang w:val="es-ES_tradnl"/>
        </w:rPr>
      </w:pPr>
      <w:r>
        <w:rPr>
          <w:lang w:val="es-ES_tradnl"/>
        </w:rPr>
        <w:t xml:space="preserve">Todos los alumnos cuentan con los materiales incluidos en el piloto. </w:t>
      </w:r>
    </w:p>
    <w:p w14:paraId="0E9E476E" w14:textId="77777777" w:rsidR="003B6E39" w:rsidRDefault="003B6E39" w:rsidP="003B6E39">
      <w:pPr>
        <w:pStyle w:val="ListParagraph"/>
        <w:numPr>
          <w:ilvl w:val="0"/>
          <w:numId w:val="7"/>
        </w:numPr>
        <w:spacing w:after="0" w:line="240" w:lineRule="auto"/>
        <w:jc w:val="both"/>
        <w:rPr>
          <w:lang w:val="es-ES_tradnl"/>
        </w:rPr>
      </w:pPr>
      <w:r>
        <w:rPr>
          <w:lang w:val="es-ES_tradnl"/>
        </w:rPr>
        <w:t>Se estima que a pesar de las dificultades del piloto para encontrar ambientes apropiados, la tasa de deserción a la fecha es de 4 por ciento.</w:t>
      </w:r>
    </w:p>
    <w:p w14:paraId="69270B12" w14:textId="77777777" w:rsidR="003B6E39" w:rsidRDefault="003B6E39" w:rsidP="003B6E39">
      <w:pPr>
        <w:pStyle w:val="ListParagraph"/>
        <w:numPr>
          <w:ilvl w:val="0"/>
          <w:numId w:val="7"/>
        </w:numPr>
        <w:spacing w:after="0" w:line="240" w:lineRule="auto"/>
        <w:jc w:val="both"/>
        <w:rPr>
          <w:lang w:val="es-ES_tradnl"/>
        </w:rPr>
      </w:pPr>
      <w:r>
        <w:rPr>
          <w:lang w:val="es-ES_tradnl"/>
        </w:rPr>
        <w:t>Se ha registrado la pre-matrícula para el próximo año escolar, registrándose matrícula suficiente para formar nuevos grupos y mantener los existentes.</w:t>
      </w:r>
    </w:p>
    <w:p w14:paraId="19E08FA7" w14:textId="77777777" w:rsidR="003B6E39" w:rsidRDefault="003B6E39" w:rsidP="003B6E39">
      <w:pPr>
        <w:pStyle w:val="ListParagraph"/>
        <w:numPr>
          <w:ilvl w:val="0"/>
          <w:numId w:val="7"/>
        </w:numPr>
        <w:spacing w:after="0" w:line="240" w:lineRule="auto"/>
        <w:jc w:val="both"/>
        <w:rPr>
          <w:lang w:val="es-ES_tradnl"/>
        </w:rPr>
      </w:pPr>
      <w:r>
        <w:rPr>
          <w:lang w:val="es-ES_tradnl"/>
        </w:rPr>
        <w:t>Todos los alumnos participantes en el programa están incluidos en sistema de gestión escolar de la secretaría de educación (SACE).</w:t>
      </w:r>
    </w:p>
    <w:p w14:paraId="56F3B28A" w14:textId="77777777" w:rsidR="003B6E39" w:rsidRDefault="003B6E39" w:rsidP="003B6E39">
      <w:pPr>
        <w:pStyle w:val="ListParagraph"/>
        <w:ind w:left="1080"/>
        <w:jc w:val="both"/>
        <w:rPr>
          <w:lang w:val="es-ES_tradnl"/>
        </w:rPr>
      </w:pPr>
    </w:p>
    <w:p w14:paraId="5E152CCD" w14:textId="77777777" w:rsidR="003B6E39" w:rsidRPr="0068710D" w:rsidRDefault="003B6E39" w:rsidP="003B6E39">
      <w:pPr>
        <w:pStyle w:val="ListParagraph"/>
        <w:ind w:left="1080"/>
        <w:jc w:val="both"/>
        <w:rPr>
          <w:lang w:val="es-ES_tradnl"/>
        </w:rPr>
      </w:pPr>
    </w:p>
    <w:p w14:paraId="6D64980D" w14:textId="77777777" w:rsidR="003B6E39" w:rsidRPr="003B168A" w:rsidRDefault="003B6E39" w:rsidP="003B6E39">
      <w:pPr>
        <w:jc w:val="both"/>
        <w:rPr>
          <w:lang w:val="es-ES_tradnl"/>
        </w:rPr>
      </w:pPr>
      <w:r>
        <w:rPr>
          <w:lang w:val="es-ES_tradnl"/>
        </w:rPr>
        <w:t>Finalmente, cabe anotar que con la operación HO-L1093 se espera aumentar el piloto de 100 a 150 escuelas, aumentando la matrícula a 3750 estudiantes por cohorte (equivalente al 25 por ciento).  El BID, en diálogo con la Secretaría de Educación está analizando opciones para brindar oportunidades al 75 por ciento restante.</w:t>
      </w:r>
    </w:p>
    <w:p w14:paraId="4AAA5518" w14:textId="77777777" w:rsidR="005E0397" w:rsidRDefault="005E0397" w:rsidP="00967D06">
      <w:pPr>
        <w:rPr>
          <w:lang w:val="es-ES_tradnl"/>
        </w:rPr>
      </w:pPr>
    </w:p>
    <w:p w14:paraId="398B4B81" w14:textId="77777777" w:rsidR="00544551" w:rsidRPr="00967D06" w:rsidRDefault="00544551" w:rsidP="00967D06">
      <w:pPr>
        <w:rPr>
          <w:lang w:val="es-ES_tradnl"/>
        </w:rPr>
      </w:pPr>
    </w:p>
    <w:sectPr w:rsidR="00544551" w:rsidRPr="00967D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10D1B" w14:textId="77777777" w:rsidR="006436E8" w:rsidRDefault="006436E8" w:rsidP="00C2177A">
      <w:pPr>
        <w:spacing w:after="0" w:line="240" w:lineRule="auto"/>
      </w:pPr>
      <w:r>
        <w:separator/>
      </w:r>
    </w:p>
  </w:endnote>
  <w:endnote w:type="continuationSeparator" w:id="0">
    <w:p w14:paraId="3C8A5D69" w14:textId="77777777" w:rsidR="006436E8" w:rsidRDefault="006436E8" w:rsidP="00C2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FC715" w14:textId="77777777" w:rsidR="006436E8" w:rsidRDefault="006436E8" w:rsidP="00C2177A">
      <w:pPr>
        <w:spacing w:after="0" w:line="240" w:lineRule="auto"/>
      </w:pPr>
      <w:r>
        <w:separator/>
      </w:r>
    </w:p>
  </w:footnote>
  <w:footnote w:type="continuationSeparator" w:id="0">
    <w:p w14:paraId="4B7E7113" w14:textId="77777777" w:rsidR="006436E8" w:rsidRDefault="006436E8" w:rsidP="00C2177A">
      <w:pPr>
        <w:spacing w:after="0" w:line="240" w:lineRule="auto"/>
      </w:pPr>
      <w:r>
        <w:continuationSeparator/>
      </w:r>
    </w:p>
  </w:footnote>
  <w:footnote w:id="1">
    <w:p w14:paraId="34F748B9" w14:textId="77777777" w:rsidR="006436E8" w:rsidRPr="00C2177A" w:rsidRDefault="006436E8" w:rsidP="00C2177A">
      <w:pPr>
        <w:pStyle w:val="FootnoteText"/>
        <w:jc w:val="both"/>
        <w:rPr>
          <w:lang w:val="es-ES_tradnl"/>
        </w:rPr>
      </w:pPr>
      <w:r>
        <w:rPr>
          <w:rStyle w:val="FootnoteReference"/>
        </w:rPr>
        <w:footnoteRef/>
      </w:r>
      <w:r w:rsidRPr="00C2177A">
        <w:rPr>
          <w:lang w:val="es-ES_tradnl"/>
        </w:rPr>
        <w:t xml:space="preserve"> Los datos se calculan con base a la matricula inicial del año 2013. </w:t>
      </w:r>
      <w:r>
        <w:rPr>
          <w:lang w:val="es-ES_tradnl"/>
        </w:rPr>
        <w:t>La base es tercer grado, para evitar distorsiones en el tamaño de la cohorte por altas tasas de repetición en primer y segundo grado. La comparación es con octavo grado, dado que existen importantes diferencias reales de asistencia entre la matricula inicial de 7mo grado, y el número de estudiantes que participan efectivamente en el mismo.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6277"/>
    <w:multiLevelType w:val="hybridMultilevel"/>
    <w:tmpl w:val="DBA4D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FB0F26"/>
    <w:multiLevelType w:val="hybridMultilevel"/>
    <w:tmpl w:val="E452AA3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2A6B7E1E"/>
    <w:multiLevelType w:val="hybridMultilevel"/>
    <w:tmpl w:val="4DBC89FA"/>
    <w:lvl w:ilvl="0" w:tplc="3434F79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9C15D3F"/>
    <w:multiLevelType w:val="hybridMultilevel"/>
    <w:tmpl w:val="99FE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1F79"/>
    <w:multiLevelType w:val="hybridMultilevel"/>
    <w:tmpl w:val="40E2B0B2"/>
    <w:lvl w:ilvl="0" w:tplc="3F0C20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E14224"/>
    <w:multiLevelType w:val="hybridMultilevel"/>
    <w:tmpl w:val="AC8C0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51216D"/>
    <w:multiLevelType w:val="hybridMultilevel"/>
    <w:tmpl w:val="1B5E6A18"/>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9F0"/>
    <w:rsid w:val="000179E7"/>
    <w:rsid w:val="00024A37"/>
    <w:rsid w:val="000771B5"/>
    <w:rsid w:val="00182A08"/>
    <w:rsid w:val="001A1C91"/>
    <w:rsid w:val="001D095E"/>
    <w:rsid w:val="00216962"/>
    <w:rsid w:val="002251BB"/>
    <w:rsid w:val="002653BB"/>
    <w:rsid w:val="00314840"/>
    <w:rsid w:val="003247C4"/>
    <w:rsid w:val="003B6E39"/>
    <w:rsid w:val="004F1AAA"/>
    <w:rsid w:val="00521D99"/>
    <w:rsid w:val="00544551"/>
    <w:rsid w:val="005A2D02"/>
    <w:rsid w:val="005E0397"/>
    <w:rsid w:val="005E4838"/>
    <w:rsid w:val="006436E8"/>
    <w:rsid w:val="00706E0A"/>
    <w:rsid w:val="007D370D"/>
    <w:rsid w:val="00810084"/>
    <w:rsid w:val="008110B4"/>
    <w:rsid w:val="00843784"/>
    <w:rsid w:val="00883E2B"/>
    <w:rsid w:val="008B109A"/>
    <w:rsid w:val="00967D06"/>
    <w:rsid w:val="009E5B52"/>
    <w:rsid w:val="00AC0594"/>
    <w:rsid w:val="00AD2012"/>
    <w:rsid w:val="00B300D1"/>
    <w:rsid w:val="00BA06C8"/>
    <w:rsid w:val="00BD575F"/>
    <w:rsid w:val="00BE6B51"/>
    <w:rsid w:val="00BF79B1"/>
    <w:rsid w:val="00C01679"/>
    <w:rsid w:val="00C149F0"/>
    <w:rsid w:val="00C2177A"/>
    <w:rsid w:val="00C2562B"/>
    <w:rsid w:val="00C56D63"/>
    <w:rsid w:val="00C6635D"/>
    <w:rsid w:val="00CA183D"/>
    <w:rsid w:val="00CC6B84"/>
    <w:rsid w:val="00D76E31"/>
    <w:rsid w:val="00D8177F"/>
    <w:rsid w:val="00E5191E"/>
    <w:rsid w:val="00E900F9"/>
    <w:rsid w:val="00EC05B3"/>
    <w:rsid w:val="00F86B12"/>
    <w:rsid w:val="00FF4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10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67D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67D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9F0"/>
    <w:pPr>
      <w:ind w:left="720"/>
      <w:contextualSpacing/>
    </w:pPr>
  </w:style>
  <w:style w:type="character" w:customStyle="1" w:styleId="Heading1Char">
    <w:name w:val="Heading 1 Char"/>
    <w:basedOn w:val="DefaultParagraphFont"/>
    <w:link w:val="Heading1"/>
    <w:rsid w:val="00967D0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67D06"/>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967D06"/>
    <w:pPr>
      <w:spacing w:after="0" w:line="240" w:lineRule="auto"/>
    </w:pPr>
    <w:rPr>
      <w:rFonts w:ascii="Calibri" w:eastAsia="Calibri" w:hAnsi="Calibri" w:cs="Calibri"/>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A2D02"/>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paragraph" w:styleId="BalloonText">
    <w:name w:val="Balloon Text"/>
    <w:basedOn w:val="Normal"/>
    <w:link w:val="BalloonTextChar"/>
    <w:uiPriority w:val="99"/>
    <w:semiHidden/>
    <w:unhideWhenUsed/>
    <w:rsid w:val="005E4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838"/>
    <w:rPr>
      <w:rFonts w:ascii="Tahoma" w:hAnsi="Tahoma" w:cs="Tahoma"/>
      <w:sz w:val="16"/>
      <w:szCs w:val="16"/>
    </w:rPr>
  </w:style>
  <w:style w:type="paragraph" w:styleId="NormalWeb">
    <w:name w:val="Normal (Web)"/>
    <w:basedOn w:val="Normal"/>
    <w:uiPriority w:val="99"/>
    <w:unhideWhenUsed/>
    <w:rsid w:val="005E039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217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177A"/>
    <w:rPr>
      <w:sz w:val="20"/>
      <w:szCs w:val="20"/>
    </w:rPr>
  </w:style>
  <w:style w:type="character" w:styleId="FootnoteReference">
    <w:name w:val="footnote reference"/>
    <w:basedOn w:val="DefaultParagraphFont"/>
    <w:uiPriority w:val="99"/>
    <w:semiHidden/>
    <w:unhideWhenUsed/>
    <w:rsid w:val="00C2177A"/>
    <w:rPr>
      <w:vertAlign w:val="superscript"/>
    </w:rPr>
  </w:style>
  <w:style w:type="paragraph" w:customStyle="1" w:styleId="ColorfulList-Accent11">
    <w:name w:val="Colorful List - Accent 11"/>
    <w:basedOn w:val="Normal"/>
    <w:link w:val="ColorfulList-Accent1Ch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3B6E39"/>
    <w:rPr>
      <w:rFonts w:ascii="Calibri" w:eastAsia="Calibri" w:hAnsi="Calibri" w:cs="Times New Roman"/>
      <w:lang w:val="es-ES_tradnl"/>
    </w:rPr>
  </w:style>
  <w:style w:type="paragraph" w:customStyle="1" w:styleId="Listavistosa-nfasis11">
    <w:name w:val="Lista vistosa - Énfasis 11"/>
    <w:basedOn w:val="Normal"/>
    <w:link w:val="Listavistosa-nfasis1C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Listavistosa-nfasis1Car">
    <w:name w:val="Lista vistosa - Énfasis 1 Car"/>
    <w:link w:val="Listavistosa-nfasis11"/>
    <w:uiPriority w:val="34"/>
    <w:rsid w:val="003B6E39"/>
    <w:rPr>
      <w:rFonts w:ascii="Calibri" w:eastAsia="Calibri" w:hAnsi="Calibri" w:cs="Times New Roman"/>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67D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67D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9F0"/>
    <w:pPr>
      <w:ind w:left="720"/>
      <w:contextualSpacing/>
    </w:pPr>
  </w:style>
  <w:style w:type="character" w:customStyle="1" w:styleId="Heading1Char">
    <w:name w:val="Heading 1 Char"/>
    <w:basedOn w:val="DefaultParagraphFont"/>
    <w:link w:val="Heading1"/>
    <w:rsid w:val="00967D0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67D06"/>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967D06"/>
    <w:pPr>
      <w:spacing w:after="0" w:line="240" w:lineRule="auto"/>
    </w:pPr>
    <w:rPr>
      <w:rFonts w:ascii="Calibri" w:eastAsia="Calibri" w:hAnsi="Calibri" w:cs="Calibri"/>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A2D02"/>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paragraph" w:styleId="BalloonText">
    <w:name w:val="Balloon Text"/>
    <w:basedOn w:val="Normal"/>
    <w:link w:val="BalloonTextChar"/>
    <w:uiPriority w:val="99"/>
    <w:semiHidden/>
    <w:unhideWhenUsed/>
    <w:rsid w:val="005E4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838"/>
    <w:rPr>
      <w:rFonts w:ascii="Tahoma" w:hAnsi="Tahoma" w:cs="Tahoma"/>
      <w:sz w:val="16"/>
      <w:szCs w:val="16"/>
    </w:rPr>
  </w:style>
  <w:style w:type="paragraph" w:styleId="NormalWeb">
    <w:name w:val="Normal (Web)"/>
    <w:basedOn w:val="Normal"/>
    <w:uiPriority w:val="99"/>
    <w:unhideWhenUsed/>
    <w:rsid w:val="005E039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217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177A"/>
    <w:rPr>
      <w:sz w:val="20"/>
      <w:szCs w:val="20"/>
    </w:rPr>
  </w:style>
  <w:style w:type="character" w:styleId="FootnoteReference">
    <w:name w:val="footnote reference"/>
    <w:basedOn w:val="DefaultParagraphFont"/>
    <w:uiPriority w:val="99"/>
    <w:semiHidden/>
    <w:unhideWhenUsed/>
    <w:rsid w:val="00C2177A"/>
    <w:rPr>
      <w:vertAlign w:val="superscript"/>
    </w:rPr>
  </w:style>
  <w:style w:type="paragraph" w:customStyle="1" w:styleId="ColorfulList-Accent11">
    <w:name w:val="Colorful List - Accent 11"/>
    <w:basedOn w:val="Normal"/>
    <w:link w:val="ColorfulList-Accent1Ch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3B6E39"/>
    <w:rPr>
      <w:rFonts w:ascii="Calibri" w:eastAsia="Calibri" w:hAnsi="Calibri" w:cs="Times New Roman"/>
      <w:lang w:val="es-ES_tradnl"/>
    </w:rPr>
  </w:style>
  <w:style w:type="paragraph" w:customStyle="1" w:styleId="Listavistosa-nfasis11">
    <w:name w:val="Lista vistosa - Énfasis 11"/>
    <w:basedOn w:val="Normal"/>
    <w:link w:val="Listavistosa-nfasis1Car"/>
    <w:uiPriority w:val="34"/>
    <w:qFormat/>
    <w:rsid w:val="003B6E39"/>
    <w:pPr>
      <w:spacing w:after="0" w:line="240" w:lineRule="auto"/>
      <w:ind w:left="720"/>
      <w:contextualSpacing/>
    </w:pPr>
    <w:rPr>
      <w:rFonts w:ascii="Calibri" w:eastAsia="Calibri" w:hAnsi="Calibri" w:cs="Times New Roman"/>
      <w:lang w:val="es-ES_tradnl"/>
    </w:rPr>
  </w:style>
  <w:style w:type="character" w:customStyle="1" w:styleId="Listavistosa-nfasis1Car">
    <w:name w:val="Lista vistosa - Énfasis 1 Car"/>
    <w:link w:val="Listavistosa-nfasis11"/>
    <w:uiPriority w:val="34"/>
    <w:rsid w:val="003B6E39"/>
    <w:rPr>
      <w:rFonts w:ascii="Calibri" w:eastAsia="Calibri" w:hAnsi="Calibri" w:cs="Times New Roman"/>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93183">
      <w:bodyDiv w:val="1"/>
      <w:marLeft w:val="0"/>
      <w:marRight w:val="0"/>
      <w:marTop w:val="0"/>
      <w:marBottom w:val="0"/>
      <w:divBdr>
        <w:top w:val="none" w:sz="0" w:space="0" w:color="auto"/>
        <w:left w:val="none" w:sz="0" w:space="0" w:color="auto"/>
        <w:bottom w:val="none" w:sz="0" w:space="0" w:color="auto"/>
        <w:right w:val="none" w:sz="0" w:space="0" w:color="auto"/>
      </w:divBdr>
    </w:div>
    <w:div w:id="1524125791">
      <w:bodyDiv w:val="1"/>
      <w:marLeft w:val="0"/>
      <w:marRight w:val="0"/>
      <w:marTop w:val="0"/>
      <w:marBottom w:val="0"/>
      <w:divBdr>
        <w:top w:val="none" w:sz="0" w:space="0" w:color="auto"/>
        <w:left w:val="none" w:sz="0" w:space="0" w:color="auto"/>
        <w:bottom w:val="none" w:sz="0" w:space="0" w:color="auto"/>
        <w:right w:val="none" w:sz="0" w:space="0" w:color="auto"/>
      </w:divBdr>
    </w:div>
    <w:div w:id="1969705594">
      <w:bodyDiv w:val="1"/>
      <w:marLeft w:val="0"/>
      <w:marRight w:val="0"/>
      <w:marTop w:val="0"/>
      <w:marBottom w:val="0"/>
      <w:divBdr>
        <w:top w:val="none" w:sz="0" w:space="0" w:color="auto"/>
        <w:left w:val="none" w:sz="0" w:space="0" w:color="auto"/>
        <w:bottom w:val="none" w:sz="0" w:space="0" w:color="auto"/>
        <w:right w:val="none" w:sz="0" w:space="0" w:color="auto"/>
      </w:divBdr>
    </w:div>
    <w:div w:id="210097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customXml" Target="../customXml/item5.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javierluque:Dropbox:honduras:Base%20de%20datos%20de%20centros%20educativos%20(version%20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ony_8GT:VISITA%20COLEGIO%20OCTUBRE:Book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7.3368110236220502E-2"/>
          <c:y val="6.0185185185185203E-2"/>
          <c:w val="0.84885411198600202"/>
          <c:h val="0.61885303672705205"/>
        </c:manualLayout>
      </c:layout>
      <c:lineChart>
        <c:grouping val="standard"/>
        <c:varyColors val="0"/>
        <c:ser>
          <c:idx val="0"/>
          <c:order val="0"/>
          <c:tx>
            <c:v>PRIMARIA COMPLETA</c:v>
          </c:tx>
          <c:marker>
            <c:symbol val="none"/>
          </c:marker>
          <c:cat>
            <c:numRef>
              <c:f>'sobre edad 1,6,9'!$Z$6:$Z$18</c:f>
              <c:numCache>
                <c:formatCode>General</c:formatCode>
                <c:ptCount val="13"/>
                <c:pt idx="0">
                  <c:v>1950</c:v>
                </c:pt>
                <c:pt idx="1">
                  <c:v>1955</c:v>
                </c:pt>
                <c:pt idx="2">
                  <c:v>1960</c:v>
                </c:pt>
                <c:pt idx="3">
                  <c:v>1965</c:v>
                </c:pt>
                <c:pt idx="4">
                  <c:v>1970</c:v>
                </c:pt>
                <c:pt idx="5">
                  <c:v>1975</c:v>
                </c:pt>
                <c:pt idx="6">
                  <c:v>1980</c:v>
                </c:pt>
                <c:pt idx="7">
                  <c:v>1985</c:v>
                </c:pt>
                <c:pt idx="8">
                  <c:v>1990</c:v>
                </c:pt>
                <c:pt idx="9">
                  <c:v>1995</c:v>
                </c:pt>
                <c:pt idx="10">
                  <c:v>2000</c:v>
                </c:pt>
                <c:pt idx="11">
                  <c:v>2005</c:v>
                </c:pt>
                <c:pt idx="12">
                  <c:v>2010</c:v>
                </c:pt>
              </c:numCache>
            </c:numRef>
          </c:cat>
          <c:val>
            <c:numRef>
              <c:f>'sobre edad 1,6,9'!$V$23:$V$35</c:f>
              <c:numCache>
                <c:formatCode>General</c:formatCode>
                <c:ptCount val="13"/>
                <c:pt idx="0">
                  <c:v>10.891690000000001</c:v>
                </c:pt>
                <c:pt idx="1">
                  <c:v>11.16682</c:v>
                </c:pt>
                <c:pt idx="2">
                  <c:v>11.65615</c:v>
                </c:pt>
                <c:pt idx="3">
                  <c:v>11.528230000000001</c:v>
                </c:pt>
                <c:pt idx="4">
                  <c:v>13.322340000000001</c:v>
                </c:pt>
                <c:pt idx="5">
                  <c:v>16.39986</c:v>
                </c:pt>
                <c:pt idx="6">
                  <c:v>25.742370000000001</c:v>
                </c:pt>
                <c:pt idx="7">
                  <c:v>34.786169999999998</c:v>
                </c:pt>
                <c:pt idx="8">
                  <c:v>43.084479999999999</c:v>
                </c:pt>
                <c:pt idx="9">
                  <c:v>51.755280000000013</c:v>
                </c:pt>
                <c:pt idx="10">
                  <c:v>62.054430000000004</c:v>
                </c:pt>
                <c:pt idx="11">
                  <c:v>71.897369999999995</c:v>
                </c:pt>
                <c:pt idx="12">
                  <c:v>78.907529999999994</c:v>
                </c:pt>
              </c:numCache>
            </c:numRef>
          </c:val>
          <c:smooth val="0"/>
        </c:ser>
        <c:ser>
          <c:idx val="1"/>
          <c:order val="1"/>
          <c:tx>
            <c:v>SECUNDARIA COMPLETA</c:v>
          </c:tx>
          <c:marker>
            <c:symbol val="none"/>
          </c:marker>
          <c:cat>
            <c:numRef>
              <c:f>'sobre edad 1,6,9'!$Z$6:$Z$18</c:f>
              <c:numCache>
                <c:formatCode>General</c:formatCode>
                <c:ptCount val="13"/>
                <c:pt idx="0">
                  <c:v>1950</c:v>
                </c:pt>
                <c:pt idx="1">
                  <c:v>1955</c:v>
                </c:pt>
                <c:pt idx="2">
                  <c:v>1960</c:v>
                </c:pt>
                <c:pt idx="3">
                  <c:v>1965</c:v>
                </c:pt>
                <c:pt idx="4">
                  <c:v>1970</c:v>
                </c:pt>
                <c:pt idx="5">
                  <c:v>1975</c:v>
                </c:pt>
                <c:pt idx="6">
                  <c:v>1980</c:v>
                </c:pt>
                <c:pt idx="7">
                  <c:v>1985</c:v>
                </c:pt>
                <c:pt idx="8">
                  <c:v>1990</c:v>
                </c:pt>
                <c:pt idx="9">
                  <c:v>1995</c:v>
                </c:pt>
                <c:pt idx="10">
                  <c:v>2000</c:v>
                </c:pt>
                <c:pt idx="11">
                  <c:v>2005</c:v>
                </c:pt>
                <c:pt idx="12">
                  <c:v>2010</c:v>
                </c:pt>
              </c:numCache>
            </c:numRef>
          </c:cat>
          <c:val>
            <c:numRef>
              <c:f>'sobre edad 1,6,9'!$W$23:$W$35</c:f>
              <c:numCache>
                <c:formatCode>General</c:formatCode>
                <c:ptCount val="13"/>
                <c:pt idx="0">
                  <c:v>3.0488019999999998</c:v>
                </c:pt>
                <c:pt idx="1">
                  <c:v>3.296272999999998</c:v>
                </c:pt>
                <c:pt idx="2">
                  <c:v>3.595688</c:v>
                </c:pt>
                <c:pt idx="3">
                  <c:v>4.2599010000000002</c:v>
                </c:pt>
                <c:pt idx="4">
                  <c:v>5.0322100000000001</c:v>
                </c:pt>
                <c:pt idx="5">
                  <c:v>5.5866160000000002</c:v>
                </c:pt>
                <c:pt idx="6">
                  <c:v>9.3749819999999993</c:v>
                </c:pt>
                <c:pt idx="7">
                  <c:v>13.00038</c:v>
                </c:pt>
                <c:pt idx="8">
                  <c:v>15.12238</c:v>
                </c:pt>
                <c:pt idx="9">
                  <c:v>16.190449999999981</c:v>
                </c:pt>
                <c:pt idx="10">
                  <c:v>17.16742</c:v>
                </c:pt>
                <c:pt idx="11">
                  <c:v>19.1936</c:v>
                </c:pt>
                <c:pt idx="12">
                  <c:v>21.984010000000001</c:v>
                </c:pt>
              </c:numCache>
            </c:numRef>
          </c:val>
          <c:smooth val="0"/>
        </c:ser>
        <c:dLbls>
          <c:showLegendKey val="0"/>
          <c:showVal val="0"/>
          <c:showCatName val="0"/>
          <c:showSerName val="0"/>
          <c:showPercent val="0"/>
          <c:showBubbleSize val="0"/>
        </c:dLbls>
        <c:marker val="1"/>
        <c:smooth val="0"/>
        <c:axId val="192554112"/>
        <c:axId val="192555648"/>
      </c:lineChart>
      <c:catAx>
        <c:axId val="192554112"/>
        <c:scaling>
          <c:orientation val="minMax"/>
        </c:scaling>
        <c:delete val="0"/>
        <c:axPos val="b"/>
        <c:numFmt formatCode="General" sourceLinked="1"/>
        <c:majorTickMark val="out"/>
        <c:minorTickMark val="none"/>
        <c:tickLblPos val="nextTo"/>
        <c:crossAx val="192555648"/>
        <c:crosses val="autoZero"/>
        <c:auto val="1"/>
        <c:lblAlgn val="ctr"/>
        <c:lblOffset val="100"/>
        <c:noMultiLvlLbl val="0"/>
      </c:catAx>
      <c:valAx>
        <c:axId val="192555648"/>
        <c:scaling>
          <c:orientation val="minMax"/>
        </c:scaling>
        <c:delete val="0"/>
        <c:axPos val="l"/>
        <c:majorGridlines/>
        <c:numFmt formatCode="General" sourceLinked="1"/>
        <c:majorTickMark val="out"/>
        <c:minorTickMark val="none"/>
        <c:tickLblPos val="nextTo"/>
        <c:crossAx val="192554112"/>
        <c:crosses val="autoZero"/>
        <c:crossBetween val="between"/>
      </c:valAx>
    </c:plotArea>
    <c:legend>
      <c:legendPos val="r"/>
      <c:layout>
        <c:manualLayout>
          <c:xMode val="edge"/>
          <c:yMode val="edge"/>
          <c:x val="7.7777777777777807E-2"/>
          <c:y val="0.82793598716827099"/>
          <c:w val="0.88004115226337398"/>
          <c:h val="0.168202099737533"/>
        </c:manualLayout>
      </c:layout>
      <c:overlay val="0"/>
      <c:txPr>
        <a:bodyPr/>
        <a:lstStyle/>
        <a:p>
          <a:pPr>
            <a:defRPr sz="600"/>
          </a:pPr>
          <a:endParaRPr lang="en-US"/>
        </a:p>
      </c:txPr>
    </c:legend>
    <c:plotVisOnly val="1"/>
    <c:dispBlanksAs val="gap"/>
    <c:showDLblsOverMax val="0"/>
  </c:chart>
  <c:txPr>
    <a:bodyPr/>
    <a:lstStyle/>
    <a:p>
      <a:pPr>
        <a:defRPr sz="8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invertIfNegative val="0"/>
          <c:cat>
            <c:strRef>
              <c:f>Sheet3!$C$70:$G$70</c:f>
              <c:strCache>
                <c:ptCount val="5"/>
                <c:pt idx="0">
                  <c:v>TERCERO</c:v>
                </c:pt>
                <c:pt idx="1">
                  <c:v>SEXTO</c:v>
                </c:pt>
                <c:pt idx="2">
                  <c:v>SEPTIMO</c:v>
                </c:pt>
                <c:pt idx="3">
                  <c:v>OCTAVO</c:v>
                </c:pt>
                <c:pt idx="4">
                  <c:v> NOVENO</c:v>
                </c:pt>
              </c:strCache>
            </c:strRef>
          </c:cat>
          <c:val>
            <c:numRef>
              <c:f>Sheet3!$C$72:$G$72</c:f>
              <c:numCache>
                <c:formatCode>General</c:formatCode>
                <c:ptCount val="5"/>
                <c:pt idx="0">
                  <c:v>35606</c:v>
                </c:pt>
                <c:pt idx="1">
                  <c:v>28468</c:v>
                </c:pt>
                <c:pt idx="2">
                  <c:v>19677</c:v>
                </c:pt>
                <c:pt idx="3">
                  <c:v>15578</c:v>
                </c:pt>
                <c:pt idx="4">
                  <c:v>13187</c:v>
                </c:pt>
              </c:numCache>
            </c:numRef>
          </c:val>
        </c:ser>
        <c:dLbls>
          <c:showLegendKey val="0"/>
          <c:showVal val="0"/>
          <c:showCatName val="0"/>
          <c:showSerName val="0"/>
          <c:showPercent val="0"/>
          <c:showBubbleSize val="0"/>
        </c:dLbls>
        <c:gapWidth val="150"/>
        <c:axId val="192589824"/>
        <c:axId val="192591360"/>
      </c:barChart>
      <c:lineChart>
        <c:grouping val="standard"/>
        <c:varyColors val="0"/>
        <c:ser>
          <c:idx val="1"/>
          <c:order val="1"/>
          <c:marker>
            <c:symbol val="none"/>
          </c:marker>
          <c:val>
            <c:numRef>
              <c:f>Sheet3!$C$113:$G$113</c:f>
              <c:numCache>
                <c:formatCode>General</c:formatCode>
                <c:ptCount val="5"/>
                <c:pt idx="1">
                  <c:v>28468</c:v>
                </c:pt>
                <c:pt idx="2">
                  <c:v>28468</c:v>
                </c:pt>
                <c:pt idx="3">
                  <c:v>28468</c:v>
                </c:pt>
                <c:pt idx="4">
                  <c:v>28468</c:v>
                </c:pt>
              </c:numCache>
            </c:numRef>
          </c:val>
          <c:smooth val="0"/>
        </c:ser>
        <c:ser>
          <c:idx val="2"/>
          <c:order val="2"/>
          <c:spPr>
            <a:ln>
              <a:solidFill>
                <a:srgbClr val="800000"/>
              </a:solidFill>
            </a:ln>
          </c:spPr>
          <c:marker>
            <c:symbol val="none"/>
          </c:marker>
          <c:val>
            <c:numRef>
              <c:f>Sheet3!$C$115:$G$115</c:f>
              <c:numCache>
                <c:formatCode>General</c:formatCode>
                <c:ptCount val="5"/>
                <c:pt idx="0">
                  <c:v>35606</c:v>
                </c:pt>
                <c:pt idx="1">
                  <c:v>35606</c:v>
                </c:pt>
                <c:pt idx="2">
                  <c:v>35606</c:v>
                </c:pt>
                <c:pt idx="3">
                  <c:v>35606</c:v>
                </c:pt>
                <c:pt idx="4">
                  <c:v>35606</c:v>
                </c:pt>
              </c:numCache>
            </c:numRef>
          </c:val>
          <c:smooth val="0"/>
        </c:ser>
        <c:dLbls>
          <c:showLegendKey val="0"/>
          <c:showVal val="0"/>
          <c:showCatName val="0"/>
          <c:showSerName val="0"/>
          <c:showPercent val="0"/>
          <c:showBubbleSize val="0"/>
        </c:dLbls>
        <c:marker val="1"/>
        <c:smooth val="0"/>
        <c:axId val="192589824"/>
        <c:axId val="192591360"/>
      </c:lineChart>
      <c:catAx>
        <c:axId val="192589824"/>
        <c:scaling>
          <c:orientation val="minMax"/>
        </c:scaling>
        <c:delete val="0"/>
        <c:axPos val="b"/>
        <c:numFmt formatCode="General" sourceLinked="1"/>
        <c:majorTickMark val="out"/>
        <c:minorTickMark val="none"/>
        <c:tickLblPos val="nextTo"/>
        <c:crossAx val="192591360"/>
        <c:crosses val="autoZero"/>
        <c:auto val="1"/>
        <c:lblAlgn val="ctr"/>
        <c:lblOffset val="100"/>
        <c:noMultiLvlLbl val="0"/>
      </c:catAx>
      <c:valAx>
        <c:axId val="192591360"/>
        <c:scaling>
          <c:orientation val="minMax"/>
        </c:scaling>
        <c:delete val="0"/>
        <c:axPos val="l"/>
        <c:majorGridlines/>
        <c:numFmt formatCode="General" sourceLinked="1"/>
        <c:majorTickMark val="out"/>
        <c:minorTickMark val="none"/>
        <c:tickLblPos val="nextTo"/>
        <c:crossAx val="19258982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800"/>
              <a:t>TRANSICIÓN DE PRIMARIA A TERCER CICLO - POBLACIÓN 12-15 AÑOS</a:t>
            </a:r>
          </a:p>
        </c:rich>
      </c:tx>
      <c:overlay val="0"/>
    </c:title>
    <c:autoTitleDeleted val="0"/>
    <c:plotArea>
      <c:layout>
        <c:manualLayout>
          <c:layoutTarget val="inner"/>
          <c:xMode val="edge"/>
          <c:yMode val="edge"/>
          <c:x val="0.35854541393157602"/>
          <c:y val="0.41304118980424698"/>
          <c:w val="0.59954613990465899"/>
          <c:h val="0.49962256565426799"/>
        </c:manualLayout>
      </c:layout>
      <c:barChart>
        <c:barDir val="bar"/>
        <c:grouping val="percentStacked"/>
        <c:varyColors val="0"/>
        <c:ser>
          <c:idx val="0"/>
          <c:order val="0"/>
          <c:tx>
            <c:strRef>
              <c:f>Sheet1!$D$3</c:f>
              <c:strCache>
                <c:ptCount val="1"/>
                <c:pt idx="0">
                  <c:v>SI</c:v>
                </c:pt>
              </c:strCache>
            </c:strRef>
          </c:tx>
          <c:spPr>
            <a:solidFill>
              <a:srgbClr val="00B050"/>
            </a:solidFill>
          </c:spPr>
          <c:invertIfNegative val="0"/>
          <c:cat>
            <c:strRef>
              <c:f>Sheet1!$A$4:$A$7</c:f>
              <c:strCache>
                <c:ptCount val="4"/>
                <c:pt idx="0">
                  <c:v>AREA RURAL &amp; OCCIDENTE</c:v>
                </c:pt>
                <c:pt idx="1">
                  <c:v>OCCIDENTE</c:v>
                </c:pt>
                <c:pt idx="2">
                  <c:v>AREA RURAL </c:v>
                </c:pt>
                <c:pt idx="3">
                  <c:v>TOTAL</c:v>
                </c:pt>
              </c:strCache>
            </c:strRef>
          </c:cat>
          <c:val>
            <c:numRef>
              <c:f>Sheet1!$D$4:$D$7</c:f>
              <c:numCache>
                <c:formatCode>0%</c:formatCode>
                <c:ptCount val="4"/>
                <c:pt idx="0">
                  <c:v>0.47474747474747497</c:v>
                </c:pt>
                <c:pt idx="1">
                  <c:v>0.59616400211243903</c:v>
                </c:pt>
                <c:pt idx="2">
                  <c:v>0.57617728531856005</c:v>
                </c:pt>
                <c:pt idx="3">
                  <c:v>0.73563482218727705</c:v>
                </c:pt>
              </c:numCache>
            </c:numRef>
          </c:val>
        </c:ser>
        <c:ser>
          <c:idx val="1"/>
          <c:order val="1"/>
          <c:tx>
            <c:strRef>
              <c:f>Sheet1!$E$3</c:f>
              <c:strCache>
                <c:ptCount val="1"/>
                <c:pt idx="0">
                  <c:v>NO</c:v>
                </c:pt>
              </c:strCache>
            </c:strRef>
          </c:tx>
          <c:spPr>
            <a:solidFill>
              <a:srgbClr val="FF0000"/>
            </a:solidFill>
          </c:spPr>
          <c:invertIfNegative val="0"/>
          <c:cat>
            <c:strRef>
              <c:f>Sheet1!$A$4:$A$7</c:f>
              <c:strCache>
                <c:ptCount val="4"/>
                <c:pt idx="0">
                  <c:v>AREA RURAL &amp; OCCIDENTE</c:v>
                </c:pt>
                <c:pt idx="1">
                  <c:v>OCCIDENTE</c:v>
                </c:pt>
                <c:pt idx="2">
                  <c:v>AREA RURAL </c:v>
                </c:pt>
                <c:pt idx="3">
                  <c:v>TOTAL</c:v>
                </c:pt>
              </c:strCache>
            </c:strRef>
          </c:cat>
          <c:val>
            <c:numRef>
              <c:f>Sheet1!$E$4:$E$7</c:f>
              <c:numCache>
                <c:formatCode>0%</c:formatCode>
                <c:ptCount val="4"/>
                <c:pt idx="0">
                  <c:v>0.52525252525252497</c:v>
                </c:pt>
                <c:pt idx="1">
                  <c:v>0.40383599788756103</c:v>
                </c:pt>
                <c:pt idx="2">
                  <c:v>0.42382271468144</c:v>
                </c:pt>
                <c:pt idx="3">
                  <c:v>0.26436517781272301</c:v>
                </c:pt>
              </c:numCache>
            </c:numRef>
          </c:val>
        </c:ser>
        <c:dLbls>
          <c:showLegendKey val="0"/>
          <c:showVal val="1"/>
          <c:showCatName val="0"/>
          <c:showSerName val="0"/>
          <c:showPercent val="0"/>
          <c:showBubbleSize val="0"/>
        </c:dLbls>
        <c:gapWidth val="95"/>
        <c:overlap val="100"/>
        <c:axId val="186541184"/>
        <c:axId val="186542720"/>
      </c:barChart>
      <c:catAx>
        <c:axId val="186541184"/>
        <c:scaling>
          <c:orientation val="minMax"/>
        </c:scaling>
        <c:delete val="0"/>
        <c:axPos val="l"/>
        <c:majorTickMark val="none"/>
        <c:minorTickMark val="none"/>
        <c:tickLblPos val="nextTo"/>
        <c:crossAx val="186542720"/>
        <c:crosses val="autoZero"/>
        <c:auto val="1"/>
        <c:lblAlgn val="ctr"/>
        <c:lblOffset val="100"/>
        <c:noMultiLvlLbl val="0"/>
      </c:catAx>
      <c:valAx>
        <c:axId val="186542720"/>
        <c:scaling>
          <c:orientation val="minMax"/>
        </c:scaling>
        <c:delete val="1"/>
        <c:axPos val="b"/>
        <c:numFmt formatCode="0%" sourceLinked="1"/>
        <c:majorTickMark val="out"/>
        <c:minorTickMark val="none"/>
        <c:tickLblPos val="nextTo"/>
        <c:crossAx val="186541184"/>
        <c:crosses val="autoZero"/>
        <c:crossBetween val="between"/>
      </c:valAx>
    </c:plotArea>
    <c:legend>
      <c:legendPos val="t"/>
      <c:overlay val="0"/>
    </c:legend>
    <c:plotVisOnly val="1"/>
    <c:dispBlanksAs val="gap"/>
    <c:showDLblsOverMax val="0"/>
  </c:chart>
  <c:txPr>
    <a:bodyPr/>
    <a:lstStyle/>
    <a:p>
      <a:pPr algn="ctr">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38769796</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4D0DE1E-C53D-4DF8-93FA-66D6B1EA29DD}"/>
</file>

<file path=customXml/itemProps2.xml><?xml version="1.0" encoding="utf-8"?>
<ds:datastoreItem xmlns:ds="http://schemas.openxmlformats.org/officeDocument/2006/customXml" ds:itemID="{8F4C7414-8EB8-418D-95C4-B88604607AEE}"/>
</file>

<file path=customXml/itemProps3.xml><?xml version="1.0" encoding="utf-8"?>
<ds:datastoreItem xmlns:ds="http://schemas.openxmlformats.org/officeDocument/2006/customXml" ds:itemID="{EE015E1A-850C-4C44-AE0D-73CD5D47ED68}"/>
</file>

<file path=customXml/itemProps4.xml><?xml version="1.0" encoding="utf-8"?>
<ds:datastoreItem xmlns:ds="http://schemas.openxmlformats.org/officeDocument/2006/customXml" ds:itemID="{766F2E46-F4F4-4DB5-8285-983A5353CBD2}"/>
</file>

<file path=customXml/itemProps5.xml><?xml version="1.0" encoding="utf-8"?>
<ds:datastoreItem xmlns:ds="http://schemas.openxmlformats.org/officeDocument/2006/customXml" ds:itemID="{E24DC98E-5201-468A-A734-1D3D29D0CD4C}"/>
</file>

<file path=customXml/itemProps6.xml><?xml version="1.0" encoding="utf-8"?>
<ds:datastoreItem xmlns:ds="http://schemas.openxmlformats.org/officeDocument/2006/customXml" ds:itemID="{07DCE477-F783-43A1-BD26-8E112E0F8525}"/>
</file>

<file path=docProps/app.xml><?xml version="1.0" encoding="utf-8"?>
<Properties xmlns="http://schemas.openxmlformats.org/officeDocument/2006/extended-properties" xmlns:vt="http://schemas.openxmlformats.org/officeDocument/2006/docPropsVTypes">
  <Template>Normal.dotm</Template>
  <TotalTime>1</TotalTime>
  <Pages>13</Pages>
  <Words>3490</Words>
  <Characters>19899</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Estrategia de extensión de cobertura del tercer ciclo</dc:title>
  <dc:creator>Inter-American Development Bank</dc:creator>
  <cp:lastModifiedBy>Test</cp:lastModifiedBy>
  <cp:revision>2</cp:revision>
  <dcterms:created xsi:type="dcterms:W3CDTF">2014-10-14T19:31:00Z</dcterms:created>
  <dcterms:modified xsi:type="dcterms:W3CDTF">2014-10-14T19:31:00Z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0x01010046CF21643EE8D14686A648AA6DAD0892008F2BA73533D89346B9EF2B78F623B099</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