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D0" w:rsidRPr="00433324" w:rsidRDefault="009A4ED0" w:rsidP="009A4ED0">
      <w:pPr>
        <w:pStyle w:val="Paragraph"/>
        <w:numPr>
          <w:ilvl w:val="0"/>
          <w:numId w:val="0"/>
        </w:numPr>
        <w:spacing w:after="0"/>
        <w:ind w:left="720"/>
        <w:jc w:val="center"/>
        <w:rPr>
          <w:rFonts w:ascii="Arial" w:hAnsi="Arial" w:cs="Arial"/>
          <w:b/>
          <w:spacing w:val="-6"/>
          <w:sz w:val="18"/>
          <w:szCs w:val="18"/>
        </w:rPr>
      </w:pPr>
      <w:r w:rsidRPr="00433324">
        <w:rPr>
          <w:rFonts w:ascii="Arial" w:hAnsi="Arial" w:cs="Arial"/>
          <w:b/>
          <w:color w:val="1A1A1A"/>
          <w:sz w:val="18"/>
          <w:szCs w:val="18"/>
        </w:rPr>
        <w:t>Cuadro 2. Adopción de tec</w:t>
      </w:r>
      <w:r>
        <w:rPr>
          <w:rFonts w:ascii="Arial" w:hAnsi="Arial" w:cs="Arial"/>
          <w:b/>
          <w:color w:val="1A1A1A"/>
          <w:sz w:val="18"/>
          <w:szCs w:val="18"/>
        </w:rPr>
        <w:t>nologías de la información por profesionales e instituciones de s</w:t>
      </w:r>
      <w:r w:rsidRPr="00433324">
        <w:rPr>
          <w:rFonts w:ascii="Arial" w:hAnsi="Arial" w:cs="Arial"/>
          <w:b/>
          <w:color w:val="1A1A1A"/>
          <w:sz w:val="18"/>
          <w:szCs w:val="18"/>
        </w:rPr>
        <w:t>alud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1890"/>
        <w:gridCol w:w="1862"/>
      </w:tblGrid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Indicadores a partir de Encuesta a Profesionales de la Salud</w:t>
            </w:r>
          </w:p>
        </w:tc>
        <w:tc>
          <w:tcPr>
            <w:tcW w:w="1890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Valor en 2014</w:t>
            </w:r>
          </w:p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(%)</w:t>
            </w:r>
          </w:p>
        </w:tc>
        <w:tc>
          <w:tcPr>
            <w:tcW w:w="1862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Valor en 2016</w:t>
            </w:r>
          </w:p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  <w:r w:rsidRPr="00B126BD">
              <w:rPr>
                <w:rFonts w:ascii="Arial" w:hAnsi="Arial"/>
                <w:b/>
                <w:sz w:val="18"/>
              </w:rPr>
              <w:t>(%)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Disponibilidad de computador para trabajar (siempre o casi siempre)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80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 xml:space="preserve">Frecuencia de uso de computador mientras atiende paciente (todos o casi todos los días) 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62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Percepción de mejora en la eficiencia de los procesos por uso de TI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83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Percepción de disminución de exámenes duplicados o innecesarios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81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Percepción de disminución de errores médicos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70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Indicadores a part</w:t>
            </w:r>
            <w:r>
              <w:rPr>
                <w:rFonts w:ascii="Arial" w:hAnsi="Arial"/>
                <w:b/>
                <w:sz w:val="18"/>
              </w:rPr>
              <w:t>ir de Encuesta a Instituciones P</w:t>
            </w:r>
            <w:r w:rsidRPr="00B126BD">
              <w:rPr>
                <w:rFonts w:ascii="Arial" w:hAnsi="Arial"/>
                <w:b/>
                <w:sz w:val="18"/>
              </w:rPr>
              <w:t>restadoras de Salud</w:t>
            </w:r>
          </w:p>
        </w:tc>
        <w:tc>
          <w:tcPr>
            <w:tcW w:w="1890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Valor en 2014</w:t>
            </w:r>
          </w:p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(%)</w:t>
            </w:r>
          </w:p>
        </w:tc>
        <w:tc>
          <w:tcPr>
            <w:tcW w:w="1862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Valor en 2016</w:t>
            </w:r>
          </w:p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 w:rsidRPr="00B126BD">
              <w:rPr>
                <w:rFonts w:ascii="Arial" w:hAnsi="Arial"/>
                <w:b/>
                <w:sz w:val="18"/>
              </w:rPr>
              <w:t>(%)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Disponen de profesionales médicos en su área de TI</w:t>
            </w:r>
          </w:p>
        </w:tc>
        <w:tc>
          <w:tcPr>
            <w:tcW w:w="1890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862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33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 xml:space="preserve">Disponen de almacenamiento de (todos o </w:t>
            </w:r>
            <w:r>
              <w:rPr>
                <w:rFonts w:ascii="Arial" w:hAnsi="Arial"/>
                <w:sz w:val="18"/>
              </w:rPr>
              <w:t>la mayoría</w:t>
            </w:r>
            <w:r w:rsidRPr="00B126BD">
              <w:rPr>
                <w:rFonts w:ascii="Arial" w:hAnsi="Arial"/>
                <w:sz w:val="18"/>
              </w:rPr>
              <w:t>) los registros clínicos de pacientes en forma electrónica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57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Disponen de imágenes de estudios radiológicos almacenados electrónicamente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30%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62%</w:t>
            </w:r>
          </w:p>
        </w:tc>
      </w:tr>
      <w:tr w:rsidR="009A4ED0" w:rsidRPr="00CF38DF" w:rsidTr="00E51A21"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Disponen de registro electrónico de motivos para solicitar consulta o atención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67</w:t>
            </w:r>
          </w:p>
        </w:tc>
      </w:tr>
      <w:tr w:rsidR="009A4ED0" w:rsidRPr="00CF38DF" w:rsidTr="00E51A21">
        <w:trPr>
          <w:trHeight w:val="269"/>
        </w:trPr>
        <w:tc>
          <w:tcPr>
            <w:tcW w:w="4158" w:type="dxa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Disponen de un sistema de HCE</w:t>
            </w:r>
          </w:p>
        </w:tc>
        <w:tc>
          <w:tcPr>
            <w:tcW w:w="1890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1862" w:type="dxa"/>
            <w:vAlign w:val="center"/>
          </w:tcPr>
          <w:p w:rsidR="009A4ED0" w:rsidRPr="00B126BD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B126BD">
              <w:rPr>
                <w:rFonts w:ascii="Arial" w:hAnsi="Arial"/>
                <w:sz w:val="18"/>
              </w:rPr>
              <w:t>77</w:t>
            </w:r>
          </w:p>
        </w:tc>
      </w:tr>
      <w:tr w:rsidR="009A4ED0" w:rsidRPr="00CF38DF" w:rsidTr="00E51A21">
        <w:trPr>
          <w:trHeight w:val="458"/>
        </w:trPr>
        <w:tc>
          <w:tcPr>
            <w:tcW w:w="4158" w:type="dxa"/>
          </w:tcPr>
          <w:p w:rsidR="009A4ED0" w:rsidRPr="00155F3C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/>
                <w:sz w:val="18"/>
              </w:rPr>
            </w:pPr>
            <w:r w:rsidRPr="00471B2E">
              <w:rPr>
                <w:rFonts w:ascii="Arial" w:hAnsi="Arial" w:cs="Arial"/>
                <w:spacing w:val="-6"/>
                <w:sz w:val="18"/>
                <w:szCs w:val="18"/>
              </w:rPr>
              <w:t xml:space="preserve"> Disponen de capacidad para </w:t>
            </w:r>
            <w:proofErr w:type="spellStart"/>
            <w:r w:rsidRPr="00471B2E">
              <w:rPr>
                <w:rFonts w:ascii="Arial" w:hAnsi="Arial" w:cs="Arial"/>
                <w:spacing w:val="-6"/>
                <w:sz w:val="18"/>
                <w:szCs w:val="18"/>
              </w:rPr>
              <w:t>interoperar</w:t>
            </w:r>
            <w:proofErr w:type="spellEnd"/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(intercambiar información)</w:t>
            </w:r>
          </w:p>
        </w:tc>
        <w:tc>
          <w:tcPr>
            <w:tcW w:w="1890" w:type="dxa"/>
            <w:vAlign w:val="center"/>
          </w:tcPr>
          <w:p w:rsidR="009A4ED0" w:rsidRPr="00155F3C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155F3C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862" w:type="dxa"/>
            <w:vAlign w:val="center"/>
          </w:tcPr>
          <w:p w:rsidR="009A4ED0" w:rsidRPr="00155F3C" w:rsidRDefault="009A4ED0" w:rsidP="00E51A21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/>
                <w:sz w:val="18"/>
              </w:rPr>
            </w:pPr>
            <w:r w:rsidRPr="00155F3C">
              <w:rPr>
                <w:rFonts w:ascii="Arial" w:hAnsi="Arial"/>
                <w:sz w:val="18"/>
              </w:rPr>
              <w:t>48</w:t>
            </w:r>
          </w:p>
        </w:tc>
      </w:tr>
    </w:tbl>
    <w:p w:rsidR="00490B2C" w:rsidRDefault="00490B2C"/>
    <w:sectPr w:rsidR="00490B2C" w:rsidSect="006F72FA">
      <w:headerReference w:type="default" r:id="rId7"/>
      <w:pgSz w:w="12240" w:h="15840"/>
      <w:pgMar w:top="1440" w:right="20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C50" w:rsidRDefault="008F2C50" w:rsidP="009A4ED0">
      <w:r>
        <w:separator/>
      </w:r>
    </w:p>
  </w:endnote>
  <w:endnote w:type="continuationSeparator" w:id="0">
    <w:p w:rsidR="008F2C50" w:rsidRDefault="008F2C50" w:rsidP="009A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C50" w:rsidRDefault="008F2C50" w:rsidP="009A4ED0">
      <w:r>
        <w:separator/>
      </w:r>
    </w:p>
  </w:footnote>
  <w:footnote w:type="continuationSeparator" w:id="0">
    <w:p w:rsidR="008F2C50" w:rsidRDefault="008F2C50" w:rsidP="009A4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ED0" w:rsidRDefault="009A4ED0" w:rsidP="009A4ED0">
    <w:pPr>
      <w:pStyle w:val="Head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UR-L1143</w:t>
    </w:r>
  </w:p>
  <w:p w:rsidR="009A4ED0" w:rsidRPr="00947BC5" w:rsidRDefault="009A4ED0" w:rsidP="009A4ED0">
    <w:pPr>
      <w:pStyle w:val="Header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1318336367"/>
        <w:docPartObj>
          <w:docPartGallery w:val="Page Numbers (Top of Page)"/>
          <w:docPartUnique/>
        </w:docPartObj>
      </w:sdtPr>
      <w:sdtContent>
        <w:r>
          <w:rPr>
            <w:rFonts w:ascii="Arial" w:hAnsi="Arial" w:cs="Arial"/>
            <w:sz w:val="18"/>
            <w:szCs w:val="18"/>
          </w:rPr>
          <w:t>Página</w:t>
        </w:r>
        <w:r w:rsidRPr="00947BC5">
          <w:rPr>
            <w:rFonts w:ascii="Arial" w:hAnsi="Arial" w:cs="Arial"/>
            <w:sz w:val="18"/>
            <w:szCs w:val="18"/>
          </w:rPr>
          <w:t xml:space="preserve"> </w: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947BC5">
          <w:rPr>
            <w:rFonts w:ascii="Arial" w:hAnsi="Arial" w:cs="Arial"/>
            <w:b/>
            <w:bCs/>
            <w:sz w:val="18"/>
            <w:szCs w:val="18"/>
          </w:rPr>
          <w:instrText xml:space="preserve"> PAGE </w:instrTex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F72FA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de</w:t>
        </w:r>
        <w:r w:rsidRPr="00947BC5">
          <w:rPr>
            <w:rFonts w:ascii="Arial" w:hAnsi="Arial" w:cs="Arial"/>
            <w:sz w:val="18"/>
            <w:szCs w:val="18"/>
          </w:rPr>
          <w:t xml:space="preserve"> </w: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947BC5">
          <w:rPr>
            <w:rFonts w:ascii="Arial" w:hAnsi="Arial" w:cs="Arial"/>
            <w:b/>
            <w:bCs/>
            <w:sz w:val="18"/>
            <w:szCs w:val="18"/>
          </w:rPr>
          <w:instrText xml:space="preserve"> NUMPAGES  </w:instrTex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F72FA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947BC5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sdtContent>
    </w:sdt>
  </w:p>
  <w:p w:rsidR="009A4ED0" w:rsidRDefault="009A4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D0"/>
    <w:rsid w:val="001B2AD2"/>
    <w:rsid w:val="00490B2C"/>
    <w:rsid w:val="006F72FA"/>
    <w:rsid w:val="008F2C50"/>
    <w:rsid w:val="009A4ED0"/>
    <w:rsid w:val="00E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6496A4-CC39-4C25-8BFE-C7E9D922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E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ED0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9A4E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ED0"/>
    <w:rPr>
      <w:lang w:val="es-ES_tradnl"/>
    </w:rPr>
  </w:style>
  <w:style w:type="paragraph" w:customStyle="1" w:styleId="Chapter">
    <w:name w:val="Chapter"/>
    <w:basedOn w:val="Normal"/>
    <w:next w:val="Normal"/>
    <w:rsid w:val="009A4ED0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A4ED0"/>
    <w:pPr>
      <w:numPr>
        <w:ilvl w:val="1"/>
        <w:numId w:val="1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9A4ED0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9A4ED0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9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">
    <w:name w:val="Paragraph Char"/>
    <w:link w:val="Paragraph"/>
    <w:locked/>
    <w:rsid w:val="009A4ED0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4ED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4ED0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4ED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4ED0"/>
    <w:rPr>
      <w:rFonts w:ascii="Times New Roman" w:eastAsia="Times New Roman" w:hAnsi="Times New Roman" w:cs="Times New Roman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85AB60407186243895F6A726C2E306A" ma:contentTypeVersion="22" ma:contentTypeDescription="A content type to manage public (operations) IDB documents" ma:contentTypeScope="" ma:versionID="0bde1456fe3ab91dfb38c0a6f990eeb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ea056ba81274f896f5e7327bdd1ee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Gonzalez, Melissa Maria Laura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Fernandez, Roberto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41</Value>
      <Value>40</Value>
      <Value>32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UR-L1143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R0001217641</Record_x0020_Number>
    <_dlc_DocId xmlns="cdc7663a-08f0-4737-9e8c-148ce897a09c">EZSHARE-775961652-42</_dlc_DocId>
    <_dlc_DocIdUrl xmlns="cdc7663a-08f0-4737-9e8c-148ce897a09c">
      <Url>https://idbg.sharepoint.com/teams/EZ-UR-LON/UR-L1143/_layouts/15/DocIdRedir.aspx?ID=EZSHARE-775961652-42</Url>
      <Description>EZSHARE-775961652-42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8792F6A3-F1D5-4784-8FDF-138BDD23D490}"/>
</file>

<file path=customXml/itemProps2.xml><?xml version="1.0" encoding="utf-8"?>
<ds:datastoreItem xmlns:ds="http://schemas.openxmlformats.org/officeDocument/2006/customXml" ds:itemID="{795A8C82-E177-43AE-8439-6C64BAEC2705}"/>
</file>

<file path=customXml/itemProps3.xml><?xml version="1.0" encoding="utf-8"?>
<ds:datastoreItem xmlns:ds="http://schemas.openxmlformats.org/officeDocument/2006/customXml" ds:itemID="{1AD3190E-1D30-4B8E-BA2C-CA3EABE06935}"/>
</file>

<file path=customXml/itemProps4.xml><?xml version="1.0" encoding="utf-8"?>
<ds:datastoreItem xmlns:ds="http://schemas.openxmlformats.org/officeDocument/2006/customXml" ds:itemID="{31E25220-5FBA-4952-BD6C-F2AAF33A110C}"/>
</file>

<file path=customXml/itemProps5.xml><?xml version="1.0" encoding="utf-8"?>
<ds:datastoreItem xmlns:ds="http://schemas.openxmlformats.org/officeDocument/2006/customXml" ds:itemID="{259E9566-78D8-4CB7-8094-ABB99F281F02}"/>
</file>

<file path=customXml/itemProps6.xml><?xml version="1.0" encoding="utf-8"?>
<ds:datastoreItem xmlns:ds="http://schemas.openxmlformats.org/officeDocument/2006/customXml" ds:itemID="{94AB12E3-A2DD-4A7E-9A89-EFF75EA3ED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Melissa Maria Laura</dc:creator>
  <cp:keywords/>
  <dc:description/>
  <cp:lastModifiedBy>Gonzalez, Melissa Maria Laura</cp:lastModifiedBy>
  <cp:revision>2</cp:revision>
  <dcterms:created xsi:type="dcterms:W3CDTF">2017-08-21T17:39:00Z</dcterms:created>
  <dcterms:modified xsi:type="dcterms:W3CDTF">2017-08-21T17:40:00Z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41;#E-GOVERNMENT|281505e9-fdf9-47b0-b36a-d5df63f0fdea</vt:lpwstr>
  </property>
  <property fmtid="{D5CDD505-2E9C-101B-9397-08002B2CF9AE}" pid="7" name="Fund IDB">
    <vt:lpwstr>30;#ORC|c028a4b2-ad8b-4cf4-9cac-a2ae6a778e23</vt:lpwstr>
  </property>
  <property fmtid="{D5CDD505-2E9C-101B-9397-08002B2CF9AE}" pid="8" name="Country">
    <vt:lpwstr>32;#Uruguay|5d9b6fdd-d595-4446-a0eb-c14b465f6d0e</vt:lpwstr>
  </property>
  <property fmtid="{D5CDD505-2E9C-101B-9397-08002B2CF9AE}" pid="9" name="Sector IDB">
    <vt:lpwstr>40;#REFORM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fdb48aaf-ef88-4e7f-bf02-e5e9ab42fb39</vt:lpwstr>
  </property>
  <property fmtid="{D5CDD505-2E9C-101B-9397-08002B2CF9AE}" pid="12" name="ContentTypeId">
    <vt:lpwstr>0x0101001A458A224826124E8B45B1D613300CFC00785AB60407186243895F6A726C2E306A</vt:lpwstr>
  </property>
</Properties>
</file>