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p14">
  <w:body>
    <w:p w:rsidR="00AD3A7F" w:rsidP="0032511F" w:rsidRDefault="00AD3A7F" w14:paraId="39292D34" w14:textId="77777777">
      <w:pPr>
        <w:keepNext/>
        <w:keepLines/>
        <w:spacing w:before="40" w:after="0" w:line="276" w:lineRule="auto"/>
        <w:jc w:val="center"/>
        <w:outlineLvl w:val="1"/>
        <w:rPr>
          <w:rFonts w:ascii="Arial" w:hAnsi="Arial" w:eastAsia="Times New Roman" w:cs="Arial"/>
          <w:lang w:val="es-NI"/>
        </w:rPr>
      </w:pPr>
    </w:p>
    <w:p w:rsidR="00AD3A7F" w:rsidP="0032511F" w:rsidRDefault="00AD3A7F" w14:paraId="5C1DA5A6" w14:textId="77777777">
      <w:pPr>
        <w:keepNext/>
        <w:keepLines/>
        <w:spacing w:before="40" w:after="0" w:line="276" w:lineRule="auto"/>
        <w:jc w:val="center"/>
        <w:outlineLvl w:val="1"/>
        <w:rPr>
          <w:rFonts w:ascii="Arial" w:hAnsi="Arial" w:eastAsia="Times New Roman" w:cs="Arial"/>
          <w:lang w:val="es-NI"/>
        </w:rPr>
      </w:pPr>
    </w:p>
    <w:p w:rsidR="00AD3A7F" w:rsidP="0032511F" w:rsidRDefault="00AD3A7F" w14:paraId="6382F037" w14:textId="77777777">
      <w:pPr>
        <w:keepNext/>
        <w:keepLines/>
        <w:spacing w:before="40" w:after="0" w:line="276" w:lineRule="auto"/>
        <w:jc w:val="center"/>
        <w:outlineLvl w:val="1"/>
        <w:rPr>
          <w:rFonts w:ascii="Arial" w:hAnsi="Arial" w:eastAsia="Times New Roman" w:cs="Arial"/>
          <w:lang w:val="es-NI"/>
        </w:rPr>
      </w:pPr>
    </w:p>
    <w:p w:rsidR="00AD3A7F" w:rsidP="0032511F" w:rsidRDefault="00AD3A7F" w14:paraId="70DF0DB7" w14:textId="77777777">
      <w:pPr>
        <w:keepNext/>
        <w:keepLines/>
        <w:spacing w:before="40" w:after="0" w:line="276" w:lineRule="auto"/>
        <w:jc w:val="center"/>
        <w:outlineLvl w:val="1"/>
        <w:rPr>
          <w:rFonts w:ascii="Arial" w:hAnsi="Arial" w:eastAsia="Times New Roman" w:cs="Arial"/>
          <w:lang w:val="es-NI"/>
        </w:rPr>
      </w:pPr>
    </w:p>
    <w:p w:rsidRPr="0032511F" w:rsidR="0032511F" w:rsidP="0032511F" w:rsidRDefault="0032511F" w14:paraId="2A817AA4" w14:textId="31464C04">
      <w:pPr>
        <w:keepNext/>
        <w:keepLines/>
        <w:spacing w:before="40" w:after="0" w:line="276" w:lineRule="auto"/>
        <w:jc w:val="center"/>
        <w:outlineLvl w:val="1"/>
        <w:rPr>
          <w:rFonts w:ascii="Arial" w:hAnsi="Arial" w:eastAsia="Times New Roman" w:cs="Arial"/>
          <w:lang w:val="es-NI"/>
        </w:rPr>
      </w:pPr>
      <w:r w:rsidRPr="0032511F">
        <w:rPr>
          <w:rFonts w:ascii="Arial" w:hAnsi="Arial" w:eastAsia="Times New Roman" w:cs="Arial"/>
          <w:lang w:val="es-NI"/>
        </w:rPr>
        <w:t>DOCUMENTO DEL BANCO INTERAMERICANO DE DESARROLLO</w:t>
      </w:r>
    </w:p>
    <w:p w:rsidRPr="0032511F" w:rsidR="0032511F" w:rsidP="0032511F" w:rsidRDefault="0032511F" w14:paraId="444AA3D8"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7E7C6D22"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06739F20"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1CAC4626"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180BEA23" w14:textId="77777777">
      <w:pPr>
        <w:keepNext/>
        <w:keepLines/>
        <w:spacing w:before="40" w:after="0" w:line="276" w:lineRule="auto"/>
        <w:jc w:val="center"/>
        <w:outlineLvl w:val="1"/>
        <w:rPr>
          <w:rFonts w:ascii="Arial" w:hAnsi="Arial" w:eastAsia="Times New Roman" w:cs="Arial"/>
          <w:b/>
          <w:bCs/>
          <w:sz w:val="28"/>
          <w:szCs w:val="28"/>
          <w:lang w:val="es-NI"/>
        </w:rPr>
      </w:pPr>
      <w:r w:rsidRPr="0032511F">
        <w:rPr>
          <w:rFonts w:ascii="Arial" w:hAnsi="Arial" w:eastAsia="Times New Roman" w:cs="Arial"/>
          <w:b/>
          <w:bCs/>
          <w:sz w:val="28"/>
          <w:szCs w:val="28"/>
          <w:lang w:val="es-NI"/>
        </w:rPr>
        <w:t>EL SALVADOR</w:t>
      </w:r>
    </w:p>
    <w:p w:rsidRPr="0032511F" w:rsidR="0032511F" w:rsidP="0032511F" w:rsidRDefault="0032511F" w14:paraId="1C21FB63" w14:textId="77777777">
      <w:pPr>
        <w:keepNext/>
        <w:keepLines/>
        <w:spacing w:before="40" w:after="0" w:line="276" w:lineRule="auto"/>
        <w:outlineLvl w:val="1"/>
        <w:rPr>
          <w:rFonts w:ascii="Arial" w:hAnsi="Arial" w:eastAsia="Times New Roman" w:cs="Arial"/>
          <w:b/>
          <w:bCs/>
          <w:sz w:val="28"/>
          <w:szCs w:val="28"/>
          <w:lang w:val="es-NI"/>
        </w:rPr>
      </w:pPr>
    </w:p>
    <w:p w:rsidRPr="0032511F" w:rsidR="0032511F" w:rsidP="0032511F" w:rsidRDefault="0032511F" w14:paraId="5EB5C10E" w14:textId="77777777">
      <w:pPr>
        <w:keepNext/>
        <w:keepLines/>
        <w:spacing w:before="40" w:after="0" w:line="276" w:lineRule="auto"/>
        <w:jc w:val="center"/>
        <w:outlineLvl w:val="1"/>
        <w:rPr>
          <w:rFonts w:ascii="Arial" w:hAnsi="Arial" w:eastAsia="Times New Roman" w:cs="Arial"/>
          <w:b/>
          <w:bCs/>
          <w:sz w:val="28"/>
          <w:szCs w:val="28"/>
          <w:lang w:val="es-NI"/>
        </w:rPr>
      </w:pPr>
    </w:p>
    <w:p w:rsidRPr="0032511F" w:rsidR="0032511F" w:rsidP="0032511F" w:rsidRDefault="0032511F" w14:paraId="7DBC29D9" w14:textId="77777777">
      <w:pPr>
        <w:keepNext/>
        <w:keepLines/>
        <w:spacing w:before="40" w:after="0" w:line="276" w:lineRule="auto"/>
        <w:jc w:val="center"/>
        <w:outlineLvl w:val="1"/>
        <w:rPr>
          <w:rFonts w:ascii="Arial" w:hAnsi="Arial" w:eastAsia="Times New Roman" w:cs="Arial"/>
          <w:b/>
          <w:bCs/>
          <w:sz w:val="28"/>
          <w:szCs w:val="28"/>
          <w:lang w:val="es-NI"/>
        </w:rPr>
      </w:pPr>
    </w:p>
    <w:p w:rsidRPr="0032511F" w:rsidR="0032511F" w:rsidP="0032511F" w:rsidRDefault="0032511F" w14:paraId="369E5C06"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743D251F" w14:textId="6C7F73DD">
      <w:pPr>
        <w:keepNext/>
        <w:keepLines/>
        <w:spacing w:before="40" w:after="0" w:line="276" w:lineRule="auto"/>
        <w:jc w:val="center"/>
        <w:outlineLvl w:val="1"/>
        <w:rPr>
          <w:rFonts w:ascii="Arial" w:hAnsi="Arial" w:eastAsia="Times New Roman" w:cs="Arial"/>
          <w:b/>
          <w:bCs/>
          <w:lang w:val="es-NI"/>
        </w:rPr>
      </w:pPr>
      <w:r w:rsidRPr="0032511F">
        <w:rPr>
          <w:rFonts w:ascii="Arial" w:hAnsi="Arial" w:eastAsia="Times New Roman" w:cs="Arial"/>
          <w:b/>
          <w:bCs/>
          <w:lang w:val="es-NI"/>
        </w:rPr>
        <w:t xml:space="preserve">LÍNEA DE CRÉDITO CONDICIONAL </w:t>
      </w:r>
      <w:r w:rsidR="00273121">
        <w:rPr>
          <w:rFonts w:ascii="Arial" w:hAnsi="Arial" w:eastAsia="Times New Roman" w:cs="Arial"/>
          <w:b/>
          <w:bCs/>
          <w:lang w:val="es-NI"/>
        </w:rPr>
        <w:t xml:space="preserve">PARA PROYECTOS DE INVERSION </w:t>
      </w:r>
      <w:r w:rsidRPr="0032511F">
        <w:rPr>
          <w:rFonts w:ascii="Arial" w:hAnsi="Arial" w:eastAsia="Times New Roman" w:cs="Arial"/>
          <w:b/>
          <w:bCs/>
          <w:lang w:val="es-NI"/>
        </w:rPr>
        <w:t>(CCLIP) DE ACCESO AL CRÉDITO EMPRESARIAL Y DE VIVIENDA</w:t>
      </w:r>
    </w:p>
    <w:p w:rsidRPr="0032511F" w:rsidR="0032511F" w:rsidP="0032511F" w:rsidRDefault="0032511F" w14:paraId="68C61962"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12C8C003" w14:textId="77777777">
      <w:pPr>
        <w:keepNext/>
        <w:keepLines/>
        <w:spacing w:before="40" w:after="0" w:line="276" w:lineRule="auto"/>
        <w:jc w:val="center"/>
        <w:outlineLvl w:val="1"/>
        <w:rPr>
          <w:rFonts w:ascii="Arial" w:hAnsi="Arial" w:eastAsia="Times New Roman" w:cs="Arial"/>
          <w:b/>
          <w:bCs/>
          <w:lang w:val="es-NI"/>
        </w:rPr>
      </w:pPr>
      <w:r w:rsidRPr="0032511F">
        <w:rPr>
          <w:rFonts w:ascii="Arial" w:hAnsi="Arial" w:eastAsia="Times New Roman" w:cs="Arial"/>
          <w:b/>
          <w:bCs/>
          <w:lang w:val="es-NI"/>
        </w:rPr>
        <w:t>(ES-O0009)</w:t>
      </w:r>
    </w:p>
    <w:p w:rsidRPr="0032511F" w:rsidR="0032511F" w:rsidP="0032511F" w:rsidRDefault="0032511F" w14:paraId="3A7AECC9"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18DAAF9E"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188FF6A6" w14:textId="77777777">
      <w:pPr>
        <w:keepNext/>
        <w:keepLines/>
        <w:spacing w:before="40" w:after="0" w:line="276" w:lineRule="auto"/>
        <w:jc w:val="center"/>
        <w:outlineLvl w:val="1"/>
        <w:rPr>
          <w:rFonts w:ascii="Arial" w:hAnsi="Arial" w:eastAsia="Times New Roman" w:cs="Arial"/>
          <w:b/>
          <w:bCs/>
          <w:lang w:val="es-NI"/>
        </w:rPr>
      </w:pPr>
      <w:r w:rsidRPr="0032511F">
        <w:rPr>
          <w:rFonts w:ascii="Arial" w:hAnsi="Arial" w:eastAsia="Times New Roman" w:cs="Arial"/>
          <w:b/>
          <w:bCs/>
          <w:lang w:val="es-NI"/>
        </w:rPr>
        <w:t>Y</w:t>
      </w:r>
    </w:p>
    <w:p w:rsidRPr="0032511F" w:rsidR="0032511F" w:rsidP="0032511F" w:rsidRDefault="0032511F" w14:paraId="65F60543"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2A34B5B4" w14:textId="77777777">
      <w:pPr>
        <w:keepNext/>
        <w:keepLines/>
        <w:spacing w:before="40" w:after="0" w:line="276" w:lineRule="auto"/>
        <w:jc w:val="center"/>
        <w:outlineLvl w:val="1"/>
        <w:rPr>
          <w:rFonts w:ascii="Arial" w:hAnsi="Arial" w:eastAsia="Times New Roman" w:cs="Arial"/>
          <w:b/>
          <w:bCs/>
          <w:lang w:val="es-NI"/>
        </w:rPr>
      </w:pPr>
    </w:p>
    <w:p w:rsidRPr="000C7A29" w:rsidR="000C7A29" w:rsidP="000C7A29" w:rsidRDefault="000C7A29" w14:paraId="318C527F" w14:textId="442E3BE5">
      <w:pPr>
        <w:tabs>
          <w:tab w:val="left" w:pos="1440"/>
          <w:tab w:val="left" w:pos="3060"/>
        </w:tabs>
        <w:jc w:val="center"/>
        <w:rPr>
          <w:rFonts w:ascii="Arial" w:hAnsi="Arial" w:cs="Arial"/>
          <w:b/>
          <w:smallCaps/>
          <w:lang w:val="es-ES"/>
        </w:rPr>
      </w:pPr>
      <w:r w:rsidRPr="000C7A29">
        <w:rPr>
          <w:rFonts w:ascii="Arial" w:hAnsi="Arial" w:cs="Arial"/>
          <w:b/>
          <w:smallCaps/>
          <w:lang w:val="es-ES"/>
        </w:rPr>
        <w:t xml:space="preserve">PRIMER PROGRAMA </w:t>
      </w:r>
      <w:bookmarkStart w:name="_Hlk38268451" w:id="0"/>
      <w:r w:rsidRPr="000C7A29">
        <w:rPr>
          <w:rFonts w:ascii="Arial" w:hAnsi="Arial" w:cs="Arial"/>
          <w:b/>
          <w:smallCaps/>
          <w:lang w:val="es-ES"/>
        </w:rPr>
        <w:t>DE ACCESO AL CRÉDITO PARA LA RECUPERACIÓN DE LA MICRO, PEQUEÑA Y MEDIANA EMPRESA (MIPYME)</w:t>
      </w:r>
      <w:bookmarkEnd w:id="0"/>
    </w:p>
    <w:p w:rsidRPr="0032511F" w:rsidR="0032511F" w:rsidP="000C7A29" w:rsidRDefault="000C7A29" w14:paraId="7A38A939" w14:textId="6F45A096">
      <w:pPr>
        <w:keepNext/>
        <w:keepLines/>
        <w:spacing w:before="40" w:after="0" w:line="276" w:lineRule="auto"/>
        <w:jc w:val="center"/>
        <w:outlineLvl w:val="1"/>
        <w:rPr>
          <w:rFonts w:ascii="Arial" w:hAnsi="Arial" w:eastAsia="Times New Roman" w:cs="Arial"/>
          <w:b/>
          <w:bCs/>
          <w:lang w:val="es-NI"/>
        </w:rPr>
      </w:pPr>
      <w:r w:rsidRPr="0032511F">
        <w:rPr>
          <w:rFonts w:ascii="Arial" w:hAnsi="Arial" w:eastAsia="Times New Roman" w:cs="Arial"/>
          <w:b/>
          <w:bCs/>
          <w:lang w:val="es-NI"/>
        </w:rPr>
        <w:t xml:space="preserve"> </w:t>
      </w:r>
      <w:r w:rsidRPr="0032511F" w:rsidR="0032511F">
        <w:rPr>
          <w:rFonts w:ascii="Arial" w:hAnsi="Arial" w:eastAsia="Times New Roman" w:cs="Arial"/>
          <w:b/>
          <w:bCs/>
          <w:lang w:val="es-NI"/>
        </w:rPr>
        <w:t>(ES-L1138)</w:t>
      </w:r>
    </w:p>
    <w:p w:rsidRPr="0032511F" w:rsidR="0032511F" w:rsidP="0032511F" w:rsidRDefault="0032511F" w14:paraId="6AC0E6EA"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05679EEA"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73482CCE"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32EBC4B6"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19E646EC" w14:textId="3F5B21F0">
      <w:pPr>
        <w:keepNext/>
        <w:keepLines/>
        <w:spacing w:before="40" w:after="0" w:line="276" w:lineRule="auto"/>
        <w:jc w:val="center"/>
        <w:outlineLvl w:val="1"/>
        <w:rPr>
          <w:rFonts w:ascii="Arial" w:hAnsi="Arial" w:eastAsia="Times New Roman" w:cs="Arial"/>
          <w:b w:val="1"/>
          <w:bCs w:val="1"/>
          <w:lang w:val="es-NI"/>
        </w:rPr>
      </w:pPr>
      <w:r w:rsidRPr="48747B4A" w:rsidR="0032511F">
        <w:rPr>
          <w:rFonts w:ascii="Arial" w:hAnsi="Arial" w:eastAsia="Times New Roman" w:cs="Arial"/>
          <w:b w:val="1"/>
          <w:bCs w:val="1"/>
          <w:lang w:val="es-NI"/>
        </w:rPr>
        <w:t xml:space="preserve">Descripción </w:t>
      </w:r>
      <w:r w:rsidRPr="48747B4A" w:rsidR="30A0EE51">
        <w:rPr>
          <w:rFonts w:ascii="Arial" w:hAnsi="Arial" w:eastAsia="Times New Roman" w:cs="Arial"/>
          <w:b w:val="1"/>
          <w:bCs w:val="1"/>
          <w:lang w:val="es-NI"/>
        </w:rPr>
        <w:t>Institucional</w:t>
      </w:r>
      <w:r w:rsidRPr="48747B4A" w:rsidR="0032511F">
        <w:rPr>
          <w:rFonts w:ascii="Arial" w:hAnsi="Arial" w:eastAsia="Times New Roman" w:cs="Arial"/>
          <w:b w:val="1"/>
          <w:bCs w:val="1"/>
          <w:lang w:val="es-NI"/>
        </w:rPr>
        <w:t xml:space="preserve"> y </w:t>
      </w:r>
      <w:r w:rsidRPr="48747B4A" w:rsidR="2D1B024E">
        <w:rPr>
          <w:rFonts w:ascii="Arial" w:hAnsi="Arial" w:eastAsia="Times New Roman" w:cs="Arial"/>
          <w:b w:val="1"/>
          <w:bCs w:val="1"/>
          <w:lang w:val="es-NI"/>
        </w:rPr>
        <w:t>O</w:t>
      </w:r>
      <w:r w:rsidRPr="48747B4A" w:rsidR="0032511F">
        <w:rPr>
          <w:rFonts w:ascii="Arial" w:hAnsi="Arial" w:eastAsia="Times New Roman" w:cs="Arial"/>
          <w:b w:val="1"/>
          <w:bCs w:val="1"/>
          <w:lang w:val="es-NI"/>
        </w:rPr>
        <w:t>perativa de</w:t>
      </w:r>
      <w:r w:rsidRPr="48747B4A" w:rsidR="0032511F">
        <w:rPr>
          <w:rFonts w:ascii="Arial" w:hAnsi="Arial" w:eastAsia="Times New Roman" w:cs="Arial"/>
          <w:b w:val="1"/>
          <w:bCs w:val="1"/>
          <w:lang w:val="es-NI"/>
        </w:rPr>
        <w:t>l</w:t>
      </w:r>
      <w:r w:rsidRPr="48747B4A" w:rsidR="00925D17">
        <w:rPr>
          <w:rFonts w:ascii="Arial" w:hAnsi="Arial" w:eastAsia="Times New Roman" w:cs="Arial"/>
          <w:b w:val="1"/>
          <w:bCs w:val="1"/>
          <w:lang w:val="es-NI"/>
        </w:rPr>
        <w:t xml:space="preserve"> Fondo Social para la Vivienda (FSV)</w:t>
      </w:r>
    </w:p>
    <w:p w:rsidRPr="0032511F" w:rsidR="0032511F" w:rsidP="0032511F" w:rsidRDefault="0032511F" w14:paraId="323B862E"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30976043" w14:textId="77777777">
      <w:pPr>
        <w:keepNext/>
        <w:keepLines/>
        <w:spacing w:before="40" w:after="0" w:line="276" w:lineRule="auto"/>
        <w:jc w:val="center"/>
        <w:outlineLvl w:val="1"/>
        <w:rPr>
          <w:rFonts w:ascii="Arial" w:hAnsi="Arial" w:eastAsia="Times New Roman" w:cs="Arial"/>
          <w:b/>
          <w:bCs/>
          <w:lang w:val="es-NI"/>
        </w:rPr>
      </w:pPr>
    </w:p>
    <w:p w:rsidRPr="0032511F" w:rsidR="0032511F" w:rsidP="0032511F" w:rsidRDefault="0032511F" w14:paraId="3A54C41B" w14:textId="77777777">
      <w:pPr>
        <w:keepNext/>
        <w:keepLines/>
        <w:spacing w:before="40" w:after="0" w:line="276" w:lineRule="auto"/>
        <w:jc w:val="center"/>
        <w:outlineLvl w:val="1"/>
        <w:rPr>
          <w:rFonts w:ascii="Arial" w:hAnsi="Arial" w:eastAsia="Times New Roman" w:cs="Arial"/>
          <w:b/>
          <w:bCs/>
          <w:lang w:val="es-NI"/>
        </w:rPr>
      </w:pPr>
    </w:p>
    <w:p w:rsidRPr="0032511F" w:rsidR="0032511F" w:rsidRDefault="0032511F" w14:paraId="312D1B6A" w14:textId="183F70BD">
      <w:pPr>
        <w:rPr>
          <w:rFonts w:ascii="Arial" w:hAnsi="Arial" w:cs="Arial"/>
          <w:b/>
          <w:color w:val="002060"/>
          <w:sz w:val="28"/>
          <w:szCs w:val="28"/>
        </w:rPr>
      </w:pPr>
    </w:p>
    <w:p w:rsidRPr="0032511F" w:rsidR="0032511F" w:rsidRDefault="0032511F" w14:paraId="007301D9" w14:textId="77777777">
      <w:pPr>
        <w:rPr>
          <w:rFonts w:ascii="Arial" w:hAnsi="Arial" w:cs="Arial"/>
          <w:b/>
          <w:color w:val="002060"/>
          <w:sz w:val="28"/>
          <w:szCs w:val="28"/>
        </w:rPr>
      </w:pPr>
      <w:r w:rsidRPr="0032511F">
        <w:rPr>
          <w:rFonts w:ascii="Arial" w:hAnsi="Arial" w:cs="Arial"/>
          <w:b/>
          <w:color w:val="002060"/>
          <w:sz w:val="28"/>
          <w:szCs w:val="28"/>
        </w:rPr>
        <w:br w:type="page"/>
      </w:r>
    </w:p>
    <w:p w:rsidRPr="0032511F" w:rsidR="00F30D2D" w:rsidP="00F30D2D" w:rsidRDefault="00B76662" w14:paraId="205144F8" w14:textId="7E535499">
      <w:pPr>
        <w:pStyle w:val="ListParagraph"/>
        <w:numPr>
          <w:ilvl w:val="0"/>
          <w:numId w:val="1"/>
        </w:numPr>
        <w:ind w:left="426" w:hanging="426"/>
        <w:jc w:val="both"/>
        <w:rPr>
          <w:rFonts w:ascii="Arial" w:hAnsi="Arial" w:cs="Arial"/>
          <w:b/>
          <w:u w:val="single"/>
        </w:rPr>
      </w:pPr>
      <w:r w:rsidRPr="0032511F">
        <w:rPr>
          <w:rFonts w:ascii="Arial" w:hAnsi="Arial" w:cs="Arial"/>
          <w:b/>
          <w:u w:val="single"/>
        </w:rPr>
        <w:lastRenderedPageBreak/>
        <w:t>Descripción del FSV</w:t>
      </w:r>
    </w:p>
    <w:p w:rsidRPr="0032511F" w:rsidR="003B1459" w:rsidP="003B1459" w:rsidRDefault="003B1459" w14:paraId="5DE15D4D" w14:textId="77777777">
      <w:pPr>
        <w:pStyle w:val="ListParagraph"/>
        <w:ind w:left="426"/>
        <w:jc w:val="both"/>
        <w:rPr>
          <w:rFonts w:ascii="Arial" w:hAnsi="Arial" w:cs="Arial"/>
          <w:b/>
          <w:u w:val="single"/>
        </w:rPr>
      </w:pPr>
    </w:p>
    <w:p w:rsidRPr="0032511F" w:rsidR="00E93F6D" w:rsidP="00F30D2D" w:rsidRDefault="00B76662" w14:paraId="6B40F400" w14:textId="41C7E7A9">
      <w:pPr>
        <w:pStyle w:val="ListParagraph"/>
        <w:spacing w:after="0" w:line="276" w:lineRule="auto"/>
        <w:ind w:left="0"/>
        <w:jc w:val="both"/>
        <w:rPr>
          <w:rFonts w:ascii="Arial" w:hAnsi="Arial" w:cs="Arial"/>
        </w:rPr>
      </w:pPr>
      <w:r w:rsidRPr="0032511F">
        <w:rPr>
          <w:rFonts w:ascii="Arial" w:hAnsi="Arial" w:cs="Arial"/>
        </w:rPr>
        <w:t>E</w:t>
      </w:r>
      <w:r w:rsidRPr="0032511F" w:rsidR="00F30D2D">
        <w:rPr>
          <w:rFonts w:ascii="Arial" w:hAnsi="Arial" w:cs="Arial"/>
        </w:rPr>
        <w:t>l Fondo Social para la Vivienda (FSV), es una Institución de crédito, autónoma, de derecho público, auto sostenible, cread</w:t>
      </w:r>
      <w:r w:rsidRPr="0032511F" w:rsidR="00594E08">
        <w:rPr>
          <w:rFonts w:ascii="Arial" w:hAnsi="Arial" w:cs="Arial"/>
        </w:rPr>
        <w:t>o</w:t>
      </w:r>
      <w:r w:rsidRPr="0032511F" w:rsidR="00F30D2D">
        <w:rPr>
          <w:rFonts w:ascii="Arial" w:hAnsi="Arial" w:cs="Arial"/>
        </w:rPr>
        <w:t xml:space="preserve"> en 1973 como un programa de seguridad social en el que participan el Estado, los patronos y los trabajadores en los órganos de dirección y que originalmente los tres sectores aportaron recursos económicos vía cotizaciones</w:t>
      </w:r>
      <w:r w:rsidRPr="0032511F">
        <w:rPr>
          <w:rFonts w:ascii="Arial" w:hAnsi="Arial" w:cs="Arial"/>
        </w:rPr>
        <w:t xml:space="preserve"> </w:t>
      </w:r>
      <w:r w:rsidRPr="0032511F" w:rsidR="00F30D2D">
        <w:rPr>
          <w:rFonts w:ascii="Arial" w:hAnsi="Arial" w:cs="Arial"/>
        </w:rPr>
        <w:t>obligatorias hasta 1998</w:t>
      </w:r>
      <w:r w:rsidRPr="0032511F">
        <w:rPr>
          <w:rFonts w:ascii="Arial" w:hAnsi="Arial" w:cs="Arial"/>
        </w:rPr>
        <w:t>, cuando se crea el Sistema de Ahorro de Pensiones en El Salvador</w:t>
      </w:r>
      <w:r w:rsidRPr="0032511F" w:rsidR="00594E08">
        <w:rPr>
          <w:rFonts w:ascii="Arial" w:hAnsi="Arial" w:cs="Arial"/>
        </w:rPr>
        <w:t>;</w:t>
      </w:r>
      <w:r w:rsidRPr="0032511F">
        <w:rPr>
          <w:rFonts w:ascii="Arial" w:hAnsi="Arial" w:cs="Arial"/>
        </w:rPr>
        <w:t xml:space="preserve"> por lo cual</w:t>
      </w:r>
      <w:r w:rsidRPr="0032511F" w:rsidR="00594E08">
        <w:rPr>
          <w:rFonts w:ascii="Arial" w:hAnsi="Arial" w:cs="Arial"/>
        </w:rPr>
        <w:t>,</w:t>
      </w:r>
      <w:r w:rsidRPr="0032511F">
        <w:rPr>
          <w:rFonts w:ascii="Arial" w:hAnsi="Arial" w:cs="Arial"/>
        </w:rPr>
        <w:t xml:space="preserve"> a partir de es</w:t>
      </w:r>
      <w:r w:rsidRPr="0032511F" w:rsidR="00F94EA3">
        <w:rPr>
          <w:rFonts w:ascii="Arial" w:hAnsi="Arial" w:cs="Arial"/>
        </w:rPr>
        <w:t>e</w:t>
      </w:r>
      <w:r w:rsidRPr="0032511F">
        <w:rPr>
          <w:rFonts w:ascii="Arial" w:hAnsi="Arial" w:cs="Arial"/>
        </w:rPr>
        <w:t xml:space="preserve"> año obtiene los nuevos recursos través de la emisión de Títulos Valores (</w:t>
      </w:r>
      <w:r w:rsidRPr="0032511F" w:rsidR="00594E08">
        <w:rPr>
          <w:rFonts w:ascii="Arial" w:hAnsi="Arial" w:cs="Arial"/>
        </w:rPr>
        <w:t>La l</w:t>
      </w:r>
      <w:r w:rsidRPr="0032511F">
        <w:rPr>
          <w:rFonts w:ascii="Arial" w:hAnsi="Arial" w:cs="Arial"/>
        </w:rPr>
        <w:t>ey</w:t>
      </w:r>
      <w:r w:rsidRPr="0032511F" w:rsidR="00807546">
        <w:rPr>
          <w:rFonts w:ascii="Arial" w:hAnsi="Arial" w:cs="Arial"/>
        </w:rPr>
        <w:t xml:space="preserve"> del Sistema de Ahorro para Pensiones -</w:t>
      </w:r>
      <w:r w:rsidRPr="0032511F">
        <w:rPr>
          <w:rFonts w:ascii="Arial" w:hAnsi="Arial" w:cs="Arial"/>
        </w:rPr>
        <w:t xml:space="preserve"> SAP contemplaba la compra obligatoria a las </w:t>
      </w:r>
      <w:r w:rsidRPr="0032511F" w:rsidR="00807546">
        <w:rPr>
          <w:rFonts w:ascii="Arial" w:hAnsi="Arial" w:cs="Arial"/>
        </w:rPr>
        <w:t xml:space="preserve">Administradoras de Fondos de Pensiones - </w:t>
      </w:r>
      <w:proofErr w:type="spellStart"/>
      <w:r w:rsidRPr="0032511F">
        <w:rPr>
          <w:rFonts w:ascii="Arial" w:hAnsi="Arial" w:cs="Arial"/>
        </w:rPr>
        <w:t>AFP´s</w:t>
      </w:r>
      <w:proofErr w:type="spellEnd"/>
      <w:r w:rsidRPr="0032511F">
        <w:rPr>
          <w:rFonts w:ascii="Arial" w:hAnsi="Arial" w:cs="Arial"/>
        </w:rPr>
        <w:t xml:space="preserve"> de títulos </w:t>
      </w:r>
      <w:r w:rsidRPr="0032511F" w:rsidR="00594E08">
        <w:rPr>
          <w:rFonts w:ascii="Arial" w:hAnsi="Arial" w:cs="Arial"/>
        </w:rPr>
        <w:t xml:space="preserve">valores </w:t>
      </w:r>
      <w:r w:rsidRPr="0032511F">
        <w:rPr>
          <w:rFonts w:ascii="Arial" w:hAnsi="Arial" w:cs="Arial"/>
        </w:rPr>
        <w:t xml:space="preserve">del FSV a una tasa TIBP 180 + 1% y </w:t>
      </w:r>
      <w:r w:rsidRPr="0032511F" w:rsidR="00807546">
        <w:rPr>
          <w:rFonts w:ascii="Arial" w:hAnsi="Arial" w:cs="Arial"/>
        </w:rPr>
        <w:t xml:space="preserve">hasta </w:t>
      </w:r>
      <w:r w:rsidRPr="0032511F">
        <w:rPr>
          <w:rFonts w:ascii="Arial" w:hAnsi="Arial" w:cs="Arial"/>
        </w:rPr>
        <w:t xml:space="preserve">25 años plazo con </w:t>
      </w:r>
      <w:r w:rsidRPr="0032511F" w:rsidR="00807546">
        <w:rPr>
          <w:rFonts w:ascii="Arial" w:hAnsi="Arial" w:cs="Arial"/>
        </w:rPr>
        <w:t xml:space="preserve">una </w:t>
      </w:r>
      <w:r w:rsidRPr="0032511F">
        <w:rPr>
          <w:rFonts w:ascii="Arial" w:hAnsi="Arial" w:cs="Arial"/>
        </w:rPr>
        <w:t xml:space="preserve">garantía hipotecaria </w:t>
      </w:r>
      <w:r w:rsidRPr="0032511F" w:rsidR="00807546">
        <w:rPr>
          <w:rFonts w:ascii="Arial" w:hAnsi="Arial" w:cs="Arial"/>
        </w:rPr>
        <w:t xml:space="preserve">del 125% </w:t>
      </w:r>
      <w:r w:rsidRPr="0032511F">
        <w:rPr>
          <w:rFonts w:ascii="Arial" w:hAnsi="Arial" w:cs="Arial"/>
        </w:rPr>
        <w:t xml:space="preserve">y </w:t>
      </w:r>
      <w:r w:rsidRPr="0032511F" w:rsidR="00594E08">
        <w:rPr>
          <w:rFonts w:ascii="Arial" w:hAnsi="Arial" w:cs="Arial"/>
        </w:rPr>
        <w:t>con</w:t>
      </w:r>
      <w:r w:rsidRPr="0032511F">
        <w:rPr>
          <w:rFonts w:ascii="Arial" w:hAnsi="Arial" w:cs="Arial"/>
        </w:rPr>
        <w:t xml:space="preserve"> la reforma </w:t>
      </w:r>
      <w:r w:rsidRPr="0032511F" w:rsidR="00807546">
        <w:rPr>
          <w:rFonts w:ascii="Arial" w:hAnsi="Arial" w:cs="Arial"/>
        </w:rPr>
        <w:t xml:space="preserve">de la ley SAP </w:t>
      </w:r>
      <w:r w:rsidRPr="0032511F">
        <w:rPr>
          <w:rFonts w:ascii="Arial" w:hAnsi="Arial" w:cs="Arial"/>
        </w:rPr>
        <w:t>del año 2013</w:t>
      </w:r>
      <w:r w:rsidRPr="0032511F" w:rsidR="00594E08">
        <w:rPr>
          <w:rFonts w:ascii="Arial" w:hAnsi="Arial" w:cs="Arial"/>
        </w:rPr>
        <w:t xml:space="preserve"> se autorizó la compra de</w:t>
      </w:r>
      <w:r w:rsidRPr="0032511F">
        <w:rPr>
          <w:rFonts w:ascii="Arial" w:hAnsi="Arial" w:cs="Arial"/>
        </w:rPr>
        <w:t xml:space="preserve"> Certificados de Inversión para Vivienda de Interés Social</w:t>
      </w:r>
      <w:r w:rsidRPr="0032511F" w:rsidR="00807546">
        <w:rPr>
          <w:rFonts w:ascii="Arial" w:hAnsi="Arial" w:cs="Arial"/>
        </w:rPr>
        <w:t xml:space="preserve"> del Fondo Social para la Vivienda (CDVISFSV)</w:t>
      </w:r>
      <w:r w:rsidRPr="0032511F">
        <w:rPr>
          <w:rFonts w:ascii="Arial" w:hAnsi="Arial" w:cs="Arial"/>
        </w:rPr>
        <w:t xml:space="preserve"> a una tasa del 3%, 25 años dirigido a vivienda nueva de interés social</w:t>
      </w:r>
      <w:r w:rsidRPr="0032511F" w:rsidR="00807546">
        <w:rPr>
          <w:rFonts w:ascii="Arial" w:hAnsi="Arial" w:cs="Arial"/>
        </w:rPr>
        <w:t xml:space="preserve"> que era</w:t>
      </w:r>
      <w:r w:rsidRPr="0032511F" w:rsidR="00594E08">
        <w:rPr>
          <w:rFonts w:ascii="Arial" w:hAnsi="Arial" w:cs="Arial"/>
        </w:rPr>
        <w:t>n</w:t>
      </w:r>
      <w:r w:rsidRPr="0032511F" w:rsidR="00807546">
        <w:rPr>
          <w:rFonts w:ascii="Arial" w:hAnsi="Arial" w:cs="Arial"/>
        </w:rPr>
        <w:t xml:space="preserve"> obligatorios para las </w:t>
      </w:r>
      <w:proofErr w:type="spellStart"/>
      <w:r w:rsidRPr="0032511F" w:rsidR="00807546">
        <w:rPr>
          <w:rFonts w:ascii="Arial" w:hAnsi="Arial" w:cs="Arial"/>
        </w:rPr>
        <w:t>AFP´s</w:t>
      </w:r>
      <w:proofErr w:type="spellEnd"/>
      <w:r w:rsidRPr="0032511F" w:rsidR="00594E08">
        <w:rPr>
          <w:rFonts w:ascii="Arial" w:hAnsi="Arial" w:cs="Arial"/>
        </w:rPr>
        <w:t>;</w:t>
      </w:r>
      <w:r w:rsidRPr="0032511F">
        <w:rPr>
          <w:rFonts w:ascii="Arial" w:hAnsi="Arial" w:cs="Arial"/>
        </w:rPr>
        <w:t xml:space="preserve"> préstamos con instituciones locales (BANDESAL)</w:t>
      </w:r>
      <w:r w:rsidRPr="0032511F" w:rsidR="00594E08">
        <w:rPr>
          <w:rFonts w:ascii="Arial" w:hAnsi="Arial" w:cs="Arial"/>
        </w:rPr>
        <w:t>;</w:t>
      </w:r>
      <w:r w:rsidRPr="0032511F">
        <w:rPr>
          <w:rFonts w:ascii="Arial" w:hAnsi="Arial" w:cs="Arial"/>
        </w:rPr>
        <w:t xml:space="preserve"> y préstamos con organismos internacionales </w:t>
      </w:r>
      <w:r w:rsidRPr="0032511F" w:rsidR="00807546">
        <w:rPr>
          <w:rFonts w:ascii="Arial" w:hAnsi="Arial" w:cs="Arial"/>
        </w:rPr>
        <w:t xml:space="preserve">multilaterales </w:t>
      </w:r>
      <w:r w:rsidRPr="0032511F">
        <w:rPr>
          <w:rFonts w:ascii="Arial" w:hAnsi="Arial" w:cs="Arial"/>
        </w:rPr>
        <w:t xml:space="preserve">(Actualmente BCIE); con las reformas a la Ley SAP del año 2017 se quitó la obligatoriedad a las </w:t>
      </w:r>
      <w:proofErr w:type="spellStart"/>
      <w:r w:rsidRPr="0032511F">
        <w:rPr>
          <w:rFonts w:ascii="Arial" w:hAnsi="Arial" w:cs="Arial"/>
        </w:rPr>
        <w:t>AFP´s</w:t>
      </w:r>
      <w:proofErr w:type="spellEnd"/>
      <w:r w:rsidRPr="0032511F">
        <w:rPr>
          <w:rFonts w:ascii="Arial" w:hAnsi="Arial" w:cs="Arial"/>
        </w:rPr>
        <w:t xml:space="preserve"> de comprar títulos del FSV y que</w:t>
      </w:r>
      <w:r w:rsidRPr="0032511F" w:rsidR="00E93F6D">
        <w:rPr>
          <w:rFonts w:ascii="Arial" w:hAnsi="Arial" w:cs="Arial"/>
        </w:rPr>
        <w:t>da</w:t>
      </w:r>
      <w:r w:rsidRPr="0032511F">
        <w:rPr>
          <w:rFonts w:ascii="Arial" w:hAnsi="Arial" w:cs="Arial"/>
        </w:rPr>
        <w:t xml:space="preserve"> </w:t>
      </w:r>
      <w:r w:rsidRPr="0032511F" w:rsidR="00E93F6D">
        <w:rPr>
          <w:rFonts w:ascii="Arial" w:hAnsi="Arial" w:cs="Arial"/>
        </w:rPr>
        <w:t xml:space="preserve">supeditado a que </w:t>
      </w:r>
      <w:r w:rsidRPr="0032511F">
        <w:rPr>
          <w:rFonts w:ascii="Arial" w:hAnsi="Arial" w:cs="Arial"/>
        </w:rPr>
        <w:t xml:space="preserve">sea el mercado </w:t>
      </w:r>
      <w:r w:rsidRPr="0032511F" w:rsidR="003B1459">
        <w:rPr>
          <w:rFonts w:ascii="Arial" w:hAnsi="Arial" w:cs="Arial"/>
        </w:rPr>
        <w:t xml:space="preserve">quien establezca </w:t>
      </w:r>
      <w:r w:rsidRPr="0032511F" w:rsidR="00E93F6D">
        <w:rPr>
          <w:rFonts w:ascii="Arial" w:hAnsi="Arial" w:cs="Arial"/>
        </w:rPr>
        <w:t>las condiciones para los título</w:t>
      </w:r>
      <w:r w:rsidRPr="0032511F" w:rsidR="00582E62">
        <w:rPr>
          <w:rFonts w:ascii="Arial" w:hAnsi="Arial" w:cs="Arial"/>
        </w:rPr>
        <w:t>s</w:t>
      </w:r>
      <w:r w:rsidRPr="0032511F" w:rsidR="00E93F6D">
        <w:rPr>
          <w:rFonts w:ascii="Arial" w:hAnsi="Arial" w:cs="Arial"/>
        </w:rPr>
        <w:t xml:space="preserve"> en cuanto a tasa, plazo y otros. Esto último repercute directamente en la operación crediticia dado que las tasas de costo del mercado superan la tasa activa que el FSV otorga en </w:t>
      </w:r>
      <w:r w:rsidRPr="0032511F" w:rsidR="003B1459">
        <w:rPr>
          <w:rFonts w:ascii="Arial" w:hAnsi="Arial" w:cs="Arial"/>
        </w:rPr>
        <w:t xml:space="preserve">algunos segmentos de </w:t>
      </w:r>
      <w:r w:rsidRPr="0032511F" w:rsidR="00E93F6D">
        <w:rPr>
          <w:rFonts w:ascii="Arial" w:hAnsi="Arial" w:cs="Arial"/>
        </w:rPr>
        <w:t xml:space="preserve">los programas y líneas crediticias </w:t>
      </w:r>
      <w:r w:rsidRPr="0032511F" w:rsidR="004E5E81">
        <w:rPr>
          <w:rFonts w:ascii="Arial" w:hAnsi="Arial" w:cs="Arial"/>
        </w:rPr>
        <w:t>de</w:t>
      </w:r>
      <w:r w:rsidRPr="0032511F" w:rsidR="00594E08">
        <w:rPr>
          <w:rFonts w:ascii="Arial" w:hAnsi="Arial" w:cs="Arial"/>
        </w:rPr>
        <w:t xml:space="preserve"> la</w:t>
      </w:r>
      <w:r w:rsidRPr="0032511F" w:rsidR="004E5E81">
        <w:rPr>
          <w:rFonts w:ascii="Arial" w:hAnsi="Arial" w:cs="Arial"/>
        </w:rPr>
        <w:t xml:space="preserve"> </w:t>
      </w:r>
      <w:r w:rsidRPr="0032511F" w:rsidR="00E93F6D">
        <w:rPr>
          <w:rFonts w:ascii="Arial" w:hAnsi="Arial" w:cs="Arial"/>
        </w:rPr>
        <w:t>vivienda de interés social</w:t>
      </w:r>
      <w:r w:rsidRPr="0032511F" w:rsidR="00807546">
        <w:rPr>
          <w:rFonts w:ascii="Arial" w:hAnsi="Arial" w:cs="Arial"/>
        </w:rPr>
        <w:t>, por lo que se disminuye el margen financiero.</w:t>
      </w:r>
    </w:p>
    <w:p w:rsidRPr="0032511F" w:rsidR="00F03D75" w:rsidP="00F30D2D" w:rsidRDefault="00F03D75" w14:paraId="7DF46751" w14:textId="77777777">
      <w:pPr>
        <w:pStyle w:val="ListParagraph"/>
        <w:spacing w:after="0" w:line="276" w:lineRule="auto"/>
        <w:ind w:left="0"/>
        <w:jc w:val="both"/>
        <w:rPr>
          <w:rFonts w:ascii="Arial" w:hAnsi="Arial" w:cs="Arial"/>
        </w:rPr>
      </w:pPr>
    </w:p>
    <w:p w:rsidRPr="0032511F" w:rsidR="00F30D2D" w:rsidP="00F30D2D" w:rsidRDefault="00F30D2D" w14:paraId="68CFB336" w14:textId="2B287322">
      <w:pPr>
        <w:pStyle w:val="ListParagraph"/>
        <w:spacing w:after="0" w:line="276" w:lineRule="auto"/>
        <w:ind w:left="0"/>
        <w:jc w:val="both"/>
        <w:rPr>
          <w:rFonts w:ascii="Arial" w:hAnsi="Arial" w:cs="Arial"/>
        </w:rPr>
      </w:pPr>
      <w:r w:rsidRPr="0032511F">
        <w:rPr>
          <w:rFonts w:ascii="Arial" w:hAnsi="Arial" w:cs="Arial"/>
        </w:rPr>
        <w:t>El objeto de creación de la institución es contribuir a la solución de</w:t>
      </w:r>
      <w:r w:rsidRPr="0032511F" w:rsidR="00E93F6D">
        <w:rPr>
          <w:rFonts w:ascii="Arial" w:hAnsi="Arial" w:cs="Arial"/>
        </w:rPr>
        <w:t>l problema</w:t>
      </w:r>
      <w:r w:rsidRPr="0032511F">
        <w:rPr>
          <w:rFonts w:ascii="Arial" w:hAnsi="Arial" w:cs="Arial"/>
        </w:rPr>
        <w:t xml:space="preserve"> habitacional de los trabajadores, proporcionándoles los medios adecuados para la adquisición de viviendas cómodas, higiénicas y seguras. El FSV no construye ni compra proyectos habitacionales, únicamente otorga el crédito al trabajador, quien elige libremente la vivienda que desea comprar de acuerdo con sus expectativas y capacidad de pago; y tiene como prioridad atender trabajadores de escasos recursos, centrando el otorgamiento de crédito en familias c</w:t>
      </w:r>
      <w:r w:rsidRPr="0032511F" w:rsidR="00E93F6D">
        <w:rPr>
          <w:rFonts w:ascii="Arial" w:hAnsi="Arial" w:cs="Arial"/>
        </w:rPr>
        <w:t>uyo</w:t>
      </w:r>
      <w:r w:rsidRPr="0032511F" w:rsidR="00807546">
        <w:rPr>
          <w:rFonts w:ascii="Arial" w:hAnsi="Arial" w:cs="Arial"/>
        </w:rPr>
        <w:t>s</w:t>
      </w:r>
      <w:r w:rsidRPr="0032511F" w:rsidR="00E93F6D">
        <w:rPr>
          <w:rFonts w:ascii="Arial" w:hAnsi="Arial" w:cs="Arial"/>
        </w:rPr>
        <w:t xml:space="preserve"> </w:t>
      </w:r>
      <w:r w:rsidRPr="0032511F">
        <w:rPr>
          <w:rFonts w:ascii="Arial" w:hAnsi="Arial" w:cs="Arial"/>
        </w:rPr>
        <w:t>ingresos</w:t>
      </w:r>
      <w:r w:rsidRPr="0032511F" w:rsidR="00E93F6D">
        <w:rPr>
          <w:rFonts w:ascii="Arial" w:hAnsi="Arial" w:cs="Arial"/>
        </w:rPr>
        <w:t xml:space="preserve"> son de </w:t>
      </w:r>
      <w:r w:rsidRPr="0032511F">
        <w:rPr>
          <w:rFonts w:ascii="Arial" w:hAnsi="Arial" w:cs="Arial"/>
        </w:rPr>
        <w:t xml:space="preserve">hasta 4 salarios mínimos </w:t>
      </w:r>
      <w:r w:rsidRPr="0032511F" w:rsidR="00E93F6D">
        <w:rPr>
          <w:rFonts w:ascii="Arial" w:hAnsi="Arial" w:cs="Arial"/>
        </w:rPr>
        <w:t>del sector comercio y servicio</w:t>
      </w:r>
      <w:r w:rsidRPr="0032511F" w:rsidR="00594E08">
        <w:rPr>
          <w:rFonts w:ascii="Arial" w:hAnsi="Arial" w:cs="Arial"/>
        </w:rPr>
        <w:t>s;</w:t>
      </w:r>
      <w:r w:rsidRPr="0032511F" w:rsidR="00E93F6D">
        <w:rPr>
          <w:rFonts w:ascii="Arial" w:hAnsi="Arial" w:cs="Arial"/>
        </w:rPr>
        <w:t xml:space="preserve"> es decir</w:t>
      </w:r>
      <w:r w:rsidRPr="0032511F" w:rsidR="00594E08">
        <w:rPr>
          <w:rFonts w:ascii="Arial" w:hAnsi="Arial" w:cs="Arial"/>
        </w:rPr>
        <w:t>,</w:t>
      </w:r>
      <w:r w:rsidRPr="0032511F" w:rsidR="00E93F6D">
        <w:rPr>
          <w:rFonts w:ascii="Arial" w:hAnsi="Arial" w:cs="Arial"/>
        </w:rPr>
        <w:t xml:space="preserve"> un ingreso familiar de hasta US</w:t>
      </w:r>
      <w:r w:rsidRPr="0032511F">
        <w:rPr>
          <w:rFonts w:ascii="Arial" w:hAnsi="Arial" w:cs="Arial"/>
        </w:rPr>
        <w:t>$1</w:t>
      </w:r>
      <w:r w:rsidR="007A64A1">
        <w:rPr>
          <w:rFonts w:ascii="Arial" w:hAnsi="Arial" w:cs="Arial"/>
        </w:rPr>
        <w:t>.</w:t>
      </w:r>
      <w:r w:rsidRPr="0032511F">
        <w:rPr>
          <w:rFonts w:ascii="Arial" w:hAnsi="Arial" w:cs="Arial"/>
        </w:rPr>
        <w:t>2</w:t>
      </w:r>
      <w:r w:rsidRPr="0032511F" w:rsidR="00E93F6D">
        <w:rPr>
          <w:rFonts w:ascii="Arial" w:hAnsi="Arial" w:cs="Arial"/>
        </w:rPr>
        <w:t>16</w:t>
      </w:r>
      <w:r w:rsidR="00A31683">
        <w:rPr>
          <w:rFonts w:ascii="Arial" w:hAnsi="Arial" w:cs="Arial"/>
        </w:rPr>
        <w:t>,</w:t>
      </w:r>
      <w:r w:rsidRPr="0032511F" w:rsidR="00E93F6D">
        <w:rPr>
          <w:rFonts w:ascii="Arial" w:hAnsi="Arial" w:cs="Arial"/>
        </w:rPr>
        <w:t>68</w:t>
      </w:r>
      <w:r w:rsidRPr="0032511F" w:rsidR="00E93F6D">
        <w:rPr>
          <w:rStyle w:val="FootnoteReference"/>
          <w:rFonts w:ascii="Arial" w:hAnsi="Arial" w:cs="Arial"/>
        </w:rPr>
        <w:footnoteReference w:id="2"/>
      </w:r>
      <w:r w:rsidRPr="0032511F">
        <w:rPr>
          <w:rFonts w:ascii="Arial" w:hAnsi="Arial" w:cs="Arial"/>
        </w:rPr>
        <w:t xml:space="preserve">, </w:t>
      </w:r>
      <w:r w:rsidRPr="0032511F" w:rsidR="003B1459">
        <w:rPr>
          <w:rFonts w:ascii="Arial" w:hAnsi="Arial" w:cs="Arial"/>
        </w:rPr>
        <w:t>con ello</w:t>
      </w:r>
      <w:r w:rsidRPr="0032511F">
        <w:rPr>
          <w:rFonts w:ascii="Arial" w:hAnsi="Arial" w:cs="Arial"/>
        </w:rPr>
        <w:t xml:space="preserve"> más del 90% de los créditos anuales </w:t>
      </w:r>
      <w:r w:rsidRPr="0032511F" w:rsidR="003B1459">
        <w:rPr>
          <w:rFonts w:ascii="Arial" w:hAnsi="Arial" w:cs="Arial"/>
        </w:rPr>
        <w:t xml:space="preserve">se otorgan </w:t>
      </w:r>
      <w:r w:rsidRPr="0032511F">
        <w:rPr>
          <w:rFonts w:ascii="Arial" w:hAnsi="Arial" w:cs="Arial"/>
        </w:rPr>
        <w:t xml:space="preserve">para dichas familias, con este valor una familia puede acceder </w:t>
      </w:r>
      <w:r w:rsidRPr="0032511F" w:rsidR="00E93F6D">
        <w:rPr>
          <w:rFonts w:ascii="Arial" w:hAnsi="Arial" w:cs="Arial"/>
        </w:rPr>
        <w:t xml:space="preserve">a un financiamiento para una </w:t>
      </w:r>
      <w:r w:rsidRPr="0032511F">
        <w:rPr>
          <w:rFonts w:ascii="Arial" w:hAnsi="Arial" w:cs="Arial"/>
        </w:rPr>
        <w:t xml:space="preserve">vivienda </w:t>
      </w:r>
      <w:r w:rsidRPr="0032511F" w:rsidR="00E93F6D">
        <w:rPr>
          <w:rFonts w:ascii="Arial" w:hAnsi="Arial" w:cs="Arial"/>
        </w:rPr>
        <w:t xml:space="preserve">de interés social </w:t>
      </w:r>
      <w:r w:rsidRPr="0032511F">
        <w:rPr>
          <w:rFonts w:ascii="Arial" w:hAnsi="Arial" w:cs="Arial"/>
        </w:rPr>
        <w:t xml:space="preserve">de hasta </w:t>
      </w:r>
      <w:r w:rsidRPr="0032511F" w:rsidR="00E93F6D">
        <w:rPr>
          <w:rFonts w:ascii="Arial" w:hAnsi="Arial" w:cs="Arial"/>
        </w:rPr>
        <w:t>US</w:t>
      </w:r>
      <w:r w:rsidRPr="0032511F">
        <w:rPr>
          <w:rFonts w:ascii="Arial" w:hAnsi="Arial" w:cs="Arial"/>
        </w:rPr>
        <w:t>$38</w:t>
      </w:r>
      <w:r w:rsidR="00AC3DCA">
        <w:rPr>
          <w:rFonts w:ascii="Arial" w:hAnsi="Arial" w:cs="Arial"/>
        </w:rPr>
        <w:t>.</w:t>
      </w:r>
      <w:r w:rsidRPr="0032511F">
        <w:rPr>
          <w:rFonts w:ascii="Arial" w:hAnsi="Arial" w:cs="Arial"/>
        </w:rPr>
        <w:t>900</w:t>
      </w:r>
      <w:r w:rsidR="00AC3DCA">
        <w:rPr>
          <w:rFonts w:ascii="Arial" w:hAnsi="Arial" w:cs="Arial"/>
        </w:rPr>
        <w:t>,</w:t>
      </w:r>
      <w:r w:rsidRPr="0032511F">
        <w:rPr>
          <w:rFonts w:ascii="Arial" w:hAnsi="Arial" w:cs="Arial"/>
        </w:rPr>
        <w:t>00, no obstante el límite de financiamiento que ofrecemos</w:t>
      </w:r>
      <w:r w:rsidRPr="0032511F" w:rsidR="00E93F6D">
        <w:rPr>
          <w:rFonts w:ascii="Arial" w:hAnsi="Arial" w:cs="Arial"/>
        </w:rPr>
        <w:t xml:space="preserve"> como institución</w:t>
      </w:r>
      <w:r w:rsidRPr="0032511F">
        <w:rPr>
          <w:rFonts w:ascii="Arial" w:hAnsi="Arial" w:cs="Arial"/>
        </w:rPr>
        <w:t xml:space="preserve"> es de hasta </w:t>
      </w:r>
      <w:r w:rsidRPr="0032511F" w:rsidR="00E93F6D">
        <w:rPr>
          <w:rFonts w:ascii="Arial" w:hAnsi="Arial" w:cs="Arial"/>
        </w:rPr>
        <w:t>US</w:t>
      </w:r>
      <w:r w:rsidRPr="0032511F">
        <w:rPr>
          <w:rFonts w:ascii="Arial" w:hAnsi="Arial" w:cs="Arial"/>
        </w:rPr>
        <w:t>$125</w:t>
      </w:r>
      <w:r w:rsidR="00AC3DCA">
        <w:rPr>
          <w:rFonts w:ascii="Arial" w:hAnsi="Arial" w:cs="Arial"/>
        </w:rPr>
        <w:t>.</w:t>
      </w:r>
      <w:r w:rsidRPr="0032511F">
        <w:rPr>
          <w:rFonts w:ascii="Arial" w:hAnsi="Arial" w:cs="Arial"/>
        </w:rPr>
        <w:t>000</w:t>
      </w:r>
      <w:r w:rsidR="00AC3DCA">
        <w:rPr>
          <w:rFonts w:ascii="Arial" w:hAnsi="Arial" w:cs="Arial"/>
        </w:rPr>
        <w:t>,</w:t>
      </w:r>
      <w:r w:rsidRPr="0032511F">
        <w:rPr>
          <w:rFonts w:ascii="Arial" w:hAnsi="Arial" w:cs="Arial"/>
        </w:rPr>
        <w:t>00.</w:t>
      </w:r>
    </w:p>
    <w:p w:rsidRPr="0032511F" w:rsidR="00F30D2D" w:rsidP="00F30D2D" w:rsidRDefault="00F30D2D" w14:paraId="031B05A6" w14:textId="77777777">
      <w:pPr>
        <w:pStyle w:val="ListParagraph"/>
        <w:spacing w:after="0" w:line="276" w:lineRule="auto"/>
        <w:ind w:left="0"/>
        <w:jc w:val="both"/>
        <w:rPr>
          <w:rFonts w:ascii="Arial" w:hAnsi="Arial" w:cs="Arial"/>
        </w:rPr>
      </w:pPr>
    </w:p>
    <w:p w:rsidRPr="0032511F" w:rsidR="00F30D2D" w:rsidP="00F30D2D" w:rsidRDefault="00F30D2D" w14:paraId="2823CE7F" w14:textId="3F3B302F">
      <w:pPr>
        <w:pStyle w:val="ListParagraph"/>
        <w:spacing w:after="0" w:line="276" w:lineRule="auto"/>
        <w:ind w:left="0"/>
        <w:jc w:val="both"/>
        <w:rPr>
          <w:rFonts w:ascii="Arial" w:hAnsi="Arial" w:cs="Arial"/>
        </w:rPr>
      </w:pPr>
      <w:r w:rsidRPr="0032511F">
        <w:rPr>
          <w:rFonts w:ascii="Arial" w:hAnsi="Arial" w:cs="Arial"/>
        </w:rPr>
        <w:t>Es decir que, en estricto rigor la institución atiende a dos segmentos del mercado de crédito para vivienda; un primer segmento al que denominaremos “segmento de bajos ingresos</w:t>
      </w:r>
      <w:r w:rsidRPr="0032511F" w:rsidR="00807546">
        <w:rPr>
          <w:rFonts w:ascii="Arial" w:hAnsi="Arial" w:cs="Arial"/>
        </w:rPr>
        <w:t xml:space="preserve"> o de interés social</w:t>
      </w:r>
      <w:r w:rsidRPr="0032511F">
        <w:rPr>
          <w:rFonts w:ascii="Arial" w:hAnsi="Arial" w:cs="Arial"/>
        </w:rPr>
        <w:t xml:space="preserve">” tienen las siguientes características: bajo ingreso, menor a 4 veces el salario mínimo y que no disponen con facilidad de otras opciones de acceso a crédito en el mercado; para este segmento se satisface la necesidad de accesibilidad al crédito para adquirir una solución habitacional. Básicamente, este es el centro de atención de nuestro rol público, dado que a este segmento no le atiende el sistema financiero </w:t>
      </w:r>
      <w:r w:rsidRPr="0032511F">
        <w:rPr>
          <w:rFonts w:ascii="Arial" w:hAnsi="Arial" w:cs="Arial"/>
        </w:rPr>
        <w:lastRenderedPageBreak/>
        <w:t>formal. El segundo segmento que denominaremos “segmento de ingresos medios”, tienen las siguientes características: ingresos medios, mayor a 4 salarios mínimos y disponen de alternativas en el mercado de créditos hipotecarios; este segmento se caracteriza por la valoración de elementos como: accesibilidad al crédito, altos estándares de servicio, condiciones crediticias competitivas. Este segmento tiene otras alternativas en adición al Fondo Social para la Vivienda para poder solventar su necesidad habitacional.</w:t>
      </w:r>
    </w:p>
    <w:p w:rsidRPr="0032511F" w:rsidR="00F03D75" w:rsidP="00F30D2D" w:rsidRDefault="00F03D75" w14:paraId="52E7CB8B" w14:textId="77777777">
      <w:pPr>
        <w:pStyle w:val="ListParagraph"/>
        <w:spacing w:after="0" w:line="276" w:lineRule="auto"/>
        <w:ind w:left="0"/>
        <w:jc w:val="both"/>
        <w:rPr>
          <w:rFonts w:ascii="Arial" w:hAnsi="Arial" w:cs="Arial"/>
        </w:rPr>
      </w:pPr>
    </w:p>
    <w:p w:rsidRPr="0032511F" w:rsidR="00C24FDA" w:rsidP="00C24FDA" w:rsidRDefault="00F30D2D" w14:paraId="0EB3EBD9" w14:textId="64FD91E6">
      <w:pPr>
        <w:pStyle w:val="ListParagraph"/>
        <w:spacing w:after="0" w:line="276" w:lineRule="auto"/>
        <w:ind w:left="0"/>
        <w:jc w:val="both"/>
        <w:rPr>
          <w:rFonts w:ascii="Arial" w:hAnsi="Arial" w:cs="Arial"/>
        </w:rPr>
      </w:pPr>
      <w:r w:rsidRPr="0032511F">
        <w:rPr>
          <w:rFonts w:ascii="Arial" w:hAnsi="Arial" w:cs="Arial"/>
        </w:rPr>
        <w:t>En ese sentido</w:t>
      </w:r>
      <w:r w:rsidR="003C3F7A">
        <w:rPr>
          <w:rFonts w:ascii="Arial" w:hAnsi="Arial" w:cs="Arial"/>
        </w:rPr>
        <w:t>,</w:t>
      </w:r>
      <w:r w:rsidRPr="0032511F">
        <w:rPr>
          <w:rFonts w:ascii="Arial" w:hAnsi="Arial" w:cs="Arial"/>
        </w:rPr>
        <w:t xml:space="preserve"> la </w:t>
      </w:r>
      <w:r w:rsidRPr="0032511F" w:rsidR="00E93F6D">
        <w:rPr>
          <w:rFonts w:ascii="Arial" w:hAnsi="Arial" w:cs="Arial"/>
        </w:rPr>
        <w:t>gestión financiera</w:t>
      </w:r>
      <w:r w:rsidRPr="0032511F" w:rsidR="00C24FDA">
        <w:rPr>
          <w:rFonts w:ascii="Arial" w:hAnsi="Arial" w:cs="Arial"/>
        </w:rPr>
        <w:t xml:space="preserve"> en cuanto a la obtención de recursos, manejo patrimonial y sostenibilidad</w:t>
      </w:r>
      <w:r w:rsidRPr="0032511F" w:rsidR="00E93F6D">
        <w:rPr>
          <w:rFonts w:ascii="Arial" w:hAnsi="Arial" w:cs="Arial"/>
        </w:rPr>
        <w:t xml:space="preserve"> </w:t>
      </w:r>
      <w:r w:rsidRPr="0032511F">
        <w:rPr>
          <w:rFonts w:ascii="Arial" w:hAnsi="Arial" w:cs="Arial"/>
        </w:rPr>
        <w:t>es fundamental para la ejecución de las labores institucionales, partiendo de que tanto debemos apostarle a lograr una legitimidad institucional, enfocada principalmente a una legitimidad por rendimientos, dado que al ser auto sostenibles</w:t>
      </w:r>
      <w:r w:rsidRPr="0032511F" w:rsidR="0063293B">
        <w:rPr>
          <w:rFonts w:ascii="Arial" w:hAnsi="Arial" w:cs="Arial"/>
        </w:rPr>
        <w:t xml:space="preserve"> se r</w:t>
      </w:r>
      <w:r w:rsidRPr="0032511F">
        <w:rPr>
          <w:rFonts w:ascii="Arial" w:hAnsi="Arial" w:cs="Arial"/>
        </w:rPr>
        <w:t xml:space="preserve">equiere que además </w:t>
      </w:r>
      <w:r w:rsidRPr="0032511F" w:rsidR="006C7DA4">
        <w:rPr>
          <w:rFonts w:ascii="Arial" w:hAnsi="Arial" w:cs="Arial"/>
        </w:rPr>
        <w:t xml:space="preserve">de </w:t>
      </w:r>
      <w:r w:rsidRPr="0032511F">
        <w:rPr>
          <w:rFonts w:ascii="Arial" w:hAnsi="Arial" w:cs="Arial"/>
        </w:rPr>
        <w:t>logr</w:t>
      </w:r>
      <w:r w:rsidRPr="0032511F" w:rsidR="006C7DA4">
        <w:rPr>
          <w:rFonts w:ascii="Arial" w:hAnsi="Arial" w:cs="Arial"/>
        </w:rPr>
        <w:t xml:space="preserve">ar </w:t>
      </w:r>
      <w:r w:rsidRPr="0032511F">
        <w:rPr>
          <w:rFonts w:ascii="Arial" w:hAnsi="Arial" w:cs="Arial"/>
        </w:rPr>
        <w:t>la equidad al</w:t>
      </w:r>
      <w:r w:rsidRPr="0032511F" w:rsidR="006C7DA4">
        <w:rPr>
          <w:rFonts w:ascii="Arial" w:hAnsi="Arial" w:cs="Arial"/>
        </w:rPr>
        <w:t xml:space="preserve"> brindar financiamiento a</w:t>
      </w:r>
      <w:r w:rsidRPr="0032511F">
        <w:rPr>
          <w:rFonts w:ascii="Arial" w:hAnsi="Arial" w:cs="Arial"/>
        </w:rPr>
        <w:t xml:space="preserve"> segmentos de población que ninguna institución financiera</w:t>
      </w:r>
      <w:r w:rsidRPr="0032511F" w:rsidR="00C24FDA">
        <w:rPr>
          <w:rFonts w:ascii="Arial" w:hAnsi="Arial" w:cs="Arial"/>
        </w:rPr>
        <w:t xml:space="preserve"> privada </w:t>
      </w:r>
      <w:r w:rsidRPr="0032511F">
        <w:rPr>
          <w:rFonts w:ascii="Arial" w:hAnsi="Arial" w:cs="Arial"/>
        </w:rPr>
        <w:t xml:space="preserve">quiere atender para darle el derecho a disponer de una vivienda cómoda, higiénica y segura; </w:t>
      </w:r>
      <w:r w:rsidRPr="0032511F" w:rsidR="00C24FDA">
        <w:rPr>
          <w:rFonts w:ascii="Arial" w:hAnsi="Arial" w:cs="Arial"/>
        </w:rPr>
        <w:t xml:space="preserve">y a su vez </w:t>
      </w:r>
      <w:r w:rsidRPr="0032511F">
        <w:rPr>
          <w:rFonts w:ascii="Arial" w:hAnsi="Arial" w:cs="Arial"/>
        </w:rPr>
        <w:t>podamos alcanzar eficacia, eficiencia, calidad y ética en las labores que desarrollamos</w:t>
      </w:r>
      <w:r w:rsidRPr="0032511F" w:rsidR="00C24FDA">
        <w:rPr>
          <w:rFonts w:ascii="Arial" w:hAnsi="Arial" w:cs="Arial"/>
        </w:rPr>
        <w:t xml:space="preserve">. </w:t>
      </w:r>
    </w:p>
    <w:p w:rsidRPr="0032511F" w:rsidR="0063293B" w:rsidP="00C24FDA" w:rsidRDefault="0063293B" w14:paraId="54E74518" w14:textId="77777777">
      <w:pPr>
        <w:pStyle w:val="ListParagraph"/>
        <w:spacing w:after="0" w:line="276" w:lineRule="auto"/>
        <w:ind w:left="0"/>
        <w:jc w:val="both"/>
        <w:rPr>
          <w:rFonts w:ascii="Arial" w:hAnsi="Arial" w:cs="Arial"/>
        </w:rPr>
      </w:pPr>
    </w:p>
    <w:p w:rsidR="00C24FDA" w:rsidP="00C24FDA" w:rsidRDefault="00C24FDA" w14:paraId="5D11EE7B" w14:textId="2A7D502D">
      <w:pPr>
        <w:pStyle w:val="ListParagraph"/>
        <w:spacing w:after="0" w:line="276" w:lineRule="auto"/>
        <w:ind w:left="0"/>
        <w:jc w:val="both"/>
        <w:rPr>
          <w:rFonts w:ascii="Arial" w:hAnsi="Arial" w:cs="Arial"/>
        </w:rPr>
      </w:pPr>
      <w:r w:rsidRPr="0032511F">
        <w:rPr>
          <w:rFonts w:ascii="Arial" w:hAnsi="Arial" w:cs="Arial"/>
        </w:rPr>
        <w:t>El punto básico es entender la función social de la entidad, fundamentado en aspectos cuantitativos y cualitativos</w:t>
      </w:r>
      <w:r w:rsidRPr="0032511F" w:rsidR="00C14852">
        <w:rPr>
          <w:rFonts w:ascii="Arial" w:hAnsi="Arial" w:cs="Arial"/>
        </w:rPr>
        <w:t>; c</w:t>
      </w:r>
      <w:r w:rsidRPr="0032511F">
        <w:rPr>
          <w:rFonts w:ascii="Arial" w:hAnsi="Arial" w:cs="Arial"/>
        </w:rPr>
        <w:t xml:space="preserve">omo referencia son pocas las entidades públicas que en Latinoamérica operan </w:t>
      </w:r>
      <w:r w:rsidRPr="0032511F" w:rsidR="006C7DA4">
        <w:rPr>
          <w:rFonts w:ascii="Arial" w:hAnsi="Arial" w:cs="Arial"/>
        </w:rPr>
        <w:t>como entidades</w:t>
      </w:r>
      <w:r w:rsidRPr="0032511F">
        <w:rPr>
          <w:rFonts w:ascii="Arial" w:hAnsi="Arial" w:cs="Arial"/>
        </w:rPr>
        <w:t xml:space="preserve"> de créditos</w:t>
      </w:r>
      <w:r w:rsidRPr="0032511F" w:rsidR="006C7DA4">
        <w:rPr>
          <w:rFonts w:ascii="Arial" w:hAnsi="Arial" w:cs="Arial"/>
        </w:rPr>
        <w:t xml:space="preserve"> con fines sociales</w:t>
      </w:r>
      <w:r w:rsidRPr="0032511F">
        <w:rPr>
          <w:rFonts w:ascii="Arial" w:hAnsi="Arial" w:cs="Arial"/>
        </w:rPr>
        <w:t xml:space="preserve"> de primer piso para vivienda, dado la complejidad de estos mercados. La función social debe ser entendida, como la</w:t>
      </w:r>
      <w:r w:rsidRPr="0032511F" w:rsidR="00274F05">
        <w:rPr>
          <w:rFonts w:ascii="Arial" w:hAnsi="Arial" w:cs="Arial"/>
        </w:rPr>
        <w:t xml:space="preserve"> de</w:t>
      </w:r>
      <w:r w:rsidRPr="0032511F">
        <w:rPr>
          <w:rFonts w:ascii="Arial" w:hAnsi="Arial" w:cs="Arial"/>
        </w:rPr>
        <w:t xml:space="preserve"> proveer el valor público de facilitar el acceso al financiamiento de largo plazo para la adquisición de soluciones habitacionales, para la población trabajadora en general, con énfasis en aquellas familias que, por su vulnerabilidad económica, difícilmente podrían ser sujetos de crédito en el sistema financiero privado; esto es relevante dado </w:t>
      </w:r>
      <w:r w:rsidRPr="0032511F" w:rsidR="00274F05">
        <w:rPr>
          <w:rFonts w:ascii="Arial" w:hAnsi="Arial" w:cs="Arial"/>
        </w:rPr>
        <w:t xml:space="preserve">que </w:t>
      </w:r>
      <w:r w:rsidRPr="0032511F">
        <w:rPr>
          <w:rFonts w:ascii="Arial" w:hAnsi="Arial" w:cs="Arial"/>
        </w:rPr>
        <w:t>administramos el 66</w:t>
      </w:r>
      <w:r w:rsidR="009B0A4A">
        <w:rPr>
          <w:rFonts w:ascii="Arial" w:hAnsi="Arial" w:cs="Arial"/>
        </w:rPr>
        <w:t>,</w:t>
      </w:r>
      <w:r w:rsidRPr="0032511F">
        <w:rPr>
          <w:rFonts w:ascii="Arial" w:hAnsi="Arial" w:cs="Arial"/>
        </w:rPr>
        <w:t>2% de todos los créditos de vivienda del mercado salvadoreño</w:t>
      </w:r>
      <w:r w:rsidRPr="0032511F">
        <w:rPr>
          <w:rStyle w:val="FootnoteReference"/>
          <w:rFonts w:ascii="Arial" w:hAnsi="Arial" w:cs="Arial"/>
        </w:rPr>
        <w:footnoteReference w:id="3"/>
      </w:r>
      <w:r w:rsidRPr="0032511F" w:rsidR="00F57369">
        <w:rPr>
          <w:rFonts w:ascii="Arial" w:hAnsi="Arial" w:cs="Arial"/>
        </w:rPr>
        <w:t xml:space="preserve"> (ver tabla)</w:t>
      </w:r>
      <w:r w:rsidRPr="0032511F">
        <w:rPr>
          <w:rFonts w:ascii="Arial" w:hAnsi="Arial" w:cs="Arial"/>
        </w:rPr>
        <w:t>, por lo que no debe atentarse contra la sostenibilidad financiera en el tiempo, dado que brindamos la mayor cantidad de acceso al crédito en el mercado.</w:t>
      </w:r>
    </w:p>
    <w:p w:rsidR="00EA70D4" w:rsidP="00C24FDA" w:rsidRDefault="00EA70D4" w14:paraId="24799CF3" w14:textId="77777777">
      <w:pPr>
        <w:pStyle w:val="ListParagraph"/>
        <w:spacing w:after="0" w:line="276" w:lineRule="auto"/>
        <w:ind w:left="0"/>
        <w:jc w:val="both"/>
        <w:rPr>
          <w:rFonts w:ascii="Arial" w:hAnsi="Arial" w:cs="Arial"/>
        </w:rPr>
      </w:pPr>
    </w:p>
    <w:p w:rsidRPr="0032511F" w:rsidR="006C7DA4" w:rsidP="00AD3A7F" w:rsidRDefault="006C7DA4" w14:paraId="7FD50F6E" w14:textId="77777777">
      <w:pPr>
        <w:pStyle w:val="ListParagraph"/>
        <w:spacing w:after="0" w:line="240" w:lineRule="auto"/>
        <w:ind w:left="0"/>
        <w:jc w:val="both"/>
        <w:rPr>
          <w:rFonts w:ascii="Arial" w:hAnsi="Arial" w:cs="Arial"/>
          <w:sz w:val="10"/>
          <w:szCs w:val="10"/>
        </w:rPr>
      </w:pPr>
    </w:p>
    <w:tbl>
      <w:tblPr>
        <w:tblW w:w="5000" w:type="pct"/>
        <w:jc w:val="center"/>
        <w:tblLayout w:type="fixed"/>
        <w:tblCellMar>
          <w:left w:w="70" w:type="dxa"/>
          <w:right w:w="70" w:type="dxa"/>
        </w:tblCellMar>
        <w:tblLook w:val="04A0" w:firstRow="1" w:lastRow="0" w:firstColumn="1" w:lastColumn="0" w:noHBand="0" w:noVBand="1"/>
      </w:tblPr>
      <w:tblGrid>
        <w:gridCol w:w="3144"/>
        <w:gridCol w:w="1262"/>
        <w:gridCol w:w="809"/>
        <w:gridCol w:w="1350"/>
        <w:gridCol w:w="789"/>
        <w:gridCol w:w="1276"/>
      </w:tblGrid>
      <w:tr w:rsidRPr="0032511F" w:rsidR="002F03B1" w:rsidTr="00EA70D4" w14:paraId="3D529F23" w14:textId="77777777">
        <w:trPr>
          <w:trHeight w:val="503"/>
          <w:jc w:val="center"/>
        </w:trPr>
        <w:tc>
          <w:tcPr>
            <w:tcW w:w="1822" w:type="pct"/>
            <w:tcBorders>
              <w:top w:val="single" w:color="auto" w:sz="4" w:space="0"/>
              <w:left w:val="single" w:color="auto" w:sz="4" w:space="0"/>
              <w:bottom w:val="single" w:color="auto" w:sz="4" w:space="0"/>
              <w:right w:val="single" w:color="auto" w:sz="4" w:space="0"/>
            </w:tcBorders>
            <w:shd w:val="clear" w:color="000000" w:fill="333F4F"/>
            <w:vAlign w:val="center"/>
            <w:hideMark/>
          </w:tcPr>
          <w:p w:rsidRPr="0032511F" w:rsidR="002F03B1" w:rsidP="002F03B1" w:rsidRDefault="002F03B1" w14:paraId="4956AD31" w14:textId="77777777">
            <w:pPr>
              <w:spacing w:after="0" w:line="240" w:lineRule="auto"/>
              <w:jc w:val="center"/>
              <w:rPr>
                <w:rFonts w:ascii="Arial" w:hAnsi="Arial" w:eastAsia="Times New Roman" w:cs="Arial"/>
                <w:b/>
                <w:bCs/>
                <w:color w:val="FFFFFF"/>
                <w:sz w:val="18"/>
                <w:szCs w:val="18"/>
                <w:lang w:eastAsia="es-SV"/>
              </w:rPr>
            </w:pPr>
            <w:r w:rsidRPr="0032511F">
              <w:rPr>
                <w:rFonts w:ascii="Arial" w:hAnsi="Arial" w:eastAsia="Times New Roman" w:cs="Arial"/>
                <w:b/>
                <w:bCs/>
                <w:color w:val="FFFFFF"/>
                <w:sz w:val="18"/>
                <w:szCs w:val="18"/>
                <w:lang w:eastAsia="es-SV"/>
              </w:rPr>
              <w:t>Institución financiera</w:t>
            </w:r>
          </w:p>
        </w:tc>
        <w:tc>
          <w:tcPr>
            <w:tcW w:w="731" w:type="pct"/>
            <w:tcBorders>
              <w:top w:val="single" w:color="auto" w:sz="4" w:space="0"/>
              <w:left w:val="nil"/>
              <w:bottom w:val="single" w:color="auto" w:sz="4" w:space="0"/>
              <w:right w:val="single" w:color="auto" w:sz="4" w:space="0"/>
            </w:tcBorders>
            <w:shd w:val="clear" w:color="000000" w:fill="333F4F"/>
            <w:vAlign w:val="center"/>
            <w:hideMark/>
          </w:tcPr>
          <w:p w:rsidRPr="0032511F" w:rsidR="002F03B1" w:rsidP="002F03B1" w:rsidRDefault="002F03B1" w14:paraId="1D3EFA62" w14:textId="77777777">
            <w:pPr>
              <w:spacing w:after="0" w:line="240" w:lineRule="auto"/>
              <w:jc w:val="center"/>
              <w:rPr>
                <w:rFonts w:ascii="Arial" w:hAnsi="Arial" w:eastAsia="Times New Roman" w:cs="Arial"/>
                <w:b/>
                <w:bCs/>
                <w:color w:val="FFFFFF"/>
                <w:sz w:val="18"/>
                <w:szCs w:val="18"/>
                <w:lang w:eastAsia="es-SV"/>
              </w:rPr>
            </w:pPr>
            <w:r w:rsidRPr="0032511F">
              <w:rPr>
                <w:rFonts w:ascii="Arial" w:hAnsi="Arial" w:eastAsia="Times New Roman" w:cs="Arial"/>
                <w:b/>
                <w:bCs/>
                <w:color w:val="FFFFFF"/>
                <w:sz w:val="18"/>
                <w:szCs w:val="18"/>
                <w:lang w:eastAsia="es-SV"/>
              </w:rPr>
              <w:t>Cantidad de Préstamos</w:t>
            </w:r>
          </w:p>
        </w:tc>
        <w:tc>
          <w:tcPr>
            <w:tcW w:w="469" w:type="pct"/>
            <w:tcBorders>
              <w:top w:val="single" w:color="auto" w:sz="4" w:space="0"/>
              <w:left w:val="nil"/>
              <w:bottom w:val="single" w:color="auto" w:sz="4" w:space="0"/>
              <w:right w:val="single" w:color="auto" w:sz="4" w:space="0"/>
            </w:tcBorders>
            <w:shd w:val="clear" w:color="000000" w:fill="333F4F"/>
            <w:vAlign w:val="center"/>
            <w:hideMark/>
          </w:tcPr>
          <w:p w:rsidRPr="0032511F" w:rsidR="002F03B1" w:rsidP="002F03B1" w:rsidRDefault="002F03B1" w14:paraId="163C13E7" w14:textId="77777777">
            <w:pPr>
              <w:spacing w:after="0" w:line="240" w:lineRule="auto"/>
              <w:jc w:val="center"/>
              <w:rPr>
                <w:rFonts w:ascii="Arial" w:hAnsi="Arial" w:eastAsia="Times New Roman" w:cs="Arial"/>
                <w:b/>
                <w:bCs/>
                <w:color w:val="FFFFFF"/>
                <w:sz w:val="18"/>
                <w:szCs w:val="18"/>
                <w:lang w:eastAsia="es-SV"/>
              </w:rPr>
            </w:pPr>
            <w:r w:rsidRPr="0032511F">
              <w:rPr>
                <w:rFonts w:ascii="Arial" w:hAnsi="Arial" w:eastAsia="Times New Roman" w:cs="Arial"/>
                <w:b/>
                <w:bCs/>
                <w:color w:val="FFFFFF"/>
                <w:sz w:val="18"/>
                <w:szCs w:val="18"/>
                <w:lang w:eastAsia="es-SV"/>
              </w:rPr>
              <w:t>%</w:t>
            </w:r>
          </w:p>
          <w:p w:rsidRPr="0032511F" w:rsidR="00F03D75" w:rsidP="002F03B1" w:rsidRDefault="00F03D75" w14:paraId="14184351" w14:textId="61BFCD83">
            <w:pPr>
              <w:spacing w:after="0" w:line="240" w:lineRule="auto"/>
              <w:jc w:val="center"/>
              <w:rPr>
                <w:rFonts w:ascii="Arial" w:hAnsi="Arial" w:eastAsia="Times New Roman" w:cs="Arial"/>
                <w:b/>
                <w:bCs/>
                <w:color w:val="FFFFFF"/>
                <w:sz w:val="18"/>
                <w:szCs w:val="18"/>
                <w:lang w:eastAsia="es-SV"/>
              </w:rPr>
            </w:pPr>
          </w:p>
        </w:tc>
        <w:tc>
          <w:tcPr>
            <w:tcW w:w="782" w:type="pct"/>
            <w:tcBorders>
              <w:top w:val="single" w:color="auto" w:sz="4" w:space="0"/>
              <w:left w:val="nil"/>
              <w:bottom w:val="single" w:color="auto" w:sz="4" w:space="0"/>
              <w:right w:val="single" w:color="auto" w:sz="4" w:space="0"/>
            </w:tcBorders>
            <w:shd w:val="clear" w:color="000000" w:fill="333F4F"/>
            <w:vAlign w:val="center"/>
            <w:hideMark/>
          </w:tcPr>
          <w:p w:rsidRPr="0032511F" w:rsidR="002F03B1" w:rsidP="002F03B1" w:rsidRDefault="002F03B1" w14:paraId="01DB395F" w14:textId="77777777">
            <w:pPr>
              <w:spacing w:after="0" w:line="240" w:lineRule="auto"/>
              <w:jc w:val="center"/>
              <w:rPr>
                <w:rFonts w:ascii="Arial" w:hAnsi="Arial" w:eastAsia="Times New Roman" w:cs="Arial"/>
                <w:b/>
                <w:bCs/>
                <w:color w:val="FFFFFF"/>
                <w:sz w:val="18"/>
                <w:szCs w:val="18"/>
                <w:lang w:eastAsia="es-SV"/>
              </w:rPr>
            </w:pPr>
            <w:r w:rsidRPr="0032511F">
              <w:rPr>
                <w:rFonts w:ascii="Arial" w:hAnsi="Arial" w:eastAsia="Times New Roman" w:cs="Arial"/>
                <w:b/>
                <w:bCs/>
                <w:color w:val="FFFFFF"/>
                <w:sz w:val="18"/>
                <w:szCs w:val="18"/>
                <w:lang w:eastAsia="es-SV"/>
              </w:rPr>
              <w:t>Saldos de cartera (US$)</w:t>
            </w:r>
          </w:p>
        </w:tc>
        <w:tc>
          <w:tcPr>
            <w:tcW w:w="457" w:type="pct"/>
            <w:tcBorders>
              <w:top w:val="single" w:color="auto" w:sz="4" w:space="0"/>
              <w:left w:val="nil"/>
              <w:bottom w:val="single" w:color="auto" w:sz="4" w:space="0"/>
              <w:right w:val="single" w:color="auto" w:sz="4" w:space="0"/>
            </w:tcBorders>
            <w:shd w:val="clear" w:color="000000" w:fill="333F4F"/>
            <w:vAlign w:val="center"/>
            <w:hideMark/>
          </w:tcPr>
          <w:p w:rsidRPr="0032511F" w:rsidR="002F03B1" w:rsidP="002F03B1" w:rsidRDefault="002F03B1" w14:paraId="523494CD" w14:textId="77777777">
            <w:pPr>
              <w:spacing w:after="0" w:line="240" w:lineRule="auto"/>
              <w:jc w:val="center"/>
              <w:rPr>
                <w:rFonts w:ascii="Arial" w:hAnsi="Arial" w:eastAsia="Times New Roman" w:cs="Arial"/>
                <w:b/>
                <w:bCs/>
                <w:color w:val="FFFFFF"/>
                <w:sz w:val="18"/>
                <w:szCs w:val="18"/>
                <w:lang w:eastAsia="es-SV"/>
              </w:rPr>
            </w:pPr>
            <w:r w:rsidRPr="0032511F">
              <w:rPr>
                <w:rFonts w:ascii="Arial" w:hAnsi="Arial" w:eastAsia="Times New Roman" w:cs="Arial"/>
                <w:b/>
                <w:bCs/>
                <w:color w:val="FFFFFF"/>
                <w:sz w:val="18"/>
                <w:szCs w:val="18"/>
                <w:lang w:eastAsia="es-SV"/>
              </w:rPr>
              <w:t>%</w:t>
            </w:r>
          </w:p>
        </w:tc>
        <w:tc>
          <w:tcPr>
            <w:tcW w:w="739" w:type="pct"/>
            <w:tcBorders>
              <w:top w:val="single" w:color="auto" w:sz="4" w:space="0"/>
              <w:left w:val="nil"/>
              <w:bottom w:val="single" w:color="auto" w:sz="4" w:space="0"/>
              <w:right w:val="single" w:color="auto" w:sz="4" w:space="0"/>
            </w:tcBorders>
            <w:shd w:val="clear" w:color="000000" w:fill="333F4F"/>
            <w:vAlign w:val="center"/>
            <w:hideMark/>
          </w:tcPr>
          <w:p w:rsidRPr="0032511F" w:rsidR="002F03B1" w:rsidP="002F03B1" w:rsidRDefault="002F03B1" w14:paraId="463D6B85" w14:textId="77777777">
            <w:pPr>
              <w:spacing w:after="0" w:line="240" w:lineRule="auto"/>
              <w:jc w:val="center"/>
              <w:rPr>
                <w:rFonts w:ascii="Arial" w:hAnsi="Arial" w:eastAsia="Times New Roman" w:cs="Arial"/>
                <w:b/>
                <w:bCs/>
                <w:color w:val="FFFFFF"/>
                <w:sz w:val="18"/>
                <w:szCs w:val="18"/>
                <w:lang w:eastAsia="es-SV"/>
              </w:rPr>
            </w:pPr>
            <w:r w:rsidRPr="0032511F">
              <w:rPr>
                <w:rFonts w:ascii="Arial" w:hAnsi="Arial" w:eastAsia="Times New Roman" w:cs="Arial"/>
                <w:b/>
                <w:bCs/>
                <w:color w:val="FFFFFF"/>
                <w:sz w:val="18"/>
                <w:szCs w:val="18"/>
                <w:lang w:eastAsia="es-SV"/>
              </w:rPr>
              <w:t>Préstamo Promedio (US$)</w:t>
            </w:r>
          </w:p>
        </w:tc>
      </w:tr>
      <w:tr w:rsidRPr="0032511F" w:rsidR="002F03B1" w:rsidTr="00EA70D4" w14:paraId="7FBFF4E9" w14:textId="77777777">
        <w:trPr>
          <w:trHeight w:val="386"/>
          <w:jc w:val="center"/>
        </w:trPr>
        <w:tc>
          <w:tcPr>
            <w:tcW w:w="1822" w:type="pct"/>
            <w:tcBorders>
              <w:top w:val="nil"/>
              <w:left w:val="single" w:color="auto" w:sz="4" w:space="0"/>
              <w:bottom w:val="single" w:color="auto" w:sz="4" w:space="0"/>
              <w:right w:val="single" w:color="auto" w:sz="4" w:space="0"/>
            </w:tcBorders>
            <w:shd w:val="clear" w:color="000000" w:fill="DDEBF7"/>
            <w:noWrap/>
            <w:vAlign w:val="center"/>
            <w:hideMark/>
          </w:tcPr>
          <w:p w:rsidRPr="0032511F" w:rsidR="002F03B1" w:rsidP="002F03B1" w:rsidRDefault="002F03B1" w14:paraId="25AFE90B"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Fondo Social para la Vivienda</w:t>
            </w:r>
          </w:p>
        </w:tc>
        <w:tc>
          <w:tcPr>
            <w:tcW w:w="731" w:type="pct"/>
            <w:tcBorders>
              <w:top w:val="nil"/>
              <w:left w:val="nil"/>
              <w:bottom w:val="single" w:color="auto" w:sz="4" w:space="0"/>
              <w:right w:val="single" w:color="auto" w:sz="4" w:space="0"/>
            </w:tcBorders>
            <w:shd w:val="clear" w:color="000000" w:fill="DDEBF7"/>
            <w:noWrap/>
            <w:vAlign w:val="center"/>
            <w:hideMark/>
          </w:tcPr>
          <w:p w:rsidRPr="0032511F" w:rsidR="002F03B1" w:rsidP="002F03B1" w:rsidRDefault="002F03B1" w14:paraId="688C10FA" w14:textId="3E8E0BC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119</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041</w:t>
            </w:r>
          </w:p>
        </w:tc>
        <w:tc>
          <w:tcPr>
            <w:tcW w:w="469" w:type="pct"/>
            <w:tcBorders>
              <w:top w:val="nil"/>
              <w:left w:val="nil"/>
              <w:bottom w:val="single" w:color="auto" w:sz="4" w:space="0"/>
              <w:right w:val="single" w:color="auto" w:sz="4" w:space="0"/>
            </w:tcBorders>
            <w:shd w:val="clear" w:color="000000" w:fill="DDEBF7"/>
            <w:noWrap/>
            <w:vAlign w:val="center"/>
            <w:hideMark/>
          </w:tcPr>
          <w:p w:rsidRPr="0032511F" w:rsidR="002F03B1" w:rsidP="002F03B1" w:rsidRDefault="002F03B1" w14:paraId="607439AF" w14:textId="5AA11326">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66</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2%</w:t>
            </w:r>
          </w:p>
        </w:tc>
        <w:tc>
          <w:tcPr>
            <w:tcW w:w="782" w:type="pct"/>
            <w:tcBorders>
              <w:top w:val="nil"/>
              <w:left w:val="nil"/>
              <w:bottom w:val="single" w:color="auto" w:sz="4" w:space="0"/>
              <w:right w:val="single" w:color="auto" w:sz="4" w:space="0"/>
            </w:tcBorders>
            <w:shd w:val="clear" w:color="000000" w:fill="DDEBF7"/>
            <w:noWrap/>
            <w:vAlign w:val="center"/>
            <w:hideMark/>
          </w:tcPr>
          <w:p w:rsidRPr="0032511F" w:rsidR="002F03B1" w:rsidP="002F03B1" w:rsidRDefault="002F03B1" w14:paraId="65D5D9DF" w14:textId="4550E016">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A650AE">
              <w:rPr>
                <w:rFonts w:ascii="Arial" w:hAnsi="Arial" w:eastAsia="Times New Roman" w:cs="Arial"/>
                <w:sz w:val="18"/>
                <w:szCs w:val="18"/>
                <w:lang w:eastAsia="es-SV"/>
              </w:rPr>
              <w:t>.</w:t>
            </w:r>
            <w:r w:rsidRPr="0032511F">
              <w:rPr>
                <w:rFonts w:ascii="Arial" w:hAnsi="Arial" w:eastAsia="Times New Roman" w:cs="Arial"/>
                <w:sz w:val="18"/>
                <w:szCs w:val="18"/>
                <w:lang w:eastAsia="es-SV"/>
              </w:rPr>
              <w:t>234</w:t>
            </w:r>
            <w:r w:rsidR="00A650AE">
              <w:rPr>
                <w:rFonts w:ascii="Arial" w:hAnsi="Arial" w:eastAsia="Times New Roman" w:cs="Arial"/>
                <w:sz w:val="18"/>
                <w:szCs w:val="18"/>
                <w:lang w:eastAsia="es-SV"/>
              </w:rPr>
              <w:t>.</w:t>
            </w:r>
            <w:r w:rsidRPr="0032511F">
              <w:rPr>
                <w:rFonts w:ascii="Arial" w:hAnsi="Arial" w:eastAsia="Times New Roman" w:cs="Arial"/>
                <w:sz w:val="18"/>
                <w:szCs w:val="18"/>
                <w:lang w:eastAsia="es-SV"/>
              </w:rPr>
              <w:t>281</w:t>
            </w:r>
            <w:r w:rsidR="00A650AE">
              <w:rPr>
                <w:rFonts w:ascii="Arial" w:hAnsi="Arial" w:eastAsia="Times New Roman" w:cs="Arial"/>
                <w:sz w:val="18"/>
                <w:szCs w:val="18"/>
                <w:lang w:eastAsia="es-SV"/>
              </w:rPr>
              <w:t>,</w:t>
            </w:r>
            <w:r w:rsidRPr="0032511F">
              <w:rPr>
                <w:rFonts w:ascii="Arial" w:hAnsi="Arial" w:eastAsia="Times New Roman" w:cs="Arial"/>
                <w:sz w:val="18"/>
                <w:szCs w:val="18"/>
                <w:lang w:eastAsia="es-SV"/>
              </w:rPr>
              <w:t>19</w:t>
            </w:r>
          </w:p>
        </w:tc>
        <w:tc>
          <w:tcPr>
            <w:tcW w:w="457" w:type="pct"/>
            <w:tcBorders>
              <w:top w:val="nil"/>
              <w:left w:val="nil"/>
              <w:bottom w:val="single" w:color="auto" w:sz="4" w:space="0"/>
              <w:right w:val="single" w:color="auto" w:sz="4" w:space="0"/>
            </w:tcBorders>
            <w:shd w:val="clear" w:color="000000" w:fill="DDEBF7"/>
            <w:noWrap/>
            <w:vAlign w:val="center"/>
            <w:hideMark/>
          </w:tcPr>
          <w:p w:rsidRPr="0032511F" w:rsidR="002F03B1" w:rsidP="002F03B1" w:rsidRDefault="002F03B1" w14:paraId="58141E0C" w14:textId="7296DF6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31</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8%</w:t>
            </w:r>
          </w:p>
        </w:tc>
        <w:tc>
          <w:tcPr>
            <w:tcW w:w="739" w:type="pct"/>
            <w:tcBorders>
              <w:top w:val="nil"/>
              <w:left w:val="nil"/>
              <w:bottom w:val="single" w:color="auto" w:sz="4" w:space="0"/>
              <w:right w:val="single" w:color="auto" w:sz="4" w:space="0"/>
            </w:tcBorders>
            <w:shd w:val="clear" w:color="000000" w:fill="DDEBF7"/>
            <w:noWrap/>
            <w:vAlign w:val="center"/>
            <w:hideMark/>
          </w:tcPr>
          <w:p w:rsidRPr="0032511F" w:rsidR="002F03B1" w:rsidP="002F03B1" w:rsidRDefault="002F03B1" w14:paraId="16D18AA1" w14:textId="3AA48890">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10</w:t>
            </w:r>
            <w:r w:rsidR="00A60FC2">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368</w:t>
            </w:r>
            <w:r w:rsidR="00A60FC2">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54</w:t>
            </w:r>
          </w:p>
        </w:tc>
      </w:tr>
      <w:tr w:rsidRPr="0032511F" w:rsidR="002F03B1" w:rsidTr="00EA70D4" w14:paraId="75BF4CFE" w14:textId="77777777">
        <w:trPr>
          <w:trHeight w:val="350"/>
          <w:jc w:val="center"/>
        </w:trPr>
        <w:tc>
          <w:tcPr>
            <w:tcW w:w="1822" w:type="pct"/>
            <w:tcBorders>
              <w:top w:val="nil"/>
              <w:left w:val="single" w:color="auto" w:sz="4" w:space="0"/>
              <w:bottom w:val="single" w:color="auto" w:sz="4" w:space="0"/>
              <w:right w:val="single" w:color="auto" w:sz="4" w:space="0"/>
            </w:tcBorders>
            <w:shd w:val="clear" w:color="000000" w:fill="FFFFFF"/>
            <w:noWrap/>
            <w:vAlign w:val="center"/>
            <w:hideMark/>
          </w:tcPr>
          <w:p w:rsidRPr="0032511F" w:rsidR="002F03B1" w:rsidP="002F03B1" w:rsidRDefault="002F03B1" w14:paraId="02239838"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Scotiabank El Salvador</w:t>
            </w:r>
          </w:p>
        </w:tc>
        <w:tc>
          <w:tcPr>
            <w:tcW w:w="731"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2A933C57" w14:textId="26E1A653">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17</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322</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6D7E9E96" w14:textId="737B84AB">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9</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6%</w:t>
            </w:r>
          </w:p>
        </w:tc>
        <w:tc>
          <w:tcPr>
            <w:tcW w:w="782"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2D96CE30" w14:textId="34785574">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839</w:t>
            </w:r>
            <w:r w:rsidR="003D3EB7">
              <w:rPr>
                <w:rFonts w:ascii="Arial" w:hAnsi="Arial" w:eastAsia="Times New Roman" w:cs="Arial"/>
                <w:sz w:val="18"/>
                <w:szCs w:val="18"/>
                <w:lang w:eastAsia="es-SV"/>
              </w:rPr>
              <w:t>.</w:t>
            </w:r>
            <w:r w:rsidRPr="0032511F">
              <w:rPr>
                <w:rFonts w:ascii="Arial" w:hAnsi="Arial" w:eastAsia="Times New Roman" w:cs="Arial"/>
                <w:sz w:val="18"/>
                <w:szCs w:val="18"/>
                <w:lang w:eastAsia="es-SV"/>
              </w:rPr>
              <w:t>311</w:t>
            </w:r>
            <w:r w:rsidR="00A650AE">
              <w:rPr>
                <w:rFonts w:ascii="Arial" w:hAnsi="Arial" w:eastAsia="Times New Roman" w:cs="Arial"/>
                <w:sz w:val="18"/>
                <w:szCs w:val="18"/>
                <w:lang w:eastAsia="es-SV"/>
              </w:rPr>
              <w:t>,</w:t>
            </w:r>
            <w:r w:rsidRPr="0032511F">
              <w:rPr>
                <w:rFonts w:ascii="Arial" w:hAnsi="Arial" w:eastAsia="Times New Roman" w:cs="Arial"/>
                <w:sz w:val="18"/>
                <w:szCs w:val="18"/>
                <w:lang w:eastAsia="es-SV"/>
              </w:rPr>
              <w:t>05</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0D70DE48" w14:textId="66844CA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21</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6%</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3E0C37A3" w14:textId="391A06CE">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48</w:t>
            </w:r>
            <w:r w:rsidR="00A60FC2">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453</w:t>
            </w:r>
            <w:r w:rsidR="00A60FC2">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47</w:t>
            </w:r>
          </w:p>
        </w:tc>
      </w:tr>
      <w:tr w:rsidRPr="0032511F" w:rsidR="002F03B1" w:rsidTr="00EA70D4" w14:paraId="228C29BC" w14:textId="77777777">
        <w:trPr>
          <w:trHeight w:val="350"/>
          <w:jc w:val="center"/>
        </w:trPr>
        <w:tc>
          <w:tcPr>
            <w:tcW w:w="1822" w:type="pct"/>
            <w:tcBorders>
              <w:top w:val="nil"/>
              <w:left w:val="single" w:color="auto" w:sz="4" w:space="0"/>
              <w:bottom w:val="single" w:color="auto" w:sz="4" w:space="0"/>
              <w:right w:val="single" w:color="auto" w:sz="4" w:space="0"/>
            </w:tcBorders>
            <w:shd w:val="clear" w:color="000000" w:fill="FFFFFF"/>
            <w:noWrap/>
            <w:vAlign w:val="center"/>
            <w:hideMark/>
          </w:tcPr>
          <w:p w:rsidRPr="0032511F" w:rsidR="002F03B1" w:rsidP="002F03B1" w:rsidRDefault="002F03B1" w14:paraId="46F991E0"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Banco Agrícola</w:t>
            </w:r>
          </w:p>
        </w:tc>
        <w:tc>
          <w:tcPr>
            <w:tcW w:w="731"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6F5E23E6" w14:textId="2AC6F5E8">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12</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780</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0994337B" w14:textId="0BD74B56">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7</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1%</w:t>
            </w:r>
          </w:p>
        </w:tc>
        <w:tc>
          <w:tcPr>
            <w:tcW w:w="782"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1587B227" w14:textId="775AD373">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538</w:t>
            </w:r>
            <w:r w:rsidR="003D3EB7">
              <w:rPr>
                <w:rFonts w:ascii="Arial" w:hAnsi="Arial" w:eastAsia="Times New Roman" w:cs="Arial"/>
                <w:sz w:val="18"/>
                <w:szCs w:val="18"/>
                <w:lang w:eastAsia="es-SV"/>
              </w:rPr>
              <w:t>.</w:t>
            </w:r>
            <w:r w:rsidRPr="0032511F">
              <w:rPr>
                <w:rFonts w:ascii="Arial" w:hAnsi="Arial" w:eastAsia="Times New Roman" w:cs="Arial"/>
                <w:sz w:val="18"/>
                <w:szCs w:val="18"/>
                <w:lang w:eastAsia="es-SV"/>
              </w:rPr>
              <w:t>504</w:t>
            </w:r>
            <w:r w:rsidR="003D3EB7">
              <w:rPr>
                <w:rFonts w:ascii="Arial" w:hAnsi="Arial" w:eastAsia="Times New Roman" w:cs="Arial"/>
                <w:sz w:val="18"/>
                <w:szCs w:val="18"/>
                <w:lang w:eastAsia="es-SV"/>
              </w:rPr>
              <w:t>,</w:t>
            </w:r>
            <w:r w:rsidRPr="0032511F">
              <w:rPr>
                <w:rFonts w:ascii="Arial" w:hAnsi="Arial" w:eastAsia="Times New Roman" w:cs="Arial"/>
                <w:sz w:val="18"/>
                <w:szCs w:val="18"/>
                <w:lang w:eastAsia="es-SV"/>
              </w:rPr>
              <w:t>97</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11CA4C0D" w14:textId="205C06D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13</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9%</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18D445F3" w14:textId="4BFD46FD">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42</w:t>
            </w:r>
            <w:r w:rsidR="00A60FC2">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136</w:t>
            </w:r>
            <w:r w:rsidR="00A60FC2">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54</w:t>
            </w:r>
          </w:p>
        </w:tc>
      </w:tr>
      <w:tr w:rsidRPr="0032511F" w:rsidR="002F03B1" w:rsidTr="00EA70D4" w14:paraId="2384FF21" w14:textId="77777777">
        <w:trPr>
          <w:trHeight w:val="350"/>
          <w:jc w:val="center"/>
        </w:trPr>
        <w:tc>
          <w:tcPr>
            <w:tcW w:w="1822" w:type="pct"/>
            <w:tcBorders>
              <w:top w:val="nil"/>
              <w:left w:val="single" w:color="auto" w:sz="4" w:space="0"/>
              <w:bottom w:val="single" w:color="auto" w:sz="4" w:space="0"/>
              <w:right w:val="single" w:color="auto" w:sz="4" w:space="0"/>
            </w:tcBorders>
            <w:shd w:val="clear" w:color="000000" w:fill="FFFFFF"/>
            <w:noWrap/>
            <w:vAlign w:val="center"/>
            <w:hideMark/>
          </w:tcPr>
          <w:p w:rsidRPr="0032511F" w:rsidR="002F03B1" w:rsidP="002F03B1" w:rsidRDefault="002F03B1" w14:paraId="7629DC72"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Banco Davivienda Salvadoreño</w:t>
            </w:r>
          </w:p>
        </w:tc>
        <w:tc>
          <w:tcPr>
            <w:tcW w:w="731"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3EFB08BC" w14:textId="4F4E2C6D">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7</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62</w:t>
            </w:r>
            <w:bookmarkStart w:name="_GoBack" w:id="1"/>
            <w:bookmarkEnd w:id="1"/>
            <w:r w:rsidRPr="0032511F">
              <w:rPr>
                <w:rFonts w:ascii="Arial" w:hAnsi="Arial" w:eastAsia="Times New Roman" w:cs="Arial"/>
                <w:sz w:val="18"/>
                <w:szCs w:val="18"/>
                <w:lang w:eastAsia="es-SV"/>
              </w:rPr>
              <w:t>6</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3F8AEFEF" w14:textId="714C3A98">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4</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2%</w:t>
            </w:r>
          </w:p>
        </w:tc>
        <w:tc>
          <w:tcPr>
            <w:tcW w:w="782"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50238348" w14:textId="02721DE7">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341</w:t>
            </w:r>
            <w:r w:rsidR="003D3EB7">
              <w:rPr>
                <w:rFonts w:ascii="Arial" w:hAnsi="Arial" w:eastAsia="Times New Roman" w:cs="Arial"/>
                <w:sz w:val="18"/>
                <w:szCs w:val="18"/>
                <w:lang w:eastAsia="es-SV"/>
              </w:rPr>
              <w:t>.</w:t>
            </w:r>
            <w:r w:rsidRPr="0032511F">
              <w:rPr>
                <w:rFonts w:ascii="Arial" w:hAnsi="Arial" w:eastAsia="Times New Roman" w:cs="Arial"/>
                <w:sz w:val="18"/>
                <w:szCs w:val="18"/>
                <w:lang w:eastAsia="es-SV"/>
              </w:rPr>
              <w:t>195</w:t>
            </w:r>
            <w:r w:rsidR="003D3EB7">
              <w:rPr>
                <w:rFonts w:ascii="Arial" w:hAnsi="Arial" w:eastAsia="Times New Roman" w:cs="Arial"/>
                <w:sz w:val="18"/>
                <w:szCs w:val="18"/>
                <w:lang w:eastAsia="es-SV"/>
              </w:rPr>
              <w:t>,</w:t>
            </w:r>
            <w:r w:rsidRPr="0032511F">
              <w:rPr>
                <w:rFonts w:ascii="Arial" w:hAnsi="Arial" w:eastAsia="Times New Roman" w:cs="Arial"/>
                <w:sz w:val="18"/>
                <w:szCs w:val="18"/>
                <w:lang w:eastAsia="es-SV"/>
              </w:rPr>
              <w:t>36</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7D704ABA" w14:textId="220996D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8</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8%</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57EFBF26" w14:textId="5737E0E7">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44</w:t>
            </w:r>
            <w:r w:rsidR="00A60FC2">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741</w:t>
            </w:r>
            <w:r w:rsidR="00A60FC2">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06</w:t>
            </w:r>
          </w:p>
        </w:tc>
      </w:tr>
      <w:tr w:rsidRPr="0032511F" w:rsidR="002F03B1" w:rsidTr="00EA70D4" w14:paraId="0A7B06C5" w14:textId="77777777">
        <w:trPr>
          <w:trHeight w:val="350"/>
          <w:jc w:val="center"/>
        </w:trPr>
        <w:tc>
          <w:tcPr>
            <w:tcW w:w="1822" w:type="pct"/>
            <w:tcBorders>
              <w:top w:val="nil"/>
              <w:left w:val="single" w:color="auto" w:sz="4" w:space="0"/>
              <w:bottom w:val="single" w:color="auto" w:sz="4" w:space="0"/>
              <w:right w:val="single" w:color="auto" w:sz="4" w:space="0"/>
            </w:tcBorders>
            <w:shd w:val="clear" w:color="000000" w:fill="FFFFFF"/>
            <w:noWrap/>
            <w:vAlign w:val="center"/>
            <w:hideMark/>
          </w:tcPr>
          <w:p w:rsidRPr="0032511F" w:rsidR="002F03B1" w:rsidP="002F03B1" w:rsidRDefault="002F03B1" w14:paraId="403C6529"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Banco de América Central</w:t>
            </w:r>
          </w:p>
        </w:tc>
        <w:tc>
          <w:tcPr>
            <w:tcW w:w="731"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6801BD5E" w14:textId="1A90C236">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5</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196</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25CAB96F" w14:textId="456F174B">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9%</w:t>
            </w:r>
          </w:p>
        </w:tc>
        <w:tc>
          <w:tcPr>
            <w:tcW w:w="782"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6D389B95" w14:textId="05F1BC39">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298</w:t>
            </w:r>
            <w:r w:rsidR="003D3EB7">
              <w:rPr>
                <w:rFonts w:ascii="Arial" w:hAnsi="Arial" w:eastAsia="Times New Roman" w:cs="Arial"/>
                <w:sz w:val="18"/>
                <w:szCs w:val="18"/>
                <w:lang w:eastAsia="es-SV"/>
              </w:rPr>
              <w:t>.</w:t>
            </w:r>
            <w:r w:rsidRPr="0032511F">
              <w:rPr>
                <w:rFonts w:ascii="Arial" w:hAnsi="Arial" w:eastAsia="Times New Roman" w:cs="Arial"/>
                <w:sz w:val="18"/>
                <w:szCs w:val="18"/>
                <w:lang w:eastAsia="es-SV"/>
              </w:rPr>
              <w:t>683</w:t>
            </w:r>
            <w:r w:rsidR="003D3EB7">
              <w:rPr>
                <w:rFonts w:ascii="Arial" w:hAnsi="Arial" w:eastAsia="Times New Roman" w:cs="Arial"/>
                <w:sz w:val="18"/>
                <w:szCs w:val="18"/>
                <w:lang w:eastAsia="es-SV"/>
              </w:rPr>
              <w:t>,</w:t>
            </w:r>
            <w:r w:rsidRPr="0032511F">
              <w:rPr>
                <w:rFonts w:ascii="Arial" w:hAnsi="Arial" w:eastAsia="Times New Roman" w:cs="Arial"/>
                <w:sz w:val="18"/>
                <w:szCs w:val="18"/>
                <w:lang w:eastAsia="es-SV"/>
              </w:rPr>
              <w:t>68</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2FB58F2D" w14:textId="04F07A44">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7</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7%</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6342887D" w14:textId="5C83C1FA">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57</w:t>
            </w:r>
            <w:r w:rsidR="0086784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483</w:t>
            </w:r>
            <w:r w:rsidR="0086784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39</w:t>
            </w:r>
          </w:p>
        </w:tc>
      </w:tr>
      <w:tr w:rsidRPr="0032511F" w:rsidR="002F03B1" w:rsidTr="00EA70D4" w14:paraId="238150AC" w14:textId="77777777">
        <w:trPr>
          <w:trHeight w:val="350"/>
          <w:jc w:val="center"/>
        </w:trPr>
        <w:tc>
          <w:tcPr>
            <w:tcW w:w="1822" w:type="pct"/>
            <w:tcBorders>
              <w:top w:val="nil"/>
              <w:left w:val="single" w:color="auto" w:sz="4" w:space="0"/>
              <w:bottom w:val="single" w:color="auto" w:sz="4" w:space="0"/>
              <w:right w:val="single" w:color="auto" w:sz="4" w:space="0"/>
            </w:tcBorders>
            <w:shd w:val="clear" w:color="000000" w:fill="FFFFFF"/>
            <w:noWrap/>
            <w:vAlign w:val="center"/>
            <w:hideMark/>
          </w:tcPr>
          <w:p w:rsidRPr="0032511F" w:rsidR="002F03B1" w:rsidP="002F03B1" w:rsidRDefault="002F03B1" w14:paraId="2CBF6180"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Banco Cuscatlán de El Salvador</w:t>
            </w:r>
          </w:p>
        </w:tc>
        <w:tc>
          <w:tcPr>
            <w:tcW w:w="731"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450C2C3D" w14:textId="0500A916">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4</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554</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7F09F799" w14:textId="37322A61">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5%</w:t>
            </w:r>
          </w:p>
        </w:tc>
        <w:tc>
          <w:tcPr>
            <w:tcW w:w="782"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3C6CA7D0" w14:textId="3EEA20EC">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161</w:t>
            </w:r>
            <w:r w:rsidR="003D3EB7">
              <w:rPr>
                <w:rFonts w:ascii="Arial" w:hAnsi="Arial" w:eastAsia="Times New Roman" w:cs="Arial"/>
                <w:sz w:val="18"/>
                <w:szCs w:val="18"/>
                <w:lang w:eastAsia="es-SV"/>
              </w:rPr>
              <w:t>.</w:t>
            </w:r>
            <w:r w:rsidRPr="0032511F">
              <w:rPr>
                <w:rFonts w:ascii="Arial" w:hAnsi="Arial" w:eastAsia="Times New Roman" w:cs="Arial"/>
                <w:sz w:val="18"/>
                <w:szCs w:val="18"/>
                <w:lang w:eastAsia="es-SV"/>
              </w:rPr>
              <w:t>268</w:t>
            </w:r>
            <w:r w:rsidR="003D3EB7">
              <w:rPr>
                <w:rFonts w:ascii="Arial" w:hAnsi="Arial" w:eastAsia="Times New Roman" w:cs="Arial"/>
                <w:sz w:val="18"/>
                <w:szCs w:val="18"/>
                <w:lang w:eastAsia="es-SV"/>
              </w:rPr>
              <w:t>,</w:t>
            </w:r>
            <w:r w:rsidRPr="0032511F">
              <w:rPr>
                <w:rFonts w:ascii="Arial" w:hAnsi="Arial" w:eastAsia="Times New Roman" w:cs="Arial"/>
                <w:sz w:val="18"/>
                <w:szCs w:val="18"/>
                <w:lang w:eastAsia="es-SV"/>
              </w:rPr>
              <w:t>27</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2F6E9A86" w14:textId="49DC0BD9">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4</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2%</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412AD6DA" w14:textId="795150DF">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35</w:t>
            </w:r>
            <w:r w:rsidR="0086784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412</w:t>
            </w:r>
            <w:r w:rsidR="008D718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44</w:t>
            </w:r>
          </w:p>
        </w:tc>
      </w:tr>
      <w:tr w:rsidRPr="0032511F" w:rsidR="002F03B1" w:rsidTr="00EA70D4" w14:paraId="79DF6438" w14:textId="77777777">
        <w:trPr>
          <w:trHeight w:val="350"/>
          <w:jc w:val="center"/>
        </w:trPr>
        <w:tc>
          <w:tcPr>
            <w:tcW w:w="1822" w:type="pct"/>
            <w:tcBorders>
              <w:top w:val="nil"/>
              <w:left w:val="single" w:color="auto" w:sz="4" w:space="0"/>
              <w:bottom w:val="single" w:color="auto" w:sz="4" w:space="0"/>
              <w:right w:val="single" w:color="auto" w:sz="4" w:space="0"/>
            </w:tcBorders>
            <w:shd w:val="clear" w:color="auto" w:fill="auto"/>
            <w:noWrap/>
            <w:vAlign w:val="center"/>
            <w:hideMark/>
          </w:tcPr>
          <w:p w:rsidRPr="0032511F" w:rsidR="002F03B1" w:rsidP="002F03B1" w:rsidRDefault="002F03B1" w14:paraId="3300AA68"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Banco Atlántida El Salvador S.A.</w:t>
            </w:r>
          </w:p>
        </w:tc>
        <w:tc>
          <w:tcPr>
            <w:tcW w:w="731"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3B961C0B" w14:textId="523A33F2">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094</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08BE97AF" w14:textId="3B8111C6">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2%</w:t>
            </w:r>
          </w:p>
        </w:tc>
        <w:tc>
          <w:tcPr>
            <w:tcW w:w="782"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12CDC535" w14:textId="7F66158F">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52</w:t>
            </w:r>
            <w:r w:rsidR="003D3EB7">
              <w:rPr>
                <w:rFonts w:ascii="Arial" w:hAnsi="Arial" w:eastAsia="Times New Roman" w:cs="Arial"/>
                <w:sz w:val="18"/>
                <w:szCs w:val="18"/>
                <w:lang w:eastAsia="es-SV"/>
              </w:rPr>
              <w:t>.</w:t>
            </w:r>
            <w:r w:rsidRPr="0032511F">
              <w:rPr>
                <w:rFonts w:ascii="Arial" w:hAnsi="Arial" w:eastAsia="Times New Roman" w:cs="Arial"/>
                <w:sz w:val="18"/>
                <w:szCs w:val="18"/>
                <w:lang w:eastAsia="es-SV"/>
              </w:rPr>
              <w:t>922</w:t>
            </w:r>
            <w:r w:rsidR="003D3EB7">
              <w:rPr>
                <w:rFonts w:ascii="Arial" w:hAnsi="Arial" w:eastAsia="Times New Roman" w:cs="Arial"/>
                <w:sz w:val="18"/>
                <w:szCs w:val="18"/>
                <w:lang w:eastAsia="es-SV"/>
              </w:rPr>
              <w:t>,</w:t>
            </w:r>
            <w:r w:rsidRPr="0032511F">
              <w:rPr>
                <w:rFonts w:ascii="Arial" w:hAnsi="Arial" w:eastAsia="Times New Roman" w:cs="Arial"/>
                <w:sz w:val="18"/>
                <w:szCs w:val="18"/>
                <w:lang w:eastAsia="es-SV"/>
              </w:rPr>
              <w:t>88</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7B13314E" w14:textId="5CE3E7E1">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4%</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2A57803D" w14:textId="5E535008">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25</w:t>
            </w:r>
            <w:r w:rsidR="008D718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273</w:t>
            </w:r>
            <w:r w:rsidR="008D718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58</w:t>
            </w:r>
          </w:p>
        </w:tc>
      </w:tr>
      <w:tr w:rsidRPr="0032511F" w:rsidR="002F03B1" w:rsidTr="00EA70D4" w14:paraId="04E3ABAD" w14:textId="77777777">
        <w:trPr>
          <w:trHeight w:val="350"/>
          <w:jc w:val="center"/>
        </w:trPr>
        <w:tc>
          <w:tcPr>
            <w:tcW w:w="1822" w:type="pct"/>
            <w:tcBorders>
              <w:top w:val="nil"/>
              <w:left w:val="single" w:color="auto" w:sz="4" w:space="0"/>
              <w:bottom w:val="single" w:color="auto" w:sz="4" w:space="0"/>
              <w:right w:val="single" w:color="auto" w:sz="4" w:space="0"/>
            </w:tcBorders>
            <w:shd w:val="clear" w:color="auto" w:fill="auto"/>
            <w:noWrap/>
            <w:vAlign w:val="center"/>
            <w:hideMark/>
          </w:tcPr>
          <w:p w:rsidRPr="0032511F" w:rsidR="002F03B1" w:rsidP="002F03B1" w:rsidRDefault="002F03B1" w14:paraId="0A14C42A"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Banco Hipotecario de El Salvador</w:t>
            </w:r>
          </w:p>
        </w:tc>
        <w:tc>
          <w:tcPr>
            <w:tcW w:w="731"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59B630A2" w14:textId="5A3836D4">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192</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3D74AB97" w14:textId="77B73E55">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2%</w:t>
            </w:r>
          </w:p>
        </w:tc>
        <w:tc>
          <w:tcPr>
            <w:tcW w:w="782"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3FE7998C" w14:textId="6562B70A">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101</w:t>
            </w:r>
            <w:r w:rsidR="003D3EB7">
              <w:rPr>
                <w:rFonts w:ascii="Arial" w:hAnsi="Arial" w:eastAsia="Times New Roman" w:cs="Arial"/>
                <w:sz w:val="18"/>
                <w:szCs w:val="18"/>
                <w:lang w:eastAsia="es-SV"/>
              </w:rPr>
              <w:t>.</w:t>
            </w:r>
            <w:r w:rsidRPr="0032511F">
              <w:rPr>
                <w:rFonts w:ascii="Arial" w:hAnsi="Arial" w:eastAsia="Times New Roman" w:cs="Arial"/>
                <w:sz w:val="18"/>
                <w:szCs w:val="18"/>
                <w:lang w:eastAsia="es-SV"/>
              </w:rPr>
              <w:t>193</w:t>
            </w:r>
            <w:r w:rsidR="003D3EB7">
              <w:rPr>
                <w:rFonts w:ascii="Arial" w:hAnsi="Arial" w:eastAsia="Times New Roman" w:cs="Arial"/>
                <w:sz w:val="18"/>
                <w:szCs w:val="18"/>
                <w:lang w:eastAsia="es-SV"/>
              </w:rPr>
              <w:t>,</w:t>
            </w:r>
            <w:r w:rsidRPr="0032511F">
              <w:rPr>
                <w:rFonts w:ascii="Arial" w:hAnsi="Arial" w:eastAsia="Times New Roman" w:cs="Arial"/>
                <w:sz w:val="18"/>
                <w:szCs w:val="18"/>
                <w:lang w:eastAsia="es-SV"/>
              </w:rPr>
              <w:t>80</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32FA5398" w14:textId="715C256A">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6%</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4865CFDA" w14:textId="1CE2AE60">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46</w:t>
            </w:r>
            <w:r w:rsidR="008D718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165</w:t>
            </w:r>
            <w:r w:rsidR="008D718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06</w:t>
            </w:r>
          </w:p>
        </w:tc>
      </w:tr>
      <w:tr w:rsidRPr="0032511F" w:rsidR="002F03B1" w:rsidTr="00EA70D4" w14:paraId="1ACE98D6" w14:textId="77777777">
        <w:trPr>
          <w:trHeight w:val="530"/>
          <w:jc w:val="center"/>
        </w:trPr>
        <w:tc>
          <w:tcPr>
            <w:tcW w:w="1822" w:type="pct"/>
            <w:tcBorders>
              <w:top w:val="nil"/>
              <w:left w:val="single" w:color="auto" w:sz="4" w:space="0"/>
              <w:bottom w:val="single" w:color="auto" w:sz="4" w:space="0"/>
              <w:right w:val="single" w:color="auto" w:sz="4" w:space="0"/>
            </w:tcBorders>
            <w:shd w:val="clear" w:color="auto" w:fill="auto"/>
            <w:noWrap/>
            <w:vAlign w:val="center"/>
            <w:hideMark/>
          </w:tcPr>
          <w:p w:rsidRPr="0032511F" w:rsidR="002F03B1" w:rsidP="002F03B1" w:rsidRDefault="002F03B1" w14:paraId="2D3DB848"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Sociedad de Ahorro y Crédito Apoyo Integral</w:t>
            </w:r>
          </w:p>
        </w:tc>
        <w:tc>
          <w:tcPr>
            <w:tcW w:w="731"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33D370FB" w14:textId="3ADD0376">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062</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51A22A52" w14:textId="500623D3">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1%</w:t>
            </w:r>
          </w:p>
        </w:tc>
        <w:tc>
          <w:tcPr>
            <w:tcW w:w="782"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553E5D29" w14:textId="395F92DC">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9</w:t>
            </w:r>
            <w:r w:rsidR="00BC3D4D">
              <w:rPr>
                <w:rFonts w:ascii="Arial" w:hAnsi="Arial" w:eastAsia="Times New Roman" w:cs="Arial"/>
                <w:sz w:val="18"/>
                <w:szCs w:val="18"/>
                <w:lang w:eastAsia="es-SV"/>
              </w:rPr>
              <w:t>.</w:t>
            </w:r>
            <w:r w:rsidRPr="0032511F">
              <w:rPr>
                <w:rFonts w:ascii="Arial" w:hAnsi="Arial" w:eastAsia="Times New Roman" w:cs="Arial"/>
                <w:sz w:val="18"/>
                <w:szCs w:val="18"/>
                <w:lang w:eastAsia="es-SV"/>
              </w:rPr>
              <w:t>467</w:t>
            </w:r>
            <w:r w:rsidR="00BC3D4D">
              <w:rPr>
                <w:rFonts w:ascii="Arial" w:hAnsi="Arial" w:eastAsia="Times New Roman" w:cs="Arial"/>
                <w:sz w:val="18"/>
                <w:szCs w:val="18"/>
                <w:lang w:eastAsia="es-SV"/>
              </w:rPr>
              <w:t>,</w:t>
            </w:r>
            <w:r w:rsidRPr="0032511F">
              <w:rPr>
                <w:rFonts w:ascii="Arial" w:hAnsi="Arial" w:eastAsia="Times New Roman" w:cs="Arial"/>
                <w:sz w:val="18"/>
                <w:szCs w:val="18"/>
                <w:lang w:eastAsia="es-SV"/>
              </w:rPr>
              <w:t>82</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5488D1C6" w14:textId="5E72662D">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0</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2%</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1FE477A4" w14:textId="763614BF">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4</w:t>
            </w:r>
            <w:r w:rsidR="008D718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591</w:t>
            </w:r>
            <w:r w:rsidR="008D718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57</w:t>
            </w:r>
          </w:p>
        </w:tc>
      </w:tr>
      <w:tr w:rsidRPr="0032511F" w:rsidR="002F03B1" w:rsidTr="00EA70D4" w14:paraId="7FB18534" w14:textId="77777777">
        <w:trPr>
          <w:trHeight w:val="260"/>
          <w:jc w:val="center"/>
        </w:trPr>
        <w:tc>
          <w:tcPr>
            <w:tcW w:w="1822" w:type="pct"/>
            <w:tcBorders>
              <w:top w:val="nil"/>
              <w:left w:val="single" w:color="auto" w:sz="4" w:space="0"/>
              <w:bottom w:val="single" w:color="auto" w:sz="4" w:space="0"/>
              <w:right w:val="single" w:color="auto" w:sz="4" w:space="0"/>
            </w:tcBorders>
            <w:shd w:val="clear" w:color="auto" w:fill="auto"/>
            <w:noWrap/>
            <w:vAlign w:val="center"/>
            <w:hideMark/>
          </w:tcPr>
          <w:p w:rsidRPr="0032511F" w:rsidR="002F03B1" w:rsidP="002F03B1" w:rsidRDefault="002F03B1" w14:paraId="02C9FD72" w14:textId="77777777">
            <w:pPr>
              <w:spacing w:after="0" w:line="240" w:lineRule="auto"/>
              <w:rPr>
                <w:rFonts w:ascii="Arial" w:hAnsi="Arial" w:eastAsia="Times New Roman" w:cs="Arial"/>
                <w:sz w:val="18"/>
                <w:szCs w:val="18"/>
                <w:lang w:eastAsia="es-SV"/>
              </w:rPr>
            </w:pPr>
            <w:proofErr w:type="spellStart"/>
            <w:r w:rsidRPr="0032511F">
              <w:rPr>
                <w:rFonts w:ascii="Arial" w:hAnsi="Arial" w:eastAsia="Times New Roman" w:cs="Arial"/>
                <w:sz w:val="18"/>
                <w:szCs w:val="18"/>
                <w:lang w:eastAsia="es-SV"/>
              </w:rPr>
              <w:t>Comedica</w:t>
            </w:r>
            <w:proofErr w:type="spellEnd"/>
          </w:p>
        </w:tc>
        <w:tc>
          <w:tcPr>
            <w:tcW w:w="731"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1A0CBEA1" w14:textId="1E670655">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186</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75F9F384" w14:textId="0F665370">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2%</w:t>
            </w:r>
          </w:p>
        </w:tc>
        <w:tc>
          <w:tcPr>
            <w:tcW w:w="782"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10FFF54F" w14:textId="419CD656">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106</w:t>
            </w:r>
            <w:r w:rsidR="00BC3D4D">
              <w:rPr>
                <w:rFonts w:ascii="Arial" w:hAnsi="Arial" w:eastAsia="Times New Roman" w:cs="Arial"/>
                <w:sz w:val="18"/>
                <w:szCs w:val="18"/>
                <w:lang w:eastAsia="es-SV"/>
              </w:rPr>
              <w:t>.</w:t>
            </w:r>
            <w:r w:rsidRPr="0032511F">
              <w:rPr>
                <w:rFonts w:ascii="Arial" w:hAnsi="Arial" w:eastAsia="Times New Roman" w:cs="Arial"/>
                <w:sz w:val="18"/>
                <w:szCs w:val="18"/>
                <w:lang w:eastAsia="es-SV"/>
              </w:rPr>
              <w:t>530</w:t>
            </w:r>
            <w:r w:rsidR="00BC3D4D">
              <w:rPr>
                <w:rFonts w:ascii="Arial" w:hAnsi="Arial" w:eastAsia="Times New Roman" w:cs="Arial"/>
                <w:sz w:val="18"/>
                <w:szCs w:val="18"/>
                <w:lang w:eastAsia="es-SV"/>
              </w:rPr>
              <w:t>,</w:t>
            </w:r>
            <w:r w:rsidRPr="0032511F">
              <w:rPr>
                <w:rFonts w:ascii="Arial" w:hAnsi="Arial" w:eastAsia="Times New Roman" w:cs="Arial"/>
                <w:sz w:val="18"/>
                <w:szCs w:val="18"/>
                <w:lang w:eastAsia="es-SV"/>
              </w:rPr>
              <w:t>31</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46728FF8" w14:textId="15A51A4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7%</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340A06BE" w14:textId="1ECF2E3A">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48</w:t>
            </w:r>
            <w:r w:rsidR="008D718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732</w:t>
            </w:r>
            <w:r w:rsidR="008D718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99</w:t>
            </w:r>
          </w:p>
        </w:tc>
      </w:tr>
      <w:tr w:rsidRPr="0032511F" w:rsidR="002F03B1" w:rsidTr="00EA70D4" w14:paraId="6F512012" w14:textId="77777777">
        <w:trPr>
          <w:trHeight w:val="350"/>
          <w:jc w:val="center"/>
        </w:trPr>
        <w:tc>
          <w:tcPr>
            <w:tcW w:w="1822" w:type="pct"/>
            <w:tcBorders>
              <w:top w:val="nil"/>
              <w:left w:val="single" w:color="auto" w:sz="4" w:space="0"/>
              <w:bottom w:val="single" w:color="auto" w:sz="4" w:space="0"/>
              <w:right w:val="single" w:color="auto" w:sz="4" w:space="0"/>
            </w:tcBorders>
            <w:shd w:val="clear" w:color="auto" w:fill="auto"/>
            <w:noWrap/>
            <w:vAlign w:val="center"/>
            <w:hideMark/>
          </w:tcPr>
          <w:p w:rsidRPr="0032511F" w:rsidR="002F03B1" w:rsidP="002F03B1" w:rsidRDefault="00EA70D4" w14:paraId="58502874" w14:textId="64FA1A61">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Banco de</w:t>
            </w:r>
            <w:r w:rsidRPr="0032511F" w:rsidR="002F03B1">
              <w:rPr>
                <w:rFonts w:ascii="Arial" w:hAnsi="Arial" w:eastAsia="Times New Roman" w:cs="Arial"/>
                <w:sz w:val="18"/>
                <w:szCs w:val="18"/>
                <w:lang w:eastAsia="es-SV"/>
              </w:rPr>
              <w:t xml:space="preserve"> Fomento Agropecuario</w:t>
            </w:r>
          </w:p>
        </w:tc>
        <w:tc>
          <w:tcPr>
            <w:tcW w:w="731"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162CE10E" w14:textId="23E4E83D">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097</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52C293AD" w14:textId="65F1A6D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2%</w:t>
            </w:r>
          </w:p>
        </w:tc>
        <w:tc>
          <w:tcPr>
            <w:tcW w:w="782"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0DA83987" w14:textId="68721653">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15</w:t>
            </w:r>
            <w:r w:rsidR="00BC3D4D">
              <w:rPr>
                <w:rFonts w:ascii="Arial" w:hAnsi="Arial" w:eastAsia="Times New Roman" w:cs="Arial"/>
                <w:sz w:val="18"/>
                <w:szCs w:val="18"/>
                <w:lang w:eastAsia="es-SV"/>
              </w:rPr>
              <w:t>.</w:t>
            </w:r>
            <w:r w:rsidRPr="0032511F">
              <w:rPr>
                <w:rFonts w:ascii="Arial" w:hAnsi="Arial" w:eastAsia="Times New Roman" w:cs="Arial"/>
                <w:sz w:val="18"/>
                <w:szCs w:val="18"/>
                <w:lang w:eastAsia="es-SV"/>
              </w:rPr>
              <w:t>574</w:t>
            </w:r>
            <w:r w:rsidR="00BC3D4D">
              <w:rPr>
                <w:rFonts w:ascii="Arial" w:hAnsi="Arial" w:eastAsia="Times New Roman" w:cs="Arial"/>
                <w:sz w:val="18"/>
                <w:szCs w:val="18"/>
                <w:lang w:eastAsia="es-SV"/>
              </w:rPr>
              <w:t>,</w:t>
            </w:r>
            <w:r w:rsidRPr="0032511F">
              <w:rPr>
                <w:rFonts w:ascii="Arial" w:hAnsi="Arial" w:eastAsia="Times New Roman" w:cs="Arial"/>
                <w:sz w:val="18"/>
                <w:szCs w:val="18"/>
                <w:lang w:eastAsia="es-SV"/>
              </w:rPr>
              <w:t>61</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09B3B62E" w14:textId="34D8D083">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0</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4%</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4E60B6C9" w14:textId="0CB32469">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7</w:t>
            </w:r>
            <w:r w:rsidR="008D718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427</w:t>
            </w:r>
            <w:r w:rsidR="008D718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09</w:t>
            </w:r>
          </w:p>
        </w:tc>
      </w:tr>
      <w:tr w:rsidRPr="0032511F" w:rsidR="002F03B1" w:rsidTr="00EA70D4" w14:paraId="049349E8" w14:textId="77777777">
        <w:trPr>
          <w:trHeight w:val="269"/>
          <w:jc w:val="center"/>
        </w:trPr>
        <w:tc>
          <w:tcPr>
            <w:tcW w:w="1822" w:type="pct"/>
            <w:tcBorders>
              <w:top w:val="nil"/>
              <w:left w:val="single" w:color="auto" w:sz="4" w:space="0"/>
              <w:bottom w:val="single" w:color="auto" w:sz="4" w:space="0"/>
              <w:right w:val="single" w:color="auto" w:sz="4" w:space="0"/>
            </w:tcBorders>
            <w:shd w:val="clear" w:color="auto" w:fill="auto"/>
            <w:noWrap/>
            <w:vAlign w:val="center"/>
            <w:hideMark/>
          </w:tcPr>
          <w:p w:rsidRPr="0032511F" w:rsidR="002F03B1" w:rsidP="002F03B1" w:rsidRDefault="002F03B1" w14:paraId="164857B1"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 xml:space="preserve">Banco </w:t>
            </w:r>
            <w:proofErr w:type="spellStart"/>
            <w:r w:rsidRPr="0032511F">
              <w:rPr>
                <w:rFonts w:ascii="Arial" w:hAnsi="Arial" w:eastAsia="Times New Roman" w:cs="Arial"/>
                <w:sz w:val="18"/>
                <w:szCs w:val="18"/>
                <w:lang w:eastAsia="es-SV"/>
              </w:rPr>
              <w:t>Promérica</w:t>
            </w:r>
            <w:proofErr w:type="spellEnd"/>
          </w:p>
        </w:tc>
        <w:tc>
          <w:tcPr>
            <w:tcW w:w="731"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7058CC3B" w14:textId="799E183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819</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199FF6B6" w14:textId="2069DFE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0%</w:t>
            </w:r>
          </w:p>
        </w:tc>
        <w:tc>
          <w:tcPr>
            <w:tcW w:w="782"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28C86096" w14:textId="01D9DAFA">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138</w:t>
            </w:r>
            <w:r w:rsidR="00BC3D4D">
              <w:rPr>
                <w:rFonts w:ascii="Arial" w:hAnsi="Arial" w:eastAsia="Times New Roman" w:cs="Arial"/>
                <w:sz w:val="18"/>
                <w:szCs w:val="18"/>
                <w:lang w:eastAsia="es-SV"/>
              </w:rPr>
              <w:t>.</w:t>
            </w:r>
            <w:r w:rsidRPr="0032511F">
              <w:rPr>
                <w:rFonts w:ascii="Arial" w:hAnsi="Arial" w:eastAsia="Times New Roman" w:cs="Arial"/>
                <w:sz w:val="18"/>
                <w:szCs w:val="18"/>
                <w:lang w:eastAsia="es-SV"/>
              </w:rPr>
              <w:t>719</w:t>
            </w:r>
            <w:r w:rsidR="00BC3D4D">
              <w:rPr>
                <w:rFonts w:ascii="Arial" w:hAnsi="Arial" w:eastAsia="Times New Roman" w:cs="Arial"/>
                <w:sz w:val="18"/>
                <w:szCs w:val="18"/>
                <w:lang w:eastAsia="es-SV"/>
              </w:rPr>
              <w:t>,</w:t>
            </w:r>
            <w:r w:rsidRPr="0032511F">
              <w:rPr>
                <w:rFonts w:ascii="Arial" w:hAnsi="Arial" w:eastAsia="Times New Roman" w:cs="Arial"/>
                <w:sz w:val="18"/>
                <w:szCs w:val="18"/>
                <w:lang w:eastAsia="es-SV"/>
              </w:rPr>
              <w:t>75</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2A2E2460" w14:textId="064DDFC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6%</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47362E19" w14:textId="12E46E48">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76</w:t>
            </w:r>
            <w:r w:rsidR="008D718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261</w:t>
            </w:r>
            <w:r w:rsidR="008D718D">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55</w:t>
            </w:r>
          </w:p>
        </w:tc>
      </w:tr>
      <w:tr w:rsidRPr="0032511F" w:rsidR="002F03B1" w:rsidTr="00EA70D4" w14:paraId="4C4638EB" w14:textId="77777777">
        <w:trPr>
          <w:trHeight w:val="350"/>
          <w:jc w:val="center"/>
        </w:trPr>
        <w:tc>
          <w:tcPr>
            <w:tcW w:w="1822" w:type="pct"/>
            <w:tcBorders>
              <w:top w:val="nil"/>
              <w:left w:val="single" w:color="auto" w:sz="4" w:space="0"/>
              <w:bottom w:val="single" w:color="auto" w:sz="4" w:space="0"/>
              <w:right w:val="single" w:color="auto" w:sz="4" w:space="0"/>
            </w:tcBorders>
            <w:shd w:val="clear" w:color="auto" w:fill="auto"/>
            <w:noWrap/>
            <w:vAlign w:val="center"/>
            <w:hideMark/>
          </w:tcPr>
          <w:p w:rsidRPr="0032511F" w:rsidR="002F03B1" w:rsidP="002F03B1" w:rsidRDefault="002F03B1" w14:paraId="2186EE13"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Primer Banco de los Trabajadores</w:t>
            </w:r>
          </w:p>
        </w:tc>
        <w:tc>
          <w:tcPr>
            <w:tcW w:w="731"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5068097F" w14:textId="7777777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504</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424128A0" w14:textId="01295772">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0</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3%</w:t>
            </w:r>
          </w:p>
        </w:tc>
        <w:tc>
          <w:tcPr>
            <w:tcW w:w="782" w:type="pct"/>
            <w:tcBorders>
              <w:top w:val="nil"/>
              <w:left w:val="nil"/>
              <w:bottom w:val="single" w:color="auto" w:sz="4" w:space="0"/>
              <w:right w:val="single" w:color="auto" w:sz="4" w:space="0"/>
            </w:tcBorders>
            <w:shd w:val="clear" w:color="auto" w:fill="auto"/>
            <w:noWrap/>
            <w:vAlign w:val="center"/>
            <w:hideMark/>
          </w:tcPr>
          <w:p w:rsidRPr="0032511F" w:rsidR="002F03B1" w:rsidP="002F03B1" w:rsidRDefault="002F03B1" w14:paraId="58C053A5" w14:textId="235FD866">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3</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394</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69</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6555D2C1" w14:textId="1A80C67C">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0</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1%</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288332F2" w14:textId="746181BE">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6</w:t>
            </w:r>
            <w:r w:rsidR="00851641">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735</w:t>
            </w:r>
            <w:r w:rsidR="00851641">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50</w:t>
            </w:r>
          </w:p>
        </w:tc>
      </w:tr>
      <w:tr w:rsidRPr="0032511F" w:rsidR="002F03B1" w:rsidTr="00EA70D4" w14:paraId="0738E078" w14:textId="77777777">
        <w:trPr>
          <w:trHeight w:val="350"/>
          <w:jc w:val="center"/>
        </w:trPr>
        <w:tc>
          <w:tcPr>
            <w:tcW w:w="1822" w:type="pct"/>
            <w:tcBorders>
              <w:top w:val="nil"/>
              <w:left w:val="single" w:color="auto" w:sz="4" w:space="0"/>
              <w:bottom w:val="single" w:color="auto" w:sz="4" w:space="0"/>
              <w:right w:val="single" w:color="auto" w:sz="4" w:space="0"/>
            </w:tcBorders>
            <w:shd w:val="clear" w:color="000000" w:fill="FFFFFF"/>
            <w:noWrap/>
            <w:vAlign w:val="center"/>
            <w:hideMark/>
          </w:tcPr>
          <w:p w:rsidRPr="0032511F" w:rsidR="002F03B1" w:rsidP="002F03B1" w:rsidRDefault="002F03B1" w14:paraId="3D026264"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Banco G &amp; T Continental El Salvador</w:t>
            </w:r>
          </w:p>
        </w:tc>
        <w:tc>
          <w:tcPr>
            <w:tcW w:w="731"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1F857A0F" w14:textId="7777777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145</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5EA86238" w14:textId="37AEBB85">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0</w:t>
            </w:r>
            <w:r w:rsidR="00EB3CA2">
              <w:rPr>
                <w:rFonts w:ascii="Arial" w:hAnsi="Arial" w:eastAsia="Times New Roman" w:cs="Arial"/>
                <w:sz w:val="18"/>
                <w:szCs w:val="18"/>
                <w:lang w:eastAsia="es-SV"/>
              </w:rPr>
              <w:t>,</w:t>
            </w:r>
            <w:r w:rsidRPr="0032511F">
              <w:rPr>
                <w:rFonts w:ascii="Arial" w:hAnsi="Arial" w:eastAsia="Times New Roman" w:cs="Arial"/>
                <w:sz w:val="18"/>
                <w:szCs w:val="18"/>
                <w:lang w:eastAsia="es-SV"/>
              </w:rPr>
              <w:t>1%</w:t>
            </w:r>
          </w:p>
        </w:tc>
        <w:tc>
          <w:tcPr>
            <w:tcW w:w="782"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7CCCF733" w14:textId="1088100C">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15</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399</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95</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5E345F34" w14:textId="0BEA44B5">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0</w:t>
            </w:r>
            <w:r w:rsidR="00A60FC2">
              <w:rPr>
                <w:rFonts w:ascii="Arial" w:hAnsi="Arial" w:eastAsia="Times New Roman" w:cs="Arial"/>
                <w:sz w:val="18"/>
                <w:szCs w:val="18"/>
                <w:lang w:eastAsia="es-SV"/>
              </w:rPr>
              <w:t>,</w:t>
            </w:r>
            <w:r w:rsidRPr="0032511F">
              <w:rPr>
                <w:rFonts w:ascii="Arial" w:hAnsi="Arial" w:eastAsia="Times New Roman" w:cs="Arial"/>
                <w:sz w:val="18"/>
                <w:szCs w:val="18"/>
                <w:lang w:eastAsia="es-SV"/>
              </w:rPr>
              <w:t>4%</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1A353B83" w14:textId="629F4020">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106</w:t>
            </w:r>
            <w:r w:rsidR="00851641">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206</w:t>
            </w:r>
            <w:r w:rsidR="00851641">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57</w:t>
            </w:r>
          </w:p>
        </w:tc>
      </w:tr>
      <w:tr w:rsidRPr="0032511F" w:rsidR="002F03B1" w:rsidTr="00EA70D4" w14:paraId="57CE83A8" w14:textId="77777777">
        <w:trPr>
          <w:trHeight w:val="260"/>
          <w:jc w:val="center"/>
        </w:trPr>
        <w:tc>
          <w:tcPr>
            <w:tcW w:w="1822" w:type="pct"/>
            <w:tcBorders>
              <w:top w:val="nil"/>
              <w:left w:val="single" w:color="auto" w:sz="4" w:space="0"/>
              <w:bottom w:val="single" w:color="auto" w:sz="4" w:space="0"/>
              <w:right w:val="single" w:color="auto" w:sz="4" w:space="0"/>
            </w:tcBorders>
            <w:shd w:val="clear" w:color="000000" w:fill="FFFFFF"/>
            <w:noWrap/>
            <w:vAlign w:val="center"/>
            <w:hideMark/>
          </w:tcPr>
          <w:p w:rsidRPr="0032511F" w:rsidR="002F03B1" w:rsidP="002F03B1" w:rsidRDefault="002F03B1" w14:paraId="2C0800D6"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Banco Industrial El Salvador</w:t>
            </w:r>
          </w:p>
        </w:tc>
        <w:tc>
          <w:tcPr>
            <w:tcW w:w="731"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4A14CFC8" w14:textId="7777777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140</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1B7414C8" w14:textId="7777777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0.1%</w:t>
            </w:r>
          </w:p>
        </w:tc>
        <w:tc>
          <w:tcPr>
            <w:tcW w:w="782"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4F4E106D" w14:textId="67DAA368">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18</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400</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76</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00D9024A" w14:textId="6ECE9F69">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0</w:t>
            </w:r>
            <w:r w:rsidR="00A60FC2">
              <w:rPr>
                <w:rFonts w:ascii="Arial" w:hAnsi="Arial" w:eastAsia="Times New Roman" w:cs="Arial"/>
                <w:sz w:val="18"/>
                <w:szCs w:val="18"/>
                <w:lang w:eastAsia="es-SV"/>
              </w:rPr>
              <w:t>,</w:t>
            </w:r>
            <w:r w:rsidRPr="0032511F">
              <w:rPr>
                <w:rFonts w:ascii="Arial" w:hAnsi="Arial" w:eastAsia="Times New Roman" w:cs="Arial"/>
                <w:sz w:val="18"/>
                <w:szCs w:val="18"/>
                <w:lang w:eastAsia="es-SV"/>
              </w:rPr>
              <w:t>5%</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20397872" w14:textId="4AF95029">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131</w:t>
            </w:r>
            <w:r w:rsidR="00851641">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433</w:t>
            </w:r>
            <w:r w:rsidR="00851641">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98</w:t>
            </w:r>
          </w:p>
        </w:tc>
      </w:tr>
      <w:tr w:rsidRPr="0032511F" w:rsidR="002F03B1" w:rsidTr="00EA70D4" w14:paraId="4578D277" w14:textId="77777777">
        <w:trPr>
          <w:trHeight w:val="260"/>
          <w:jc w:val="center"/>
        </w:trPr>
        <w:tc>
          <w:tcPr>
            <w:tcW w:w="1822" w:type="pct"/>
            <w:tcBorders>
              <w:top w:val="nil"/>
              <w:left w:val="single" w:color="auto" w:sz="4" w:space="0"/>
              <w:bottom w:val="single" w:color="auto" w:sz="4" w:space="0"/>
              <w:right w:val="single" w:color="auto" w:sz="4" w:space="0"/>
            </w:tcBorders>
            <w:shd w:val="clear" w:color="000000" w:fill="FFFFFF"/>
            <w:noWrap/>
            <w:vAlign w:val="center"/>
            <w:hideMark/>
          </w:tcPr>
          <w:p w:rsidRPr="0032511F" w:rsidR="002F03B1" w:rsidP="002F03B1" w:rsidRDefault="002F03B1" w14:paraId="289DABFF"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Banco Azul</w:t>
            </w:r>
          </w:p>
        </w:tc>
        <w:tc>
          <w:tcPr>
            <w:tcW w:w="731"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43DC1D45" w14:textId="7777777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114</w:t>
            </w:r>
          </w:p>
        </w:tc>
        <w:tc>
          <w:tcPr>
            <w:tcW w:w="46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6E5BAC6A" w14:textId="15C8F6F5">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0</w:t>
            </w:r>
            <w:r w:rsidR="005C109E">
              <w:rPr>
                <w:rFonts w:ascii="Arial" w:hAnsi="Arial" w:eastAsia="Times New Roman" w:cs="Arial"/>
                <w:sz w:val="18"/>
                <w:szCs w:val="18"/>
                <w:lang w:eastAsia="es-SV"/>
              </w:rPr>
              <w:t>,</w:t>
            </w:r>
            <w:r w:rsidRPr="0032511F">
              <w:rPr>
                <w:rFonts w:ascii="Arial" w:hAnsi="Arial" w:eastAsia="Times New Roman" w:cs="Arial"/>
                <w:sz w:val="18"/>
                <w:szCs w:val="18"/>
                <w:lang w:eastAsia="es-SV"/>
              </w:rPr>
              <w:t>1%</w:t>
            </w:r>
          </w:p>
        </w:tc>
        <w:tc>
          <w:tcPr>
            <w:tcW w:w="782"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4DF2623B" w14:textId="2A85B3F4">
            <w:pPr>
              <w:spacing w:after="0" w:line="240" w:lineRule="auto"/>
              <w:jc w:val="right"/>
              <w:rPr>
                <w:rFonts w:ascii="Arial" w:hAnsi="Arial" w:eastAsia="Times New Roman" w:cs="Arial"/>
                <w:sz w:val="18"/>
                <w:szCs w:val="18"/>
                <w:lang w:eastAsia="es-SV"/>
              </w:rPr>
            </w:pPr>
            <w:r w:rsidRPr="0032511F">
              <w:rPr>
                <w:rFonts w:ascii="Arial" w:hAnsi="Arial" w:eastAsia="Times New Roman" w:cs="Arial"/>
                <w:sz w:val="18"/>
                <w:szCs w:val="18"/>
                <w:lang w:eastAsia="es-SV"/>
              </w:rPr>
              <w:t>9</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682</w:t>
            </w:r>
            <w:r w:rsidR="002F418F">
              <w:rPr>
                <w:rFonts w:ascii="Arial" w:hAnsi="Arial" w:eastAsia="Times New Roman" w:cs="Arial"/>
                <w:sz w:val="18"/>
                <w:szCs w:val="18"/>
                <w:lang w:eastAsia="es-SV"/>
              </w:rPr>
              <w:t>,</w:t>
            </w:r>
            <w:r w:rsidRPr="0032511F">
              <w:rPr>
                <w:rFonts w:ascii="Arial" w:hAnsi="Arial" w:eastAsia="Times New Roman" w:cs="Arial"/>
                <w:sz w:val="18"/>
                <w:szCs w:val="18"/>
                <w:lang w:eastAsia="es-SV"/>
              </w:rPr>
              <w:t>02</w:t>
            </w:r>
          </w:p>
        </w:tc>
        <w:tc>
          <w:tcPr>
            <w:tcW w:w="457"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66AF57DC" w14:textId="63EB1845">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0</w:t>
            </w:r>
            <w:r w:rsidR="00A60FC2">
              <w:rPr>
                <w:rFonts w:ascii="Arial" w:hAnsi="Arial" w:eastAsia="Times New Roman" w:cs="Arial"/>
                <w:sz w:val="18"/>
                <w:szCs w:val="18"/>
                <w:lang w:eastAsia="es-SV"/>
              </w:rPr>
              <w:t>,</w:t>
            </w:r>
            <w:r w:rsidRPr="0032511F">
              <w:rPr>
                <w:rFonts w:ascii="Arial" w:hAnsi="Arial" w:eastAsia="Times New Roman" w:cs="Arial"/>
                <w:sz w:val="18"/>
                <w:szCs w:val="18"/>
                <w:lang w:eastAsia="es-SV"/>
              </w:rPr>
              <w:t>2%</w:t>
            </w:r>
          </w:p>
        </w:tc>
        <w:tc>
          <w:tcPr>
            <w:tcW w:w="739" w:type="pct"/>
            <w:tcBorders>
              <w:top w:val="nil"/>
              <w:left w:val="nil"/>
              <w:bottom w:val="single" w:color="auto" w:sz="4" w:space="0"/>
              <w:right w:val="single" w:color="auto" w:sz="4" w:space="0"/>
            </w:tcBorders>
            <w:shd w:val="clear" w:color="000000" w:fill="FFFFFF"/>
            <w:noWrap/>
            <w:vAlign w:val="center"/>
            <w:hideMark/>
          </w:tcPr>
          <w:p w:rsidRPr="0032511F" w:rsidR="002F03B1" w:rsidP="002F03B1" w:rsidRDefault="002F03B1" w14:paraId="6FCA785F" w14:textId="5F4E23A1">
            <w:pPr>
              <w:spacing w:after="0" w:line="240" w:lineRule="auto"/>
              <w:jc w:val="right"/>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84</w:t>
            </w:r>
            <w:r w:rsidR="00851641">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930</w:t>
            </w:r>
            <w:r w:rsidR="00851641">
              <w:rPr>
                <w:rFonts w:ascii="Arial" w:hAnsi="Arial" w:eastAsia="Times New Roman" w:cs="Arial"/>
                <w:color w:val="000000"/>
                <w:sz w:val="18"/>
                <w:szCs w:val="18"/>
                <w:lang w:eastAsia="es-SV"/>
              </w:rPr>
              <w:t>,</w:t>
            </w:r>
            <w:r w:rsidRPr="0032511F">
              <w:rPr>
                <w:rFonts w:ascii="Arial" w:hAnsi="Arial" w:eastAsia="Times New Roman" w:cs="Arial"/>
                <w:color w:val="000000"/>
                <w:sz w:val="18"/>
                <w:szCs w:val="18"/>
                <w:lang w:eastAsia="es-SV"/>
              </w:rPr>
              <w:t>01</w:t>
            </w:r>
          </w:p>
        </w:tc>
      </w:tr>
      <w:tr w:rsidRPr="0032511F" w:rsidR="002F03B1" w:rsidTr="00EA70D4" w14:paraId="3388E615" w14:textId="77777777">
        <w:trPr>
          <w:trHeight w:val="197"/>
          <w:jc w:val="center"/>
        </w:trPr>
        <w:tc>
          <w:tcPr>
            <w:tcW w:w="1822" w:type="pct"/>
            <w:tcBorders>
              <w:top w:val="nil"/>
              <w:left w:val="single" w:color="auto" w:sz="4" w:space="0"/>
              <w:bottom w:val="single" w:color="auto" w:sz="4" w:space="0"/>
              <w:right w:val="single" w:color="auto" w:sz="4" w:space="0"/>
            </w:tcBorders>
            <w:shd w:val="clear" w:color="000000" w:fill="333F4F"/>
            <w:noWrap/>
            <w:vAlign w:val="center"/>
            <w:hideMark/>
          </w:tcPr>
          <w:p w:rsidRPr="0032511F" w:rsidR="002F03B1" w:rsidP="00196555" w:rsidRDefault="002F03B1" w14:paraId="472F061B" w14:textId="77777777">
            <w:pPr>
              <w:spacing w:after="0" w:line="240" w:lineRule="auto"/>
              <w:jc w:val="center"/>
              <w:rPr>
                <w:rFonts w:ascii="Arial" w:hAnsi="Arial" w:eastAsia="Times New Roman" w:cs="Arial"/>
                <w:b/>
                <w:bCs/>
                <w:color w:val="FFFFFF"/>
                <w:sz w:val="18"/>
                <w:szCs w:val="18"/>
                <w:lang w:eastAsia="es-SV"/>
              </w:rPr>
            </w:pPr>
            <w:r w:rsidRPr="0032511F">
              <w:rPr>
                <w:rFonts w:ascii="Arial" w:hAnsi="Arial" w:eastAsia="Times New Roman" w:cs="Arial"/>
                <w:b/>
                <w:bCs/>
                <w:color w:val="FFFFFF"/>
                <w:sz w:val="18"/>
                <w:szCs w:val="18"/>
                <w:lang w:eastAsia="es-SV"/>
              </w:rPr>
              <w:t>TOTAL</w:t>
            </w:r>
          </w:p>
        </w:tc>
        <w:tc>
          <w:tcPr>
            <w:tcW w:w="731" w:type="pct"/>
            <w:tcBorders>
              <w:top w:val="nil"/>
              <w:left w:val="nil"/>
              <w:bottom w:val="single" w:color="auto" w:sz="4" w:space="0"/>
              <w:right w:val="single" w:color="auto" w:sz="4" w:space="0"/>
            </w:tcBorders>
            <w:shd w:val="clear" w:color="000000" w:fill="333F4F"/>
            <w:noWrap/>
            <w:vAlign w:val="center"/>
            <w:hideMark/>
          </w:tcPr>
          <w:p w:rsidRPr="0032511F" w:rsidR="002F03B1" w:rsidP="00196555" w:rsidRDefault="002F03B1" w14:paraId="720A22B5" w14:textId="6ED6561F">
            <w:pPr>
              <w:spacing w:after="0" w:line="240" w:lineRule="auto"/>
              <w:jc w:val="center"/>
              <w:rPr>
                <w:rFonts w:ascii="Arial" w:hAnsi="Arial" w:eastAsia="Times New Roman" w:cs="Arial"/>
                <w:b/>
                <w:bCs/>
                <w:color w:val="FFFFFF"/>
                <w:sz w:val="18"/>
                <w:szCs w:val="18"/>
                <w:lang w:eastAsia="es-SV"/>
              </w:rPr>
            </w:pPr>
            <w:r w:rsidRPr="0032511F">
              <w:rPr>
                <w:rFonts w:ascii="Arial" w:hAnsi="Arial" w:eastAsia="Times New Roman" w:cs="Arial"/>
                <w:b/>
                <w:bCs/>
                <w:color w:val="FFFFFF"/>
                <w:sz w:val="18"/>
                <w:szCs w:val="18"/>
                <w:lang w:eastAsia="es-SV"/>
              </w:rPr>
              <w:t>179</w:t>
            </w:r>
            <w:r w:rsidR="00A650AE">
              <w:rPr>
                <w:rFonts w:ascii="Arial" w:hAnsi="Arial" w:eastAsia="Times New Roman" w:cs="Arial"/>
                <w:b/>
                <w:bCs/>
                <w:color w:val="FFFFFF"/>
                <w:sz w:val="18"/>
                <w:szCs w:val="18"/>
                <w:lang w:eastAsia="es-SV"/>
              </w:rPr>
              <w:t>.</w:t>
            </w:r>
            <w:r w:rsidRPr="0032511F">
              <w:rPr>
                <w:rFonts w:ascii="Arial" w:hAnsi="Arial" w:eastAsia="Times New Roman" w:cs="Arial"/>
                <w:b/>
                <w:bCs/>
                <w:color w:val="FFFFFF"/>
                <w:sz w:val="18"/>
                <w:szCs w:val="18"/>
                <w:lang w:eastAsia="es-SV"/>
              </w:rPr>
              <w:t>872</w:t>
            </w:r>
          </w:p>
        </w:tc>
        <w:tc>
          <w:tcPr>
            <w:tcW w:w="469" w:type="pct"/>
            <w:tcBorders>
              <w:top w:val="nil"/>
              <w:left w:val="nil"/>
              <w:bottom w:val="single" w:color="auto" w:sz="4" w:space="0"/>
              <w:right w:val="single" w:color="auto" w:sz="4" w:space="0"/>
            </w:tcBorders>
            <w:shd w:val="clear" w:color="000000" w:fill="333F4F"/>
            <w:noWrap/>
            <w:vAlign w:val="center"/>
            <w:hideMark/>
          </w:tcPr>
          <w:p w:rsidRPr="0032511F" w:rsidR="002F03B1" w:rsidP="00196555" w:rsidRDefault="002F03B1" w14:paraId="09E25EFC" w14:textId="549D63B3">
            <w:pPr>
              <w:spacing w:after="0" w:line="240" w:lineRule="auto"/>
              <w:jc w:val="center"/>
              <w:rPr>
                <w:rFonts w:ascii="Arial" w:hAnsi="Arial" w:eastAsia="Times New Roman" w:cs="Arial"/>
                <w:b/>
                <w:bCs/>
                <w:color w:val="FFFFFF"/>
                <w:sz w:val="18"/>
                <w:szCs w:val="18"/>
                <w:lang w:eastAsia="es-SV"/>
              </w:rPr>
            </w:pPr>
            <w:r w:rsidRPr="0032511F">
              <w:rPr>
                <w:rFonts w:ascii="Arial" w:hAnsi="Arial" w:eastAsia="Times New Roman" w:cs="Arial"/>
                <w:b/>
                <w:bCs/>
                <w:color w:val="FFFFFF"/>
                <w:sz w:val="18"/>
                <w:szCs w:val="18"/>
                <w:lang w:eastAsia="es-SV"/>
              </w:rPr>
              <w:t>100</w:t>
            </w:r>
            <w:r w:rsidR="005C109E">
              <w:rPr>
                <w:rFonts w:ascii="Arial" w:hAnsi="Arial" w:eastAsia="Times New Roman" w:cs="Arial"/>
                <w:b/>
                <w:bCs/>
                <w:color w:val="FFFFFF"/>
                <w:sz w:val="18"/>
                <w:szCs w:val="18"/>
                <w:lang w:eastAsia="es-SV"/>
              </w:rPr>
              <w:t>,</w:t>
            </w:r>
            <w:r w:rsidRPr="0032511F">
              <w:rPr>
                <w:rFonts w:ascii="Arial" w:hAnsi="Arial" w:eastAsia="Times New Roman" w:cs="Arial"/>
                <w:b/>
                <w:bCs/>
                <w:color w:val="FFFFFF"/>
                <w:sz w:val="18"/>
                <w:szCs w:val="18"/>
                <w:lang w:eastAsia="es-SV"/>
              </w:rPr>
              <w:t>0%</w:t>
            </w:r>
          </w:p>
        </w:tc>
        <w:tc>
          <w:tcPr>
            <w:tcW w:w="782" w:type="pct"/>
            <w:tcBorders>
              <w:top w:val="nil"/>
              <w:left w:val="nil"/>
              <w:bottom w:val="single" w:color="auto" w:sz="4" w:space="0"/>
              <w:right w:val="single" w:color="auto" w:sz="4" w:space="0"/>
            </w:tcBorders>
            <w:shd w:val="clear" w:color="000000" w:fill="333F4F"/>
            <w:noWrap/>
            <w:vAlign w:val="center"/>
            <w:hideMark/>
          </w:tcPr>
          <w:p w:rsidRPr="0032511F" w:rsidR="002F03B1" w:rsidP="00196555" w:rsidRDefault="002F03B1" w14:paraId="4C62AC4F" w14:textId="7103C870">
            <w:pPr>
              <w:spacing w:after="0" w:line="240" w:lineRule="auto"/>
              <w:jc w:val="center"/>
              <w:rPr>
                <w:rFonts w:ascii="Arial" w:hAnsi="Arial" w:eastAsia="Times New Roman" w:cs="Arial"/>
                <w:b/>
                <w:bCs/>
                <w:color w:val="FFFFFF"/>
                <w:sz w:val="18"/>
                <w:szCs w:val="18"/>
                <w:lang w:eastAsia="es-SV"/>
              </w:rPr>
            </w:pPr>
            <w:r w:rsidRPr="0032511F">
              <w:rPr>
                <w:rFonts w:ascii="Arial" w:hAnsi="Arial" w:eastAsia="Times New Roman" w:cs="Arial"/>
                <w:b/>
                <w:bCs/>
                <w:color w:val="FFFFFF"/>
                <w:sz w:val="18"/>
                <w:szCs w:val="18"/>
                <w:lang w:eastAsia="es-SV"/>
              </w:rPr>
              <w:t>3</w:t>
            </w:r>
            <w:r w:rsidR="00A60FC2">
              <w:rPr>
                <w:rFonts w:ascii="Arial" w:hAnsi="Arial" w:eastAsia="Times New Roman" w:cs="Arial"/>
                <w:b/>
                <w:bCs/>
                <w:color w:val="FFFFFF"/>
                <w:sz w:val="18"/>
                <w:szCs w:val="18"/>
                <w:lang w:eastAsia="es-SV"/>
              </w:rPr>
              <w:t>.</w:t>
            </w:r>
            <w:r w:rsidRPr="0032511F">
              <w:rPr>
                <w:rFonts w:ascii="Arial" w:hAnsi="Arial" w:eastAsia="Times New Roman" w:cs="Arial"/>
                <w:b/>
                <w:bCs/>
                <w:color w:val="FFFFFF"/>
                <w:sz w:val="18"/>
                <w:szCs w:val="18"/>
                <w:lang w:eastAsia="es-SV"/>
              </w:rPr>
              <w:t>884</w:t>
            </w:r>
            <w:r w:rsidR="00A60FC2">
              <w:rPr>
                <w:rFonts w:ascii="Arial" w:hAnsi="Arial" w:eastAsia="Times New Roman" w:cs="Arial"/>
                <w:b/>
                <w:bCs/>
                <w:color w:val="FFFFFF"/>
                <w:sz w:val="18"/>
                <w:szCs w:val="18"/>
                <w:lang w:eastAsia="es-SV"/>
              </w:rPr>
              <w:t>.</w:t>
            </w:r>
            <w:r w:rsidRPr="0032511F">
              <w:rPr>
                <w:rFonts w:ascii="Arial" w:hAnsi="Arial" w:eastAsia="Times New Roman" w:cs="Arial"/>
                <w:b/>
                <w:bCs/>
                <w:color w:val="FFFFFF"/>
                <w:sz w:val="18"/>
                <w:szCs w:val="18"/>
                <w:lang w:eastAsia="es-SV"/>
              </w:rPr>
              <w:t>531</w:t>
            </w:r>
            <w:r w:rsidR="00A60FC2">
              <w:rPr>
                <w:rFonts w:ascii="Arial" w:hAnsi="Arial" w:eastAsia="Times New Roman" w:cs="Arial"/>
                <w:b/>
                <w:bCs/>
                <w:color w:val="FFFFFF"/>
                <w:sz w:val="18"/>
                <w:szCs w:val="18"/>
                <w:lang w:eastAsia="es-SV"/>
              </w:rPr>
              <w:t>,</w:t>
            </w:r>
            <w:r w:rsidRPr="0032511F">
              <w:rPr>
                <w:rFonts w:ascii="Arial" w:hAnsi="Arial" w:eastAsia="Times New Roman" w:cs="Arial"/>
                <w:b/>
                <w:bCs/>
                <w:color w:val="FFFFFF"/>
                <w:sz w:val="18"/>
                <w:szCs w:val="18"/>
                <w:lang w:eastAsia="es-SV"/>
              </w:rPr>
              <w:t>12</w:t>
            </w:r>
          </w:p>
        </w:tc>
        <w:tc>
          <w:tcPr>
            <w:tcW w:w="457" w:type="pct"/>
            <w:tcBorders>
              <w:top w:val="nil"/>
              <w:left w:val="nil"/>
              <w:bottom w:val="single" w:color="auto" w:sz="4" w:space="0"/>
              <w:right w:val="single" w:color="auto" w:sz="4" w:space="0"/>
            </w:tcBorders>
            <w:shd w:val="clear" w:color="000000" w:fill="333F4F"/>
            <w:noWrap/>
            <w:vAlign w:val="center"/>
            <w:hideMark/>
          </w:tcPr>
          <w:p w:rsidRPr="0032511F" w:rsidR="002F03B1" w:rsidP="00196555" w:rsidRDefault="002F03B1" w14:paraId="00792679" w14:textId="50C4B58C">
            <w:pPr>
              <w:spacing w:after="0" w:line="240" w:lineRule="auto"/>
              <w:jc w:val="center"/>
              <w:rPr>
                <w:rFonts w:ascii="Arial" w:hAnsi="Arial" w:eastAsia="Times New Roman" w:cs="Arial"/>
                <w:b/>
                <w:bCs/>
                <w:color w:val="FFFFFF"/>
                <w:sz w:val="18"/>
                <w:szCs w:val="18"/>
                <w:lang w:eastAsia="es-SV"/>
              </w:rPr>
            </w:pPr>
            <w:r w:rsidRPr="0032511F">
              <w:rPr>
                <w:rFonts w:ascii="Arial" w:hAnsi="Arial" w:eastAsia="Times New Roman" w:cs="Arial"/>
                <w:b/>
                <w:bCs/>
                <w:color w:val="FFFFFF"/>
                <w:sz w:val="18"/>
                <w:szCs w:val="18"/>
                <w:lang w:eastAsia="es-SV"/>
              </w:rPr>
              <w:t>100</w:t>
            </w:r>
            <w:r w:rsidR="00A60FC2">
              <w:rPr>
                <w:rFonts w:ascii="Arial" w:hAnsi="Arial" w:eastAsia="Times New Roman" w:cs="Arial"/>
                <w:b/>
                <w:bCs/>
                <w:color w:val="FFFFFF"/>
                <w:sz w:val="18"/>
                <w:szCs w:val="18"/>
                <w:lang w:eastAsia="es-SV"/>
              </w:rPr>
              <w:t>,</w:t>
            </w:r>
            <w:r w:rsidRPr="0032511F">
              <w:rPr>
                <w:rFonts w:ascii="Arial" w:hAnsi="Arial" w:eastAsia="Times New Roman" w:cs="Arial"/>
                <w:b/>
                <w:bCs/>
                <w:color w:val="FFFFFF"/>
                <w:sz w:val="18"/>
                <w:szCs w:val="18"/>
                <w:lang w:eastAsia="es-SV"/>
              </w:rPr>
              <w:t>0%</w:t>
            </w:r>
          </w:p>
        </w:tc>
        <w:tc>
          <w:tcPr>
            <w:tcW w:w="739" w:type="pct"/>
            <w:tcBorders>
              <w:top w:val="nil"/>
              <w:left w:val="nil"/>
              <w:bottom w:val="single" w:color="auto" w:sz="4" w:space="0"/>
              <w:right w:val="single" w:color="auto" w:sz="4" w:space="0"/>
            </w:tcBorders>
            <w:shd w:val="clear" w:color="000000" w:fill="333F4F"/>
            <w:noWrap/>
            <w:vAlign w:val="center"/>
            <w:hideMark/>
          </w:tcPr>
          <w:p w:rsidRPr="0032511F" w:rsidR="002F03B1" w:rsidP="00196555" w:rsidRDefault="002F03B1" w14:paraId="42C5A648" w14:textId="3681D499">
            <w:pPr>
              <w:spacing w:after="0" w:line="240" w:lineRule="auto"/>
              <w:jc w:val="center"/>
              <w:rPr>
                <w:rFonts w:ascii="Arial" w:hAnsi="Arial" w:eastAsia="Times New Roman" w:cs="Arial"/>
                <w:b/>
                <w:bCs/>
                <w:color w:val="FFFFFF"/>
                <w:sz w:val="18"/>
                <w:szCs w:val="18"/>
                <w:lang w:eastAsia="es-SV"/>
              </w:rPr>
            </w:pPr>
            <w:r w:rsidRPr="0032511F">
              <w:rPr>
                <w:rFonts w:ascii="Arial" w:hAnsi="Arial" w:eastAsia="Times New Roman" w:cs="Arial"/>
                <w:b/>
                <w:bCs/>
                <w:color w:val="FFFFFF"/>
                <w:sz w:val="18"/>
                <w:szCs w:val="18"/>
                <w:lang w:eastAsia="es-SV"/>
              </w:rPr>
              <w:t>21</w:t>
            </w:r>
            <w:r w:rsidR="0086784D">
              <w:rPr>
                <w:rFonts w:ascii="Arial" w:hAnsi="Arial" w:eastAsia="Times New Roman" w:cs="Arial"/>
                <w:b/>
                <w:bCs/>
                <w:color w:val="FFFFFF"/>
                <w:sz w:val="18"/>
                <w:szCs w:val="18"/>
                <w:lang w:eastAsia="es-SV"/>
              </w:rPr>
              <w:t>.</w:t>
            </w:r>
            <w:r w:rsidRPr="0032511F">
              <w:rPr>
                <w:rFonts w:ascii="Arial" w:hAnsi="Arial" w:eastAsia="Times New Roman" w:cs="Arial"/>
                <w:b/>
                <w:bCs/>
                <w:color w:val="FFFFFF"/>
                <w:sz w:val="18"/>
                <w:szCs w:val="18"/>
                <w:lang w:eastAsia="es-SV"/>
              </w:rPr>
              <w:t>596</w:t>
            </w:r>
            <w:r w:rsidR="0086784D">
              <w:rPr>
                <w:rFonts w:ascii="Arial" w:hAnsi="Arial" w:eastAsia="Times New Roman" w:cs="Arial"/>
                <w:b/>
                <w:bCs/>
                <w:color w:val="FFFFFF"/>
                <w:sz w:val="18"/>
                <w:szCs w:val="18"/>
                <w:lang w:eastAsia="es-SV"/>
              </w:rPr>
              <w:t>,</w:t>
            </w:r>
            <w:r w:rsidRPr="0032511F">
              <w:rPr>
                <w:rFonts w:ascii="Arial" w:hAnsi="Arial" w:eastAsia="Times New Roman" w:cs="Arial"/>
                <w:b/>
                <w:bCs/>
                <w:color w:val="FFFFFF"/>
                <w:sz w:val="18"/>
                <w:szCs w:val="18"/>
                <w:lang w:eastAsia="es-SV"/>
              </w:rPr>
              <w:t>09</w:t>
            </w:r>
          </w:p>
        </w:tc>
      </w:tr>
      <w:tr w:rsidRPr="0032511F" w:rsidR="002F03B1" w:rsidTr="00EA70D4" w14:paraId="7340D8AF" w14:textId="77777777">
        <w:trPr>
          <w:trHeight w:val="288"/>
          <w:jc w:val="center"/>
        </w:trPr>
        <w:tc>
          <w:tcPr>
            <w:tcW w:w="5000" w:type="pct"/>
            <w:gridSpan w:val="6"/>
            <w:tcBorders>
              <w:top w:val="single" w:color="auto" w:sz="4" w:space="0"/>
              <w:left w:val="single" w:color="auto" w:sz="4" w:space="0"/>
              <w:bottom w:val="single" w:color="auto" w:sz="4" w:space="0"/>
              <w:right w:val="single" w:color="auto" w:sz="4" w:space="0"/>
            </w:tcBorders>
            <w:shd w:val="clear" w:color="000000" w:fill="FFFFFF"/>
            <w:noWrap/>
            <w:vAlign w:val="center"/>
            <w:hideMark/>
          </w:tcPr>
          <w:p w:rsidRPr="0032511F" w:rsidR="002F03B1" w:rsidP="002F03B1" w:rsidRDefault="002F03B1" w14:paraId="25EF9556" w14:textId="49896FBB">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 xml:space="preserve">Fuente: Datos de Superintendencia del Sistema Financiero y Monitor de Operaciones, FSV - </w:t>
            </w:r>
            <w:r w:rsidRPr="0032511F" w:rsidR="00AD3A7F">
              <w:rPr>
                <w:rFonts w:ascii="Arial" w:hAnsi="Arial" w:eastAsia="Times New Roman" w:cs="Arial"/>
                <w:sz w:val="18"/>
                <w:szCs w:val="18"/>
                <w:lang w:eastAsia="es-SV"/>
              </w:rPr>
              <w:t>diciembre</w:t>
            </w:r>
            <w:r w:rsidRPr="0032511F">
              <w:rPr>
                <w:rFonts w:ascii="Arial" w:hAnsi="Arial" w:eastAsia="Times New Roman" w:cs="Arial"/>
                <w:sz w:val="18"/>
                <w:szCs w:val="18"/>
                <w:lang w:eastAsia="es-SV"/>
              </w:rPr>
              <w:t xml:space="preserve"> 2019</w:t>
            </w:r>
          </w:p>
        </w:tc>
      </w:tr>
    </w:tbl>
    <w:p w:rsidR="00AD3A7F" w:rsidP="00C24FDA" w:rsidRDefault="00AD3A7F" w14:paraId="77703E21" w14:textId="77777777">
      <w:pPr>
        <w:pStyle w:val="ListParagraph"/>
        <w:spacing w:after="0" w:line="276" w:lineRule="auto"/>
        <w:ind w:left="0"/>
        <w:jc w:val="both"/>
        <w:rPr>
          <w:rFonts w:ascii="Arial" w:hAnsi="Arial" w:cs="Arial"/>
        </w:rPr>
      </w:pPr>
    </w:p>
    <w:p w:rsidRPr="0032511F" w:rsidR="00C24FDA" w:rsidP="00C24FDA" w:rsidRDefault="00C24FDA" w14:paraId="6E8E49F4" w14:textId="381E24A2">
      <w:pPr>
        <w:pStyle w:val="ListParagraph"/>
        <w:spacing w:after="0" w:line="276" w:lineRule="auto"/>
        <w:ind w:left="0"/>
        <w:jc w:val="both"/>
        <w:rPr>
          <w:rFonts w:ascii="Arial" w:hAnsi="Arial" w:cs="Arial"/>
        </w:rPr>
      </w:pPr>
      <w:r w:rsidRPr="0032511F">
        <w:rPr>
          <w:rFonts w:ascii="Arial" w:hAnsi="Arial" w:cs="Arial"/>
        </w:rPr>
        <w:t>Esto nos obliga a disponer de una estrategia de negocios</w:t>
      </w:r>
      <w:r w:rsidRPr="0032511F" w:rsidR="006C7DA4">
        <w:rPr>
          <w:rFonts w:ascii="Arial" w:hAnsi="Arial" w:cs="Arial"/>
        </w:rPr>
        <w:t>,</w:t>
      </w:r>
      <w:r w:rsidRPr="0032511F">
        <w:rPr>
          <w:rFonts w:ascii="Arial" w:hAnsi="Arial" w:cs="Arial"/>
        </w:rPr>
        <w:t xml:space="preserve"> la cual en principio se fundamenta en lo siguiente</w:t>
      </w:r>
      <w:r w:rsidRPr="0032511F" w:rsidR="006C7DA4">
        <w:rPr>
          <w:rFonts w:ascii="Arial" w:hAnsi="Arial" w:cs="Arial"/>
        </w:rPr>
        <w:t>:</w:t>
      </w:r>
      <w:r w:rsidRPr="0032511F">
        <w:rPr>
          <w:rFonts w:ascii="Arial" w:hAnsi="Arial" w:cs="Arial"/>
        </w:rPr>
        <w:t xml:space="preserve"> “</w:t>
      </w:r>
      <w:r w:rsidRPr="0032511F">
        <w:rPr>
          <w:rFonts w:ascii="Arial" w:hAnsi="Arial" w:cs="Arial"/>
          <w:i/>
        </w:rPr>
        <w:t xml:space="preserve">El FSV está en el negocio de la facilitación de soluciones habitacionales para la población salvadoreña, su segmento meta son trabajadores formales e informales entre 18 y 69 </w:t>
      </w:r>
      <w:proofErr w:type="gramStart"/>
      <w:r w:rsidRPr="0032511F">
        <w:rPr>
          <w:rFonts w:ascii="Arial" w:hAnsi="Arial" w:cs="Arial"/>
          <w:i/>
        </w:rPr>
        <w:t>años de edad</w:t>
      </w:r>
      <w:proofErr w:type="gramEnd"/>
      <w:r w:rsidRPr="0032511F">
        <w:rPr>
          <w:rFonts w:ascii="Arial" w:hAnsi="Arial" w:cs="Arial"/>
          <w:i/>
        </w:rPr>
        <w:t xml:space="preserve"> que cuentan con ingresos de hasta 4 salarios mínimos, aun cuando debe atender al sector de ingresos medios para lograr sostenibilidad</w:t>
      </w:r>
      <w:r w:rsidRPr="0032511F" w:rsidR="00274F05">
        <w:rPr>
          <w:rFonts w:ascii="Arial" w:hAnsi="Arial" w:cs="Arial"/>
          <w:i/>
        </w:rPr>
        <w:t xml:space="preserve"> y diversificar el riesgo</w:t>
      </w:r>
      <w:r w:rsidRPr="0032511F">
        <w:rPr>
          <w:rFonts w:ascii="Arial" w:hAnsi="Arial" w:cs="Arial"/>
          <w:i/>
        </w:rPr>
        <w:t xml:space="preserve">. El FSV desarrolla su labor como institución de primer piso otorgando financiamiento de largo plazo para viviendas nuevas, usadas, remodelación, ampliación, compra de lotes y </w:t>
      </w:r>
      <w:r w:rsidRPr="0032511F" w:rsidR="00274F05">
        <w:rPr>
          <w:rFonts w:ascii="Arial" w:hAnsi="Arial" w:cs="Arial"/>
          <w:i/>
        </w:rPr>
        <w:t xml:space="preserve">financiamiento y </w:t>
      </w:r>
      <w:r w:rsidRPr="0032511F">
        <w:rPr>
          <w:rFonts w:ascii="Arial" w:hAnsi="Arial" w:cs="Arial"/>
          <w:i/>
        </w:rPr>
        <w:t xml:space="preserve">venta de </w:t>
      </w:r>
      <w:r w:rsidRPr="0032511F" w:rsidR="00274F05">
        <w:rPr>
          <w:rFonts w:ascii="Arial" w:hAnsi="Arial" w:cs="Arial"/>
          <w:i/>
        </w:rPr>
        <w:t>viviendas recuperadas</w:t>
      </w:r>
      <w:r w:rsidRPr="0032511F">
        <w:rPr>
          <w:rFonts w:ascii="Arial" w:hAnsi="Arial" w:cs="Arial"/>
          <w:i/>
        </w:rPr>
        <w:t>. Los atributos valorados por las familias son el acceso al crédito, confianza,</w:t>
      </w:r>
      <w:r w:rsidRPr="0032511F" w:rsidR="00274F05">
        <w:rPr>
          <w:rFonts w:ascii="Arial" w:hAnsi="Arial" w:cs="Arial"/>
          <w:i/>
        </w:rPr>
        <w:t xml:space="preserve"> facilidades de pago,</w:t>
      </w:r>
      <w:r w:rsidRPr="0032511F">
        <w:rPr>
          <w:rFonts w:ascii="Arial" w:hAnsi="Arial" w:cs="Arial"/>
          <w:i/>
        </w:rPr>
        <w:t xml:space="preserve"> conciencia en el cobro, estabilidad de cuota y el no cobro de comisiones</w:t>
      </w:r>
      <w:r w:rsidRPr="0032511F">
        <w:rPr>
          <w:rFonts w:ascii="Arial" w:hAnsi="Arial" w:cs="Arial"/>
        </w:rPr>
        <w:t xml:space="preserve">.” </w:t>
      </w:r>
    </w:p>
    <w:p w:rsidRPr="0032511F" w:rsidR="00A0079B" w:rsidP="00C24FDA" w:rsidRDefault="00A0079B" w14:paraId="01D3A152" w14:textId="76626F2C">
      <w:pPr>
        <w:pStyle w:val="ListParagraph"/>
        <w:spacing w:after="0" w:line="276" w:lineRule="auto"/>
        <w:ind w:left="0"/>
        <w:jc w:val="both"/>
        <w:rPr>
          <w:rFonts w:ascii="Arial" w:hAnsi="Arial" w:cs="Arial"/>
        </w:rPr>
      </w:pPr>
    </w:p>
    <w:p w:rsidR="00906F2A" w:rsidP="00906F2A" w:rsidRDefault="00906F2A" w14:paraId="5B736452" w14:textId="5084AE26">
      <w:pPr>
        <w:pStyle w:val="ListParagraph"/>
        <w:spacing w:after="0" w:line="276" w:lineRule="auto"/>
        <w:ind w:left="0"/>
        <w:jc w:val="both"/>
        <w:rPr>
          <w:rFonts w:ascii="Arial" w:hAnsi="Arial" w:cs="Arial"/>
          <w:b/>
          <w:bCs/>
          <w:u w:val="single"/>
        </w:rPr>
      </w:pPr>
      <w:r w:rsidRPr="0032511F">
        <w:rPr>
          <w:rFonts w:ascii="Arial" w:hAnsi="Arial" w:cs="Arial"/>
          <w:b/>
          <w:bCs/>
          <w:u w:val="single"/>
        </w:rPr>
        <w:t>Perfil Financiero del FSV</w:t>
      </w:r>
    </w:p>
    <w:p w:rsidRPr="0032511F" w:rsidR="00EA70D4" w:rsidP="00906F2A" w:rsidRDefault="00EA70D4" w14:paraId="0D19D4C1" w14:textId="77777777">
      <w:pPr>
        <w:pStyle w:val="ListParagraph"/>
        <w:spacing w:after="0" w:line="276" w:lineRule="auto"/>
        <w:ind w:left="0"/>
        <w:jc w:val="both"/>
        <w:rPr>
          <w:rFonts w:ascii="Arial" w:hAnsi="Arial" w:cs="Arial"/>
          <w:b/>
          <w:bCs/>
          <w:u w:val="single"/>
        </w:rPr>
      </w:pPr>
    </w:p>
    <w:p w:rsidRPr="0032511F" w:rsidR="00906F2A" w:rsidP="00906F2A" w:rsidRDefault="00906F2A" w14:paraId="74DC8BA2" w14:textId="2CE5AD40">
      <w:pPr>
        <w:pStyle w:val="ListParagraph"/>
        <w:spacing w:after="0" w:line="276" w:lineRule="auto"/>
        <w:ind w:left="0"/>
        <w:jc w:val="both"/>
        <w:rPr>
          <w:rFonts w:ascii="Arial" w:hAnsi="Arial" w:cs="Arial"/>
        </w:rPr>
      </w:pPr>
      <w:r w:rsidRPr="0032511F">
        <w:rPr>
          <w:rFonts w:ascii="Arial" w:hAnsi="Arial" w:cs="Arial"/>
        </w:rPr>
        <w:t>El Balance general de</w:t>
      </w:r>
      <w:r w:rsidRPr="0032511F" w:rsidR="006C7DA4">
        <w:rPr>
          <w:rFonts w:ascii="Arial" w:hAnsi="Arial" w:cs="Arial"/>
        </w:rPr>
        <w:t>l</w:t>
      </w:r>
      <w:r w:rsidRPr="0032511F">
        <w:rPr>
          <w:rFonts w:ascii="Arial" w:hAnsi="Arial" w:cs="Arial"/>
        </w:rPr>
        <w:t xml:space="preserve"> </w:t>
      </w:r>
      <w:r w:rsidRPr="0032511F" w:rsidR="006C7DA4">
        <w:rPr>
          <w:rFonts w:ascii="Arial" w:hAnsi="Arial" w:cs="Arial"/>
        </w:rPr>
        <w:t xml:space="preserve">año </w:t>
      </w:r>
      <w:r w:rsidRPr="0032511F">
        <w:rPr>
          <w:rFonts w:ascii="Arial" w:hAnsi="Arial" w:cs="Arial"/>
        </w:rPr>
        <w:t>2019 demuestra un crecimiento de activos (US$949</w:t>
      </w:r>
      <w:r w:rsidR="000423F2">
        <w:rPr>
          <w:rFonts w:ascii="Arial" w:hAnsi="Arial" w:cs="Arial"/>
        </w:rPr>
        <w:t>,</w:t>
      </w:r>
      <w:r w:rsidRPr="0032511F">
        <w:rPr>
          <w:rFonts w:ascii="Arial" w:hAnsi="Arial" w:cs="Arial"/>
        </w:rPr>
        <w:t xml:space="preserve">8 millones) de </w:t>
      </w:r>
      <w:r w:rsidRPr="0032511F" w:rsidR="006C7DA4">
        <w:rPr>
          <w:rFonts w:ascii="Arial" w:hAnsi="Arial" w:cs="Arial"/>
        </w:rPr>
        <w:t xml:space="preserve">un </w:t>
      </w:r>
      <w:r w:rsidRPr="0032511F">
        <w:rPr>
          <w:rFonts w:ascii="Arial" w:hAnsi="Arial" w:cs="Arial"/>
        </w:rPr>
        <w:t>2</w:t>
      </w:r>
      <w:r w:rsidR="000423F2">
        <w:rPr>
          <w:rFonts w:ascii="Arial" w:hAnsi="Arial" w:cs="Arial"/>
        </w:rPr>
        <w:t>,</w:t>
      </w:r>
      <w:r w:rsidRPr="0032511F">
        <w:rPr>
          <w:rFonts w:ascii="Arial" w:hAnsi="Arial" w:cs="Arial"/>
        </w:rPr>
        <w:t>09% con respecto a 2018 producto de mayor disponibilidad de (US$90</w:t>
      </w:r>
      <w:r w:rsidR="000423F2">
        <w:rPr>
          <w:rFonts w:ascii="Arial" w:hAnsi="Arial" w:cs="Arial"/>
        </w:rPr>
        <w:t>,</w:t>
      </w:r>
      <w:r w:rsidRPr="0032511F">
        <w:rPr>
          <w:rFonts w:ascii="Arial" w:hAnsi="Arial" w:cs="Arial"/>
        </w:rPr>
        <w:t>7 millones) 8</w:t>
      </w:r>
      <w:r w:rsidR="000423F2">
        <w:rPr>
          <w:rFonts w:ascii="Arial" w:hAnsi="Arial" w:cs="Arial"/>
        </w:rPr>
        <w:t>,</w:t>
      </w:r>
      <w:r w:rsidRPr="0032511F">
        <w:rPr>
          <w:rFonts w:ascii="Arial" w:hAnsi="Arial" w:cs="Arial"/>
        </w:rPr>
        <w:t>01% y la Cartera de Préstamos que crece en US$12</w:t>
      </w:r>
      <w:r w:rsidR="00283CCA">
        <w:rPr>
          <w:rFonts w:ascii="Arial" w:hAnsi="Arial" w:cs="Arial"/>
        </w:rPr>
        <w:t>,</w:t>
      </w:r>
      <w:r w:rsidRPr="0032511F">
        <w:rPr>
          <w:rFonts w:ascii="Arial" w:hAnsi="Arial" w:cs="Arial"/>
        </w:rPr>
        <w:t>2 millones (1</w:t>
      </w:r>
      <w:r w:rsidR="00283CCA">
        <w:rPr>
          <w:rFonts w:ascii="Arial" w:hAnsi="Arial" w:cs="Arial"/>
        </w:rPr>
        <w:t>,</w:t>
      </w:r>
      <w:r w:rsidRPr="0032511F">
        <w:rPr>
          <w:rFonts w:ascii="Arial" w:hAnsi="Arial" w:cs="Arial"/>
        </w:rPr>
        <w:t>49%). En los pasivos (US$463</w:t>
      </w:r>
      <w:r w:rsidR="00283CCA">
        <w:rPr>
          <w:rFonts w:ascii="Arial" w:hAnsi="Arial" w:cs="Arial"/>
        </w:rPr>
        <w:t>,</w:t>
      </w:r>
      <w:r w:rsidRPr="0032511F">
        <w:rPr>
          <w:rFonts w:ascii="Arial" w:hAnsi="Arial" w:cs="Arial"/>
        </w:rPr>
        <w:t>1 millones) se disminuye en US$14</w:t>
      </w:r>
      <w:r w:rsidR="00283CCA">
        <w:rPr>
          <w:rFonts w:ascii="Arial" w:hAnsi="Arial" w:cs="Arial"/>
        </w:rPr>
        <w:t>,</w:t>
      </w:r>
      <w:r w:rsidRPr="0032511F">
        <w:rPr>
          <w:rFonts w:ascii="Arial" w:hAnsi="Arial" w:cs="Arial"/>
        </w:rPr>
        <w:t>2 millones (2</w:t>
      </w:r>
      <w:r w:rsidR="00283CCA">
        <w:rPr>
          <w:rFonts w:ascii="Arial" w:hAnsi="Arial" w:cs="Arial"/>
        </w:rPr>
        <w:t>,</w:t>
      </w:r>
      <w:r w:rsidRPr="0032511F">
        <w:rPr>
          <w:rFonts w:ascii="Arial" w:hAnsi="Arial" w:cs="Arial"/>
        </w:rPr>
        <w:t>97%) y en el Patrimonio (US$486</w:t>
      </w:r>
      <w:r w:rsidR="00283CCA">
        <w:rPr>
          <w:rFonts w:ascii="Arial" w:hAnsi="Arial" w:cs="Arial"/>
        </w:rPr>
        <w:t>,</w:t>
      </w:r>
      <w:r w:rsidRPr="0032511F">
        <w:rPr>
          <w:rFonts w:ascii="Arial" w:hAnsi="Arial" w:cs="Arial"/>
        </w:rPr>
        <w:t>7 Millones) se incrementa en US$33</w:t>
      </w:r>
      <w:r w:rsidR="00283CCA">
        <w:rPr>
          <w:rFonts w:ascii="Arial" w:hAnsi="Arial" w:cs="Arial"/>
        </w:rPr>
        <w:t>,</w:t>
      </w:r>
      <w:r w:rsidRPr="0032511F">
        <w:rPr>
          <w:rFonts w:ascii="Arial" w:hAnsi="Arial" w:cs="Arial"/>
        </w:rPr>
        <w:t>7 millones (7</w:t>
      </w:r>
      <w:r w:rsidR="00283CCA">
        <w:rPr>
          <w:rFonts w:ascii="Arial" w:hAnsi="Arial" w:cs="Arial"/>
        </w:rPr>
        <w:t>,</w:t>
      </w:r>
      <w:r w:rsidRPr="0032511F">
        <w:rPr>
          <w:rFonts w:ascii="Arial" w:hAnsi="Arial" w:cs="Arial"/>
        </w:rPr>
        <w:t>43%)</w:t>
      </w:r>
      <w:r w:rsidRPr="0032511F" w:rsidR="006C7DA4">
        <w:rPr>
          <w:rFonts w:ascii="Arial" w:hAnsi="Arial" w:cs="Arial"/>
        </w:rPr>
        <w:t>.</w:t>
      </w:r>
    </w:p>
    <w:p w:rsidRPr="0032511F" w:rsidR="00906F2A" w:rsidP="00EA70D4" w:rsidRDefault="002508BC" w14:paraId="44CFC82A" w14:textId="6C128949">
      <w:pPr>
        <w:pStyle w:val="ListParagraph"/>
        <w:spacing w:after="0" w:line="276" w:lineRule="auto"/>
        <w:ind w:left="0"/>
        <w:jc w:val="center"/>
        <w:rPr>
          <w:rFonts w:ascii="Arial" w:hAnsi="Arial" w:cs="Arial"/>
          <w:color w:val="FF0000"/>
        </w:rPr>
      </w:pPr>
      <w:r w:rsidRPr="002508BC">
        <w:rPr>
          <w:noProof/>
        </w:rPr>
        <w:drawing>
          <wp:inline distT="0" distB="0" distL="0" distR="0" wp14:anchorId="5814A269" wp14:editId="3678D173">
            <wp:extent cx="5530850" cy="413448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6784" cy="4161347"/>
                    </a:xfrm>
                    <a:prstGeom prst="rect">
                      <a:avLst/>
                    </a:prstGeom>
                    <a:noFill/>
                    <a:ln>
                      <a:noFill/>
                    </a:ln>
                  </pic:spPr>
                </pic:pic>
              </a:graphicData>
            </a:graphic>
          </wp:inline>
        </w:drawing>
      </w:r>
    </w:p>
    <w:p w:rsidR="002508BC" w:rsidP="00906F2A" w:rsidRDefault="002508BC" w14:paraId="3F65353D" w14:textId="77777777">
      <w:pPr>
        <w:pStyle w:val="ListParagraph"/>
        <w:spacing w:after="0" w:line="276" w:lineRule="auto"/>
        <w:ind w:left="0"/>
        <w:jc w:val="both"/>
        <w:rPr>
          <w:rFonts w:ascii="Arial" w:hAnsi="Arial" w:cs="Arial"/>
        </w:rPr>
      </w:pPr>
    </w:p>
    <w:p w:rsidRPr="0032511F" w:rsidR="00906F2A" w:rsidP="00906F2A" w:rsidRDefault="00EA70D4" w14:paraId="723EDFC0" w14:textId="697F27E7">
      <w:pPr>
        <w:pStyle w:val="ListParagraph"/>
        <w:spacing w:after="0" w:line="276" w:lineRule="auto"/>
        <w:ind w:left="0"/>
        <w:jc w:val="both"/>
        <w:rPr>
          <w:rFonts w:ascii="Arial" w:hAnsi="Arial" w:cs="Arial"/>
        </w:rPr>
      </w:pPr>
      <w:r w:rsidRPr="006225B2">
        <w:rPr>
          <w:noProof/>
        </w:rPr>
        <w:drawing>
          <wp:anchor distT="0" distB="0" distL="114300" distR="114300" simplePos="0" relativeHeight="251661312" behindDoc="0" locked="0" layoutInCell="1" allowOverlap="1" wp14:anchorId="32C4AE86" wp14:editId="43865DD9">
            <wp:simplePos x="0" y="0"/>
            <wp:positionH relativeFrom="margin">
              <wp:align>right</wp:align>
            </wp:positionH>
            <wp:positionV relativeFrom="paragraph">
              <wp:posOffset>996315</wp:posOffset>
            </wp:positionV>
            <wp:extent cx="5483225" cy="2603500"/>
            <wp:effectExtent l="0" t="0" r="3175" b="635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3225" cy="2603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2511F" w:rsidR="00906F2A">
        <w:rPr>
          <w:rFonts w:ascii="Arial" w:hAnsi="Arial" w:cs="Arial"/>
        </w:rPr>
        <w:t>En los resultados del año 2019 en comparación con los del año 2018, los ingresos fueron de US$120 millones, los que fueron mayores en US$9</w:t>
      </w:r>
      <w:r w:rsidR="00934DA5">
        <w:rPr>
          <w:rFonts w:ascii="Arial" w:hAnsi="Arial" w:cs="Arial"/>
        </w:rPr>
        <w:t>,</w:t>
      </w:r>
      <w:r w:rsidRPr="0032511F" w:rsidR="00906F2A">
        <w:rPr>
          <w:rFonts w:ascii="Arial" w:hAnsi="Arial" w:cs="Arial"/>
        </w:rPr>
        <w:t>9 millones (9</w:t>
      </w:r>
      <w:r w:rsidR="00934DA5">
        <w:rPr>
          <w:rFonts w:ascii="Arial" w:hAnsi="Arial" w:cs="Arial"/>
        </w:rPr>
        <w:t>,</w:t>
      </w:r>
      <w:r w:rsidRPr="0032511F" w:rsidR="00906F2A">
        <w:rPr>
          <w:rFonts w:ascii="Arial" w:hAnsi="Arial" w:cs="Arial"/>
        </w:rPr>
        <w:t>92%) por los resultados producidos por la Cartera Hipotecaria. Los Egresos fueron en</w:t>
      </w:r>
      <w:r w:rsidRPr="0032511F" w:rsidR="006C7DA4">
        <w:rPr>
          <w:rFonts w:ascii="Arial" w:hAnsi="Arial" w:cs="Arial"/>
        </w:rPr>
        <w:t xml:space="preserve"> el año</w:t>
      </w:r>
      <w:r w:rsidRPr="0032511F" w:rsidR="00906F2A">
        <w:rPr>
          <w:rFonts w:ascii="Arial" w:hAnsi="Arial" w:cs="Arial"/>
        </w:rPr>
        <w:t xml:space="preserve"> 2019 de US$84</w:t>
      </w:r>
      <w:r w:rsidR="00934DA5">
        <w:rPr>
          <w:rFonts w:ascii="Arial" w:hAnsi="Arial" w:cs="Arial"/>
        </w:rPr>
        <w:t>,</w:t>
      </w:r>
      <w:r w:rsidRPr="0032511F" w:rsidR="00906F2A">
        <w:rPr>
          <w:rFonts w:ascii="Arial" w:hAnsi="Arial" w:cs="Arial"/>
        </w:rPr>
        <w:t>6 millones, siendo mayores en US$8</w:t>
      </w:r>
      <w:r w:rsidR="00934DA5">
        <w:rPr>
          <w:rFonts w:ascii="Arial" w:hAnsi="Arial" w:cs="Arial"/>
        </w:rPr>
        <w:t>,</w:t>
      </w:r>
      <w:r w:rsidRPr="0032511F" w:rsidR="00906F2A">
        <w:rPr>
          <w:rFonts w:ascii="Arial" w:hAnsi="Arial" w:cs="Arial"/>
        </w:rPr>
        <w:t>9 millones (11</w:t>
      </w:r>
      <w:r w:rsidR="00934DA5">
        <w:rPr>
          <w:rFonts w:ascii="Arial" w:hAnsi="Arial" w:cs="Arial"/>
        </w:rPr>
        <w:t>,</w:t>
      </w:r>
      <w:r w:rsidRPr="0032511F" w:rsidR="00906F2A">
        <w:rPr>
          <w:rFonts w:ascii="Arial" w:hAnsi="Arial" w:cs="Arial"/>
        </w:rPr>
        <w:t>73%) y el Superávit fue de US$35</w:t>
      </w:r>
      <w:r w:rsidR="00934DA5">
        <w:rPr>
          <w:rFonts w:ascii="Arial" w:hAnsi="Arial" w:cs="Arial"/>
        </w:rPr>
        <w:t>,</w:t>
      </w:r>
      <w:r w:rsidRPr="0032511F" w:rsidR="00906F2A">
        <w:rPr>
          <w:rFonts w:ascii="Arial" w:hAnsi="Arial" w:cs="Arial"/>
        </w:rPr>
        <w:t>5 millones</w:t>
      </w:r>
      <w:r w:rsidRPr="0032511F" w:rsidR="006C7DA4">
        <w:rPr>
          <w:rFonts w:ascii="Arial" w:hAnsi="Arial" w:cs="Arial"/>
        </w:rPr>
        <w:t xml:space="preserve">, los que fueron </w:t>
      </w:r>
      <w:r w:rsidRPr="0032511F" w:rsidR="00906F2A">
        <w:rPr>
          <w:rFonts w:ascii="Arial" w:hAnsi="Arial" w:cs="Arial"/>
        </w:rPr>
        <w:t>acumula</w:t>
      </w:r>
      <w:r w:rsidRPr="0032511F" w:rsidR="006C7DA4">
        <w:rPr>
          <w:rFonts w:ascii="Arial" w:hAnsi="Arial" w:cs="Arial"/>
        </w:rPr>
        <w:t>dos</w:t>
      </w:r>
      <w:r w:rsidRPr="0032511F" w:rsidR="00906F2A">
        <w:rPr>
          <w:rFonts w:ascii="Arial" w:hAnsi="Arial" w:cs="Arial"/>
        </w:rPr>
        <w:t xml:space="preserve"> al Patrimonio para el año 2020.</w:t>
      </w:r>
    </w:p>
    <w:p w:rsidR="002508BC" w:rsidP="00906F2A" w:rsidRDefault="002508BC" w14:paraId="0C8F7F82" w14:textId="643A9319">
      <w:pPr>
        <w:pStyle w:val="ListParagraph"/>
        <w:spacing w:after="0" w:line="276" w:lineRule="auto"/>
        <w:ind w:left="0"/>
        <w:jc w:val="both"/>
        <w:rPr>
          <w:rFonts w:ascii="Arial" w:hAnsi="Arial" w:cs="Arial"/>
        </w:rPr>
      </w:pPr>
    </w:p>
    <w:p w:rsidR="002E06B2" w:rsidP="00EA70D4" w:rsidRDefault="002E06B2" w14:paraId="6C8D7569" w14:textId="56F9CF87">
      <w:pPr>
        <w:rPr>
          <w:rFonts w:ascii="Arial" w:hAnsi="Arial" w:cs="Arial"/>
        </w:rPr>
        <w:sectPr w:rsidR="002E06B2" w:rsidSect="00EA70D4">
          <w:pgSz w:w="12240" w:h="15840" w:orient="portrait"/>
          <w:pgMar w:top="1440" w:right="1800" w:bottom="1440" w:left="1800" w:header="706" w:footer="706" w:gutter="0"/>
          <w:cols w:space="708"/>
          <w:docGrid w:linePitch="360"/>
        </w:sectPr>
      </w:pPr>
    </w:p>
    <w:p w:rsidR="002E06B2" w:rsidP="005F1730" w:rsidRDefault="005F1730" w14:paraId="766B2590" w14:textId="5E17B7C4">
      <w:pPr>
        <w:pStyle w:val="ListParagraph"/>
        <w:spacing w:after="0" w:line="276" w:lineRule="auto"/>
        <w:ind w:left="0"/>
        <w:jc w:val="both"/>
        <w:rPr>
          <w:rFonts w:ascii="Arial" w:hAnsi="Arial" w:cs="Arial"/>
        </w:rPr>
      </w:pPr>
      <w:r w:rsidRPr="006F6580">
        <w:rPr>
          <w:noProof/>
        </w:rPr>
        <w:lastRenderedPageBreak/>
        <w:drawing>
          <wp:anchor distT="0" distB="0" distL="114300" distR="114300" simplePos="0" relativeHeight="251659264" behindDoc="0" locked="0" layoutInCell="1" allowOverlap="1" wp14:anchorId="747B9042" wp14:editId="52E3E31C">
            <wp:simplePos x="0" y="0"/>
            <wp:positionH relativeFrom="margin">
              <wp:align>right</wp:align>
            </wp:positionH>
            <wp:positionV relativeFrom="paragraph">
              <wp:posOffset>1179830</wp:posOffset>
            </wp:positionV>
            <wp:extent cx="8687435" cy="5114925"/>
            <wp:effectExtent l="0" t="0" r="0" b="9525"/>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687435" cy="5114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2511F" w:rsidR="005F1730">
        <w:rPr>
          <w:rFonts w:ascii="Arial" w:hAnsi="Arial" w:cs="Arial"/>
        </w:rPr>
        <w:t>Para determinar la importancia relativa del Fondo al realizar comparaciones con el mercado financiero local, tomando los 13 Bancos del sistema financiero, se ubica al FSV como la institución financiera con la mayor cartera hipotecaria (US$973</w:t>
      </w:r>
      <w:r w:rsidR="005F1730">
        <w:rPr>
          <w:rFonts w:ascii="Arial" w:hAnsi="Arial" w:cs="Arial"/>
        </w:rPr>
        <w:t>,</w:t>
      </w:r>
      <w:r w:rsidRPr="0032511F" w:rsidR="005F1730">
        <w:rPr>
          <w:rFonts w:ascii="Arial" w:hAnsi="Arial" w:cs="Arial"/>
        </w:rPr>
        <w:t>2 millones); estamos en la posición 8 en el monto de Activos (US$949</w:t>
      </w:r>
      <w:r w:rsidR="005F1730">
        <w:rPr>
          <w:rFonts w:ascii="Arial" w:hAnsi="Arial" w:cs="Arial"/>
        </w:rPr>
        <w:t>,</w:t>
      </w:r>
      <w:r w:rsidRPr="0032511F" w:rsidR="005F1730">
        <w:rPr>
          <w:rFonts w:ascii="Arial" w:hAnsi="Arial" w:cs="Arial"/>
        </w:rPr>
        <w:t>8 millones); en cuanto al Patrimonio (US$486</w:t>
      </w:r>
      <w:r w:rsidR="005F1730">
        <w:rPr>
          <w:rFonts w:ascii="Arial" w:hAnsi="Arial" w:cs="Arial"/>
        </w:rPr>
        <w:t>,</w:t>
      </w:r>
      <w:r w:rsidRPr="0032511F" w:rsidR="005F1730">
        <w:rPr>
          <w:rFonts w:ascii="Arial" w:hAnsi="Arial" w:cs="Arial"/>
        </w:rPr>
        <w:t>7 millones) nos deja en la posición número 2 y finalmente en la generación de Utilidades (US$35</w:t>
      </w:r>
      <w:r w:rsidR="005F1730">
        <w:rPr>
          <w:rFonts w:ascii="Arial" w:hAnsi="Arial" w:cs="Arial"/>
        </w:rPr>
        <w:t>,</w:t>
      </w:r>
      <w:r w:rsidRPr="0032511F" w:rsidR="005F1730">
        <w:rPr>
          <w:rFonts w:ascii="Arial" w:hAnsi="Arial" w:cs="Arial"/>
        </w:rPr>
        <w:t>5 millones) nos corresponde también la posición número 2. (Ver detalle comparativo en la tabla siguiente)</w:t>
      </w:r>
      <w:r w:rsidR="005F1730">
        <w:rPr>
          <w:rFonts w:ascii="Arial" w:hAnsi="Arial" w:cs="Arial"/>
        </w:rPr>
        <w:t>.</w:t>
      </w:r>
    </w:p>
    <w:p w:rsidR="002E06B2" w:rsidP="00906F2A" w:rsidRDefault="002E06B2" w14:paraId="38D7A581" w14:textId="77777777">
      <w:pPr>
        <w:pStyle w:val="ListParagraph"/>
        <w:spacing w:after="0" w:line="276" w:lineRule="auto"/>
        <w:ind w:left="0"/>
        <w:jc w:val="both"/>
        <w:rPr>
          <w:rFonts w:ascii="Arial" w:hAnsi="Arial" w:cs="Arial"/>
        </w:rPr>
        <w:sectPr w:rsidR="002E06B2" w:rsidSect="002E06B2">
          <w:pgSz w:w="15840" w:h="12240" w:orient="landscape"/>
          <w:pgMar w:top="1080" w:right="1080" w:bottom="1080" w:left="1080" w:header="706" w:footer="706" w:gutter="0"/>
          <w:cols w:space="708"/>
          <w:docGrid w:linePitch="360"/>
        </w:sectPr>
      </w:pPr>
    </w:p>
    <w:p w:rsidRPr="0032511F" w:rsidR="00906F2A" w:rsidP="00906F2A" w:rsidRDefault="00E47987" w14:paraId="1B50A17D" w14:textId="252C0EC5">
      <w:pPr>
        <w:pStyle w:val="ListParagraph"/>
        <w:spacing w:after="0" w:line="276" w:lineRule="auto"/>
        <w:ind w:left="0"/>
        <w:jc w:val="both"/>
        <w:rPr>
          <w:rFonts w:ascii="Arial" w:hAnsi="Arial" w:cs="Arial"/>
        </w:rPr>
      </w:pPr>
      <w:r w:rsidRPr="0032511F">
        <w:rPr>
          <w:rFonts w:ascii="Arial" w:hAnsi="Arial" w:cs="Arial"/>
        </w:rPr>
        <w:lastRenderedPageBreak/>
        <w:t xml:space="preserve">Con respecto al presupuesto institucional, el </w:t>
      </w:r>
      <w:r w:rsidRPr="0032511F" w:rsidR="00906F2A">
        <w:rPr>
          <w:rFonts w:ascii="Arial" w:hAnsi="Arial" w:cs="Arial"/>
        </w:rPr>
        <w:t xml:space="preserve">FSV maneja un </w:t>
      </w:r>
      <w:r w:rsidRPr="0032511F">
        <w:rPr>
          <w:rFonts w:ascii="Arial" w:hAnsi="Arial" w:cs="Arial"/>
        </w:rPr>
        <w:t>p</w:t>
      </w:r>
      <w:r w:rsidRPr="0032511F" w:rsidR="00906F2A">
        <w:rPr>
          <w:rFonts w:ascii="Arial" w:hAnsi="Arial" w:cs="Arial"/>
        </w:rPr>
        <w:t xml:space="preserve">resupuesto </w:t>
      </w:r>
      <w:r w:rsidRPr="0032511F">
        <w:rPr>
          <w:rFonts w:ascii="Arial" w:hAnsi="Arial" w:cs="Arial"/>
        </w:rPr>
        <w:t>b</w:t>
      </w:r>
      <w:r w:rsidRPr="0032511F" w:rsidR="00906F2A">
        <w:rPr>
          <w:rFonts w:ascii="Arial" w:hAnsi="Arial" w:cs="Arial"/>
        </w:rPr>
        <w:t xml:space="preserve">ase cero y para 2019 este fue de </w:t>
      </w:r>
      <w:r w:rsidRPr="0032511F">
        <w:rPr>
          <w:rFonts w:ascii="Arial" w:hAnsi="Arial" w:cs="Arial"/>
        </w:rPr>
        <w:t>US</w:t>
      </w:r>
      <w:r w:rsidRPr="0032511F" w:rsidR="00906F2A">
        <w:rPr>
          <w:rFonts w:ascii="Arial" w:hAnsi="Arial" w:cs="Arial"/>
        </w:rPr>
        <w:t>$192</w:t>
      </w:r>
      <w:r w:rsidR="00CB019E">
        <w:rPr>
          <w:rFonts w:ascii="Arial" w:hAnsi="Arial" w:cs="Arial"/>
        </w:rPr>
        <w:t>,</w:t>
      </w:r>
      <w:r w:rsidRPr="0032511F" w:rsidR="00906F2A">
        <w:rPr>
          <w:rFonts w:ascii="Arial" w:hAnsi="Arial" w:cs="Arial"/>
        </w:rPr>
        <w:t>5 millones habiendo ejecutado el 92</w:t>
      </w:r>
      <w:r w:rsidR="00CB019E">
        <w:rPr>
          <w:rFonts w:ascii="Arial" w:hAnsi="Arial" w:cs="Arial"/>
        </w:rPr>
        <w:t>,</w:t>
      </w:r>
      <w:r w:rsidRPr="0032511F" w:rsidR="00906F2A">
        <w:rPr>
          <w:rFonts w:ascii="Arial" w:hAnsi="Arial" w:cs="Arial"/>
        </w:rPr>
        <w:t xml:space="preserve">79% por </w:t>
      </w:r>
      <w:r w:rsidRPr="0032511F">
        <w:rPr>
          <w:rFonts w:ascii="Arial" w:hAnsi="Arial" w:cs="Arial"/>
        </w:rPr>
        <w:t>US$</w:t>
      </w:r>
      <w:r w:rsidRPr="0032511F" w:rsidR="00906F2A">
        <w:rPr>
          <w:rFonts w:ascii="Arial" w:hAnsi="Arial" w:cs="Arial"/>
        </w:rPr>
        <w:t>178</w:t>
      </w:r>
      <w:r w:rsidR="00CB019E">
        <w:rPr>
          <w:rFonts w:ascii="Arial" w:hAnsi="Arial" w:cs="Arial"/>
        </w:rPr>
        <w:t>,</w:t>
      </w:r>
      <w:r w:rsidRPr="0032511F" w:rsidR="00906F2A">
        <w:rPr>
          <w:rFonts w:ascii="Arial" w:hAnsi="Arial" w:cs="Arial"/>
        </w:rPr>
        <w:t>6 millones</w:t>
      </w:r>
      <w:r w:rsidRPr="0032511F">
        <w:rPr>
          <w:rFonts w:ascii="Arial" w:hAnsi="Arial" w:cs="Arial"/>
        </w:rPr>
        <w:t xml:space="preserve"> en términos de ingresos</w:t>
      </w:r>
      <w:r w:rsidRPr="0032511F" w:rsidR="00906F2A">
        <w:rPr>
          <w:rFonts w:ascii="Arial" w:hAnsi="Arial" w:cs="Arial"/>
        </w:rPr>
        <w:t xml:space="preserve"> y </w:t>
      </w:r>
      <w:r w:rsidRPr="0032511F">
        <w:rPr>
          <w:rFonts w:ascii="Arial" w:hAnsi="Arial" w:cs="Arial"/>
        </w:rPr>
        <w:t xml:space="preserve">en cuanto a </w:t>
      </w:r>
      <w:r w:rsidRPr="0032511F" w:rsidR="00906F2A">
        <w:rPr>
          <w:rFonts w:ascii="Arial" w:hAnsi="Arial" w:cs="Arial"/>
        </w:rPr>
        <w:t>los Egresos siempre de un presupuesto de $192</w:t>
      </w:r>
      <w:r w:rsidR="00CB019E">
        <w:rPr>
          <w:rFonts w:ascii="Arial" w:hAnsi="Arial" w:cs="Arial"/>
        </w:rPr>
        <w:t>,</w:t>
      </w:r>
      <w:r w:rsidRPr="0032511F">
        <w:rPr>
          <w:rFonts w:ascii="Arial" w:hAnsi="Arial" w:cs="Arial"/>
        </w:rPr>
        <w:t>5</w:t>
      </w:r>
      <w:r w:rsidRPr="0032511F" w:rsidR="00906F2A">
        <w:rPr>
          <w:rFonts w:ascii="Arial" w:hAnsi="Arial" w:cs="Arial"/>
        </w:rPr>
        <w:t xml:space="preserve"> millones habiendo ejecutad</w:t>
      </w:r>
      <w:r w:rsidRPr="0032511F">
        <w:rPr>
          <w:rFonts w:ascii="Arial" w:hAnsi="Arial" w:cs="Arial"/>
        </w:rPr>
        <w:t>o</w:t>
      </w:r>
      <w:r w:rsidRPr="0032511F" w:rsidR="00906F2A">
        <w:rPr>
          <w:rFonts w:ascii="Arial" w:hAnsi="Arial" w:cs="Arial"/>
        </w:rPr>
        <w:t xml:space="preserve"> un 91</w:t>
      </w:r>
      <w:r w:rsidR="00CB019E">
        <w:rPr>
          <w:rFonts w:ascii="Arial" w:hAnsi="Arial" w:cs="Arial"/>
        </w:rPr>
        <w:t>,</w:t>
      </w:r>
      <w:r w:rsidRPr="0032511F" w:rsidR="00906F2A">
        <w:rPr>
          <w:rFonts w:ascii="Arial" w:hAnsi="Arial" w:cs="Arial"/>
        </w:rPr>
        <w:t xml:space="preserve">73% es decir </w:t>
      </w:r>
      <w:r w:rsidRPr="0032511F">
        <w:rPr>
          <w:rFonts w:ascii="Arial" w:hAnsi="Arial" w:cs="Arial"/>
        </w:rPr>
        <w:t>US</w:t>
      </w:r>
      <w:r w:rsidRPr="0032511F" w:rsidR="00906F2A">
        <w:rPr>
          <w:rFonts w:ascii="Arial" w:hAnsi="Arial" w:cs="Arial"/>
        </w:rPr>
        <w:t>$176</w:t>
      </w:r>
      <w:r w:rsidR="00CB019E">
        <w:rPr>
          <w:rFonts w:ascii="Arial" w:hAnsi="Arial" w:cs="Arial"/>
        </w:rPr>
        <w:t>,</w:t>
      </w:r>
      <w:r w:rsidRPr="0032511F" w:rsidR="00906F2A">
        <w:rPr>
          <w:rFonts w:ascii="Arial" w:hAnsi="Arial" w:cs="Arial"/>
        </w:rPr>
        <w:t>7 millones.</w:t>
      </w:r>
    </w:p>
    <w:p w:rsidR="00287F49" w:rsidP="00906F2A" w:rsidRDefault="005F1730" w14:paraId="7F107C04" w14:textId="2CF29467">
      <w:pPr>
        <w:pStyle w:val="ListParagraph"/>
        <w:spacing w:after="0" w:line="276" w:lineRule="auto"/>
        <w:ind w:left="0"/>
        <w:jc w:val="both"/>
        <w:rPr>
          <w:rFonts w:ascii="Arial" w:hAnsi="Arial" w:cs="Arial"/>
        </w:rPr>
      </w:pPr>
      <w:r w:rsidRPr="00181A85">
        <w:rPr>
          <w:noProof/>
        </w:rPr>
        <w:drawing>
          <wp:anchor distT="0" distB="0" distL="114300" distR="114300" simplePos="0" relativeHeight="251660288" behindDoc="0" locked="0" layoutInCell="1" allowOverlap="1" wp14:anchorId="3E256F94" wp14:editId="20C0508E">
            <wp:simplePos x="0" y="0"/>
            <wp:positionH relativeFrom="margin">
              <wp:posOffset>-1533</wp:posOffset>
            </wp:positionH>
            <wp:positionV relativeFrom="paragraph">
              <wp:posOffset>150000</wp:posOffset>
            </wp:positionV>
            <wp:extent cx="6400800" cy="5077460"/>
            <wp:effectExtent l="0" t="0" r="0" b="889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0800" cy="5077460"/>
                    </a:xfrm>
                    <a:prstGeom prst="rect">
                      <a:avLst/>
                    </a:prstGeom>
                    <a:noFill/>
                    <a:ln>
                      <a:noFill/>
                    </a:ln>
                  </pic:spPr>
                </pic:pic>
              </a:graphicData>
            </a:graphic>
          </wp:anchor>
        </w:drawing>
      </w:r>
      <w:r w:rsidR="48747B4A">
        <w:rPr/>
        <w:t/>
      </w:r>
    </w:p>
    <w:p w:rsidR="008D1421" w:rsidRDefault="008D1421" w14:paraId="70C64C7C" w14:textId="77777777">
      <w:pPr>
        <w:rPr>
          <w:rFonts w:ascii="Arial" w:hAnsi="Arial" w:cs="Arial"/>
        </w:rPr>
      </w:pPr>
      <w:r>
        <w:rPr>
          <w:rFonts w:ascii="Arial" w:hAnsi="Arial" w:cs="Arial"/>
        </w:rPr>
        <w:br w:type="page"/>
      </w:r>
    </w:p>
    <w:p w:rsidRPr="0032511F" w:rsidR="00906F2A" w:rsidP="00906F2A" w:rsidRDefault="00906F2A" w14:paraId="52F10B1E" w14:textId="5B83F7CD">
      <w:pPr>
        <w:pStyle w:val="ListParagraph"/>
        <w:spacing w:after="0" w:line="276" w:lineRule="auto"/>
        <w:ind w:left="0"/>
        <w:jc w:val="both"/>
        <w:rPr>
          <w:rFonts w:ascii="Arial" w:hAnsi="Arial" w:cs="Arial"/>
        </w:rPr>
      </w:pPr>
      <w:r w:rsidRPr="0032511F">
        <w:rPr>
          <w:rFonts w:ascii="Arial" w:hAnsi="Arial" w:cs="Arial"/>
        </w:rPr>
        <w:lastRenderedPageBreak/>
        <w:t xml:space="preserve">Para 2020 el Presupuesto proyectado es de </w:t>
      </w:r>
      <w:r w:rsidRPr="0032511F" w:rsidR="006C7DA4">
        <w:rPr>
          <w:rFonts w:ascii="Arial" w:hAnsi="Arial" w:cs="Arial"/>
        </w:rPr>
        <w:t>US</w:t>
      </w:r>
      <w:r w:rsidRPr="0032511F">
        <w:rPr>
          <w:rFonts w:ascii="Arial" w:hAnsi="Arial" w:cs="Arial"/>
        </w:rPr>
        <w:t>$196</w:t>
      </w:r>
      <w:r w:rsidR="00CB019E">
        <w:rPr>
          <w:rFonts w:ascii="Arial" w:hAnsi="Arial" w:cs="Arial"/>
        </w:rPr>
        <w:t>,</w:t>
      </w:r>
      <w:r w:rsidRPr="0032511F">
        <w:rPr>
          <w:rFonts w:ascii="Arial" w:hAnsi="Arial" w:cs="Arial"/>
        </w:rPr>
        <w:t>4 millones tanto en Ingresos como en Egresos</w:t>
      </w:r>
      <w:r w:rsidRPr="0032511F" w:rsidR="00E47987">
        <w:rPr>
          <w:rFonts w:ascii="Arial" w:hAnsi="Arial" w:cs="Arial"/>
        </w:rPr>
        <w:t>, siendo el detalle siguiente:</w:t>
      </w:r>
    </w:p>
    <w:p w:rsidRPr="0032511F" w:rsidR="00E47987" w:rsidP="00906F2A" w:rsidRDefault="006B3A11" w14:paraId="366F55AC" w14:textId="3C547511">
      <w:pPr>
        <w:pStyle w:val="ListParagraph"/>
        <w:spacing w:after="0" w:line="276" w:lineRule="auto"/>
        <w:ind w:left="0"/>
        <w:jc w:val="both"/>
        <w:rPr>
          <w:rFonts w:ascii="Arial" w:hAnsi="Arial" w:cs="Arial"/>
          <w:color w:val="FF0000"/>
        </w:rPr>
      </w:pPr>
      <w:r w:rsidRPr="009E3615">
        <w:rPr>
          <w:noProof/>
        </w:rPr>
        <w:drawing>
          <wp:anchor distT="0" distB="0" distL="114300" distR="114300" simplePos="0" relativeHeight="251662336" behindDoc="0" locked="0" layoutInCell="1" allowOverlap="1" wp14:anchorId="3C1D4F4B" wp14:editId="6EB1272C">
            <wp:simplePos x="0" y="0"/>
            <wp:positionH relativeFrom="margin">
              <wp:posOffset>651510</wp:posOffset>
            </wp:positionH>
            <wp:positionV relativeFrom="paragraph">
              <wp:posOffset>193040</wp:posOffset>
            </wp:positionV>
            <wp:extent cx="5017770" cy="3954780"/>
            <wp:effectExtent l="0" t="0" r="0" b="762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17770" cy="39547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48747B4A">
        <w:rPr/>
        <w:t/>
      </w:r>
    </w:p>
    <w:p w:rsidRPr="0032511F" w:rsidR="00906F2A" w:rsidP="00906F2A" w:rsidRDefault="00906F2A" w14:paraId="044450A0" w14:textId="546EDE56">
      <w:pPr>
        <w:pStyle w:val="ListParagraph"/>
        <w:spacing w:after="0" w:line="276" w:lineRule="auto"/>
        <w:ind w:left="0"/>
        <w:jc w:val="both"/>
        <w:rPr>
          <w:rFonts w:ascii="Arial" w:hAnsi="Arial" w:cs="Arial"/>
          <w:color w:val="FF0000"/>
        </w:rPr>
      </w:pPr>
    </w:p>
    <w:p w:rsidRPr="0032511F" w:rsidR="00906F2A" w:rsidP="00C24FDA" w:rsidRDefault="00906F2A" w14:paraId="394FEDBC" w14:textId="4A601DC9">
      <w:pPr>
        <w:pStyle w:val="ListParagraph"/>
        <w:spacing w:after="0" w:line="276" w:lineRule="auto"/>
        <w:ind w:left="0"/>
        <w:jc w:val="both"/>
        <w:rPr>
          <w:rFonts w:ascii="Arial" w:hAnsi="Arial" w:cs="Arial"/>
        </w:rPr>
      </w:pPr>
    </w:p>
    <w:p w:rsidRPr="0032511F" w:rsidR="00A0079B" w:rsidP="00B324B2" w:rsidRDefault="00B324B2" w14:paraId="7315E784" w14:textId="34B05E8F">
      <w:pPr>
        <w:pStyle w:val="ListParagraph"/>
        <w:numPr>
          <w:ilvl w:val="0"/>
          <w:numId w:val="1"/>
        </w:numPr>
        <w:ind w:left="426" w:hanging="426"/>
        <w:jc w:val="both"/>
        <w:rPr>
          <w:rFonts w:ascii="Arial" w:hAnsi="Arial" w:cs="Arial"/>
          <w:b/>
          <w:u w:val="single"/>
        </w:rPr>
      </w:pPr>
      <w:r w:rsidRPr="0032511F">
        <w:rPr>
          <w:rFonts w:ascii="Arial" w:hAnsi="Arial" w:cs="Arial"/>
          <w:b/>
          <w:u w:val="single"/>
        </w:rPr>
        <w:t>Información general de la necesidad de vivienda en El salvador</w:t>
      </w:r>
    </w:p>
    <w:p w:rsidRPr="0032511F" w:rsidR="00A0079B" w:rsidP="00C24FDA" w:rsidRDefault="00A0079B" w14:paraId="69052EB3" w14:textId="53A4E753">
      <w:pPr>
        <w:pStyle w:val="ListParagraph"/>
        <w:spacing w:after="0" w:line="276" w:lineRule="auto"/>
        <w:ind w:left="0"/>
        <w:jc w:val="both"/>
        <w:rPr>
          <w:rFonts w:ascii="Arial" w:hAnsi="Arial" w:cs="Arial"/>
        </w:rPr>
      </w:pPr>
    </w:p>
    <w:p w:rsidRPr="0032511F" w:rsidR="004E067B" w:rsidP="0060648B" w:rsidRDefault="004E067B" w14:paraId="1A5E781B" w14:textId="77777777">
      <w:pPr>
        <w:spacing w:after="0" w:line="276" w:lineRule="auto"/>
        <w:jc w:val="both"/>
        <w:rPr>
          <w:rFonts w:ascii="Arial" w:hAnsi="Arial" w:cs="Arial"/>
        </w:rPr>
      </w:pPr>
      <w:r w:rsidRPr="0032511F">
        <w:rPr>
          <w:rFonts w:ascii="Arial" w:hAnsi="Arial" w:cs="Arial"/>
        </w:rPr>
        <w:t>Según datos la encuesta de hogares de propósitos múltiples del año 2018, en el apartado “</w:t>
      </w:r>
      <w:r w:rsidRPr="0032511F" w:rsidR="0060648B">
        <w:rPr>
          <w:rFonts w:ascii="Arial" w:hAnsi="Arial" w:cs="Arial"/>
        </w:rPr>
        <w:t>V. VIVIENDA</w:t>
      </w:r>
      <w:r w:rsidRPr="0032511F">
        <w:rPr>
          <w:rFonts w:ascii="Arial" w:hAnsi="Arial" w:cs="Arial"/>
        </w:rPr>
        <w:t>”, indica lo siguiente:</w:t>
      </w:r>
    </w:p>
    <w:p w:rsidRPr="0032511F" w:rsidR="004E067B" w:rsidP="0060648B" w:rsidRDefault="004E067B" w14:paraId="6ADD7410" w14:textId="77777777">
      <w:pPr>
        <w:spacing w:after="0" w:line="276" w:lineRule="auto"/>
        <w:jc w:val="both"/>
        <w:rPr>
          <w:rFonts w:ascii="Arial" w:hAnsi="Arial" w:cs="Arial"/>
        </w:rPr>
      </w:pPr>
    </w:p>
    <w:p w:rsidRPr="0032511F" w:rsidR="0060648B" w:rsidP="0060648B" w:rsidRDefault="0060648B" w14:paraId="7B1F84B5" w14:textId="35326F1D">
      <w:pPr>
        <w:spacing w:after="0" w:line="276" w:lineRule="auto"/>
        <w:jc w:val="both"/>
        <w:rPr>
          <w:rFonts w:ascii="Arial" w:hAnsi="Arial" w:cs="Arial"/>
          <w:b/>
          <w:bCs/>
          <w:i/>
          <w:iCs/>
        </w:rPr>
      </w:pPr>
      <w:r w:rsidRPr="0032511F">
        <w:rPr>
          <w:rFonts w:ascii="Arial" w:hAnsi="Arial" w:cs="Arial"/>
          <w:b/>
          <w:bCs/>
          <w:i/>
          <w:iCs/>
        </w:rPr>
        <w:t>Tipo de vivienda</w:t>
      </w:r>
    </w:p>
    <w:p w:rsidRPr="0032511F" w:rsidR="0060648B" w:rsidP="0060648B" w:rsidRDefault="0060648B" w14:paraId="5605189E" w14:textId="24D733FD">
      <w:pPr>
        <w:spacing w:after="0" w:line="276" w:lineRule="auto"/>
        <w:jc w:val="both"/>
        <w:rPr>
          <w:rFonts w:ascii="Arial" w:hAnsi="Arial" w:cs="Arial"/>
          <w:i/>
          <w:iCs/>
        </w:rPr>
      </w:pPr>
      <w:r w:rsidRPr="0032511F">
        <w:rPr>
          <w:rFonts w:ascii="Arial" w:hAnsi="Arial" w:cs="Arial"/>
          <w:i/>
          <w:iCs/>
        </w:rPr>
        <w:t>Según estimaciones de la EHPM 2018 la cantidad de hogares a nivel nacional ascienden a 1</w:t>
      </w:r>
      <w:r w:rsidR="00AB69C0">
        <w:rPr>
          <w:rFonts w:ascii="Arial" w:hAnsi="Arial" w:cs="Arial"/>
          <w:i/>
          <w:iCs/>
        </w:rPr>
        <w:t>.</w:t>
      </w:r>
      <w:r w:rsidRPr="0032511F">
        <w:rPr>
          <w:rFonts w:ascii="Arial" w:hAnsi="Arial" w:cs="Arial"/>
          <w:i/>
          <w:iCs/>
        </w:rPr>
        <w:t>869</w:t>
      </w:r>
      <w:r w:rsidR="00AB69C0">
        <w:rPr>
          <w:rFonts w:ascii="Arial" w:hAnsi="Arial" w:cs="Arial"/>
          <w:i/>
          <w:iCs/>
        </w:rPr>
        <w:t>.</w:t>
      </w:r>
      <w:r w:rsidRPr="0032511F">
        <w:rPr>
          <w:rFonts w:ascii="Arial" w:hAnsi="Arial" w:cs="Arial"/>
          <w:i/>
          <w:iCs/>
        </w:rPr>
        <w:t xml:space="preserve">608 que </w:t>
      </w:r>
      <w:proofErr w:type="gramStart"/>
      <w:r w:rsidRPr="0032511F">
        <w:rPr>
          <w:rFonts w:ascii="Arial" w:hAnsi="Arial" w:cs="Arial"/>
          <w:i/>
          <w:iCs/>
        </w:rPr>
        <w:t>de acuerdo al</w:t>
      </w:r>
      <w:proofErr w:type="gramEnd"/>
      <w:r w:rsidRPr="0032511F">
        <w:rPr>
          <w:rFonts w:ascii="Arial" w:hAnsi="Arial" w:cs="Arial"/>
          <w:i/>
          <w:iCs/>
        </w:rPr>
        <w:t xml:space="preserve"> tipo de vivienda la mayor participación corresponde a los hogares que habitan en casa privada o independiente con el 96</w:t>
      </w:r>
      <w:r w:rsidR="00AB69C0">
        <w:rPr>
          <w:rFonts w:ascii="Arial" w:hAnsi="Arial" w:cs="Arial"/>
          <w:i/>
          <w:iCs/>
        </w:rPr>
        <w:t>,</w:t>
      </w:r>
      <w:r w:rsidRPr="0032511F">
        <w:rPr>
          <w:rFonts w:ascii="Arial" w:hAnsi="Arial" w:cs="Arial"/>
          <w:i/>
          <w:iCs/>
        </w:rPr>
        <w:t>1%; 1</w:t>
      </w:r>
      <w:r w:rsidR="00AB69C0">
        <w:rPr>
          <w:rFonts w:ascii="Arial" w:hAnsi="Arial" w:cs="Arial"/>
          <w:i/>
          <w:iCs/>
        </w:rPr>
        <w:t>,</w:t>
      </w:r>
      <w:r w:rsidRPr="0032511F">
        <w:rPr>
          <w:rFonts w:ascii="Arial" w:hAnsi="Arial" w:cs="Arial"/>
          <w:i/>
          <w:iCs/>
        </w:rPr>
        <w:t>3% en condominio; un 1</w:t>
      </w:r>
      <w:r w:rsidR="00AB69C0">
        <w:rPr>
          <w:rFonts w:ascii="Arial" w:hAnsi="Arial" w:cs="Arial"/>
          <w:i/>
          <w:iCs/>
        </w:rPr>
        <w:t>,</w:t>
      </w:r>
      <w:r w:rsidRPr="0032511F">
        <w:rPr>
          <w:rFonts w:ascii="Arial" w:hAnsi="Arial" w:cs="Arial"/>
          <w:i/>
          <w:iCs/>
        </w:rPr>
        <w:t>2% de los hogares habitan en pieza en mesón y un 0</w:t>
      </w:r>
      <w:r w:rsidR="00AB69C0">
        <w:rPr>
          <w:rFonts w:ascii="Arial" w:hAnsi="Arial" w:cs="Arial"/>
          <w:i/>
          <w:iCs/>
        </w:rPr>
        <w:t>,</w:t>
      </w:r>
      <w:r w:rsidRPr="0032511F">
        <w:rPr>
          <w:rFonts w:ascii="Arial" w:hAnsi="Arial" w:cs="Arial"/>
          <w:i/>
          <w:iCs/>
        </w:rPr>
        <w:t>6% lo hace en pieza en casa; el resto de los hogares (0</w:t>
      </w:r>
      <w:r w:rsidR="00AB69C0">
        <w:rPr>
          <w:rFonts w:ascii="Arial" w:hAnsi="Arial" w:cs="Arial"/>
          <w:i/>
          <w:iCs/>
        </w:rPr>
        <w:t>,</w:t>
      </w:r>
      <w:r w:rsidRPr="0032511F">
        <w:rPr>
          <w:rFonts w:ascii="Arial" w:hAnsi="Arial" w:cs="Arial"/>
          <w:i/>
          <w:iCs/>
        </w:rPr>
        <w:t>8%) habita en apartamento, casa improvisada y rancho. La distribución a nivel de área geográfica es bastante similar, destaca que, en el caso de los condominios, las piezas en un mesón, apartamentos y casas</w:t>
      </w:r>
      <w:r w:rsidRPr="0032511F" w:rsidR="00921B2F">
        <w:rPr>
          <w:rFonts w:ascii="Arial" w:hAnsi="Arial" w:cs="Arial"/>
          <w:i/>
          <w:iCs/>
        </w:rPr>
        <w:t xml:space="preserve"> </w:t>
      </w:r>
      <w:r w:rsidRPr="0032511F">
        <w:rPr>
          <w:rFonts w:ascii="Arial" w:hAnsi="Arial" w:cs="Arial"/>
          <w:i/>
          <w:iCs/>
        </w:rPr>
        <w:t>improvisadas, aunque son un porcentaje bajo a nivel nacional, se presentan básicamente en el área urbana.</w:t>
      </w:r>
    </w:p>
    <w:p w:rsidRPr="0032511F" w:rsidR="0060648B" w:rsidP="0060648B" w:rsidRDefault="0060648B" w14:paraId="4DD36E76" w14:textId="77777777">
      <w:pPr>
        <w:spacing w:after="0" w:line="276" w:lineRule="auto"/>
        <w:jc w:val="both"/>
        <w:rPr>
          <w:rFonts w:ascii="Arial" w:hAnsi="Arial" w:cs="Arial"/>
          <w:i/>
          <w:iCs/>
        </w:rPr>
      </w:pPr>
    </w:p>
    <w:p w:rsidRPr="0032511F" w:rsidR="0060648B" w:rsidP="0060648B" w:rsidRDefault="0060648B" w14:paraId="4341853A" w14:textId="5C542B74">
      <w:pPr>
        <w:spacing w:after="0" w:line="276" w:lineRule="auto"/>
        <w:jc w:val="both"/>
        <w:rPr>
          <w:rFonts w:ascii="Arial" w:hAnsi="Arial" w:cs="Arial"/>
          <w:b/>
          <w:bCs/>
          <w:i/>
          <w:iCs/>
        </w:rPr>
      </w:pPr>
      <w:r w:rsidRPr="0032511F">
        <w:rPr>
          <w:rFonts w:ascii="Arial" w:hAnsi="Arial" w:cs="Arial"/>
          <w:b/>
          <w:bCs/>
          <w:i/>
          <w:iCs/>
        </w:rPr>
        <w:t>Tenencia de la vivienda</w:t>
      </w:r>
    </w:p>
    <w:p w:rsidRPr="0032511F" w:rsidR="0060648B" w:rsidP="0060648B" w:rsidRDefault="0060648B" w14:paraId="4C90C492" w14:textId="1D4BB2AD">
      <w:pPr>
        <w:spacing w:after="0" w:line="276" w:lineRule="auto"/>
        <w:jc w:val="both"/>
        <w:rPr>
          <w:rFonts w:ascii="Arial" w:hAnsi="Arial" w:cs="Arial"/>
          <w:i/>
          <w:iCs/>
        </w:rPr>
      </w:pPr>
      <w:r w:rsidRPr="0032511F">
        <w:rPr>
          <w:rFonts w:ascii="Arial" w:hAnsi="Arial" w:cs="Arial"/>
          <w:i/>
          <w:iCs/>
        </w:rPr>
        <w:t>En cuanto a la forma de tenencia de la vivienda se observa que a nivel nacional el 52</w:t>
      </w:r>
      <w:r w:rsidR="00AB69C0">
        <w:rPr>
          <w:rFonts w:ascii="Arial" w:hAnsi="Arial" w:cs="Arial"/>
          <w:i/>
          <w:iCs/>
        </w:rPr>
        <w:t>,</w:t>
      </w:r>
      <w:r w:rsidRPr="0032511F">
        <w:rPr>
          <w:rFonts w:ascii="Arial" w:hAnsi="Arial" w:cs="Arial"/>
          <w:i/>
          <w:iCs/>
        </w:rPr>
        <w:t>8% de los hogares son propietarios de sus viviendas, el 20</w:t>
      </w:r>
      <w:r w:rsidR="00AB69C0">
        <w:rPr>
          <w:rFonts w:ascii="Arial" w:hAnsi="Arial" w:cs="Arial"/>
          <w:i/>
          <w:iCs/>
        </w:rPr>
        <w:t>,</w:t>
      </w:r>
      <w:r w:rsidRPr="0032511F">
        <w:rPr>
          <w:rFonts w:ascii="Arial" w:hAnsi="Arial" w:cs="Arial"/>
          <w:i/>
          <w:iCs/>
        </w:rPr>
        <w:t>4% son ocupantes gratuitos, el 13</w:t>
      </w:r>
      <w:r w:rsidR="00AB69C0">
        <w:rPr>
          <w:rFonts w:ascii="Arial" w:hAnsi="Arial" w:cs="Arial"/>
          <w:i/>
          <w:iCs/>
        </w:rPr>
        <w:t>,</w:t>
      </w:r>
      <w:r w:rsidRPr="0032511F">
        <w:rPr>
          <w:rFonts w:ascii="Arial" w:hAnsi="Arial" w:cs="Arial"/>
          <w:i/>
          <w:iCs/>
        </w:rPr>
        <w:t>4% son inquilinos, el 6</w:t>
      </w:r>
      <w:r w:rsidR="00AB69C0">
        <w:rPr>
          <w:rFonts w:ascii="Arial" w:hAnsi="Arial" w:cs="Arial"/>
          <w:i/>
          <w:iCs/>
        </w:rPr>
        <w:t>,</w:t>
      </w:r>
      <w:r w:rsidRPr="0032511F">
        <w:rPr>
          <w:rFonts w:ascii="Arial" w:hAnsi="Arial" w:cs="Arial"/>
          <w:i/>
          <w:iCs/>
        </w:rPr>
        <w:t xml:space="preserve">2% </w:t>
      </w:r>
      <w:r w:rsidRPr="0032511F">
        <w:rPr>
          <w:rFonts w:ascii="Arial" w:hAnsi="Arial" w:cs="Arial"/>
          <w:i/>
          <w:iCs/>
        </w:rPr>
        <w:lastRenderedPageBreak/>
        <w:t>son propietarios en terreno privado, el 4</w:t>
      </w:r>
      <w:r w:rsidR="00AB69C0">
        <w:rPr>
          <w:rFonts w:ascii="Arial" w:hAnsi="Arial" w:cs="Arial"/>
          <w:i/>
          <w:iCs/>
        </w:rPr>
        <w:t>,</w:t>
      </w:r>
      <w:r w:rsidRPr="0032511F">
        <w:rPr>
          <w:rFonts w:ascii="Arial" w:hAnsi="Arial" w:cs="Arial"/>
          <w:i/>
          <w:iCs/>
        </w:rPr>
        <w:t>1% son propietarios y aún están pagando su vivienda, el 2</w:t>
      </w:r>
      <w:r w:rsidR="00AB69C0">
        <w:rPr>
          <w:rFonts w:ascii="Arial" w:hAnsi="Arial" w:cs="Arial"/>
          <w:i/>
          <w:iCs/>
        </w:rPr>
        <w:t>,</w:t>
      </w:r>
      <w:r w:rsidRPr="0032511F">
        <w:rPr>
          <w:rFonts w:ascii="Arial" w:hAnsi="Arial" w:cs="Arial"/>
          <w:i/>
          <w:iCs/>
        </w:rPr>
        <w:t>6% son propietarios en terreno público</w:t>
      </w:r>
      <w:r w:rsidRPr="0032511F" w:rsidR="004E067B">
        <w:rPr>
          <w:rStyle w:val="FootnoteReference"/>
          <w:rFonts w:ascii="Arial" w:hAnsi="Arial" w:cs="Arial"/>
          <w:i/>
          <w:iCs/>
        </w:rPr>
        <w:footnoteReference w:id="4"/>
      </w:r>
      <w:r w:rsidR="00AB69C0">
        <w:rPr>
          <w:rFonts w:ascii="Arial" w:hAnsi="Arial" w:cs="Arial"/>
          <w:i/>
          <w:iCs/>
        </w:rPr>
        <w:t>.</w:t>
      </w:r>
    </w:p>
    <w:p w:rsidRPr="0032511F" w:rsidR="0060648B" w:rsidP="0060648B" w:rsidRDefault="0060648B" w14:paraId="15322942" w14:textId="3E39CBC2">
      <w:pPr>
        <w:spacing w:after="0" w:line="276" w:lineRule="auto"/>
        <w:jc w:val="both"/>
        <w:rPr>
          <w:rFonts w:ascii="Arial" w:hAnsi="Arial" w:cs="Arial"/>
        </w:rPr>
      </w:pPr>
    </w:p>
    <w:p w:rsidRPr="0032511F" w:rsidR="00F16667" w:rsidP="0060648B" w:rsidRDefault="00F16667" w14:paraId="4A4A9E94" w14:textId="7DFEA51D">
      <w:pPr>
        <w:spacing w:after="0" w:line="276" w:lineRule="auto"/>
        <w:jc w:val="both"/>
        <w:rPr>
          <w:rFonts w:ascii="Arial" w:hAnsi="Arial" w:cs="Arial"/>
        </w:rPr>
      </w:pPr>
      <w:r w:rsidRPr="0032511F">
        <w:rPr>
          <w:rFonts w:ascii="Arial" w:hAnsi="Arial" w:cs="Arial"/>
        </w:rPr>
        <w:t>De la información de la EHPM</w:t>
      </w:r>
      <w:r w:rsidRPr="0032511F" w:rsidR="00C3146A">
        <w:rPr>
          <w:rFonts w:ascii="Arial" w:hAnsi="Arial" w:cs="Arial"/>
        </w:rPr>
        <w:t xml:space="preserve"> 2018 podemos identificar </w:t>
      </w:r>
      <w:r w:rsidRPr="0032511F" w:rsidR="00F94EA3">
        <w:rPr>
          <w:rFonts w:ascii="Arial" w:hAnsi="Arial" w:cs="Arial"/>
        </w:rPr>
        <w:t xml:space="preserve">una </w:t>
      </w:r>
      <w:r w:rsidRPr="0032511F" w:rsidR="00C3146A">
        <w:rPr>
          <w:rFonts w:ascii="Arial" w:hAnsi="Arial" w:cs="Arial"/>
        </w:rPr>
        <w:t xml:space="preserve">potencial demanda de necesidades habitacionales y un mercado potencial para el Fondo, al sumar las categorías por tenencia </w:t>
      </w:r>
      <w:r w:rsidRPr="0032511F" w:rsidR="006C7DA4">
        <w:rPr>
          <w:rFonts w:ascii="Arial" w:hAnsi="Arial" w:cs="Arial"/>
        </w:rPr>
        <w:t>correspondientes a</w:t>
      </w:r>
      <w:r w:rsidRPr="0032511F" w:rsidR="00C3146A">
        <w:rPr>
          <w:rFonts w:ascii="Arial" w:hAnsi="Arial" w:cs="Arial"/>
        </w:rPr>
        <w:t xml:space="preserve"> ocupantes gratuitos e inquilinos se obtiene un 33</w:t>
      </w:r>
      <w:r w:rsidR="00AD0640">
        <w:rPr>
          <w:rFonts w:ascii="Arial" w:hAnsi="Arial" w:cs="Arial"/>
        </w:rPr>
        <w:t>,</w:t>
      </w:r>
      <w:r w:rsidRPr="0032511F" w:rsidR="00C3146A">
        <w:rPr>
          <w:rFonts w:ascii="Arial" w:hAnsi="Arial" w:cs="Arial"/>
        </w:rPr>
        <w:t>8% del parque habitacional (631</w:t>
      </w:r>
      <w:r w:rsidR="00AD0640">
        <w:rPr>
          <w:rFonts w:ascii="Arial" w:hAnsi="Arial" w:cs="Arial"/>
        </w:rPr>
        <w:t>.</w:t>
      </w:r>
      <w:r w:rsidRPr="0032511F" w:rsidR="00C3146A">
        <w:rPr>
          <w:rFonts w:ascii="Arial" w:hAnsi="Arial" w:cs="Arial"/>
        </w:rPr>
        <w:t xml:space="preserve">928 hogares), del cual se puede inferir que eventualmente requerirán un financiamiento para la adquisición de la vivienda que están habitando. </w:t>
      </w:r>
    </w:p>
    <w:p w:rsidRPr="0032511F" w:rsidR="000C05AA" w:rsidP="0060648B" w:rsidRDefault="000C05AA" w14:paraId="6434C3C6" w14:textId="57475F77">
      <w:pPr>
        <w:spacing w:after="0" w:line="276" w:lineRule="auto"/>
        <w:jc w:val="both"/>
        <w:rPr>
          <w:rFonts w:ascii="Arial" w:hAnsi="Arial" w:cs="Arial"/>
        </w:rPr>
      </w:pPr>
    </w:p>
    <w:p w:rsidRPr="0032511F" w:rsidR="000C05AA" w:rsidP="0060648B" w:rsidRDefault="000C05AA" w14:paraId="68263E95" w14:textId="47912D13">
      <w:pPr>
        <w:spacing w:after="0" w:line="276" w:lineRule="auto"/>
        <w:jc w:val="both"/>
        <w:rPr>
          <w:rFonts w:ascii="Arial" w:hAnsi="Arial" w:cs="Arial"/>
        </w:rPr>
      </w:pPr>
      <w:r w:rsidRPr="0032511F">
        <w:rPr>
          <w:rFonts w:ascii="Arial" w:hAnsi="Arial" w:cs="Arial"/>
        </w:rPr>
        <w:t>Una de las demandas más sentidas de la población salvadoreña, y en especial de aquella</w:t>
      </w:r>
      <w:r w:rsidRPr="0032511F" w:rsidR="006C7DA4">
        <w:rPr>
          <w:rFonts w:ascii="Arial" w:hAnsi="Arial" w:cs="Arial"/>
        </w:rPr>
        <w:t>s</w:t>
      </w:r>
      <w:r w:rsidRPr="0032511F">
        <w:rPr>
          <w:rFonts w:ascii="Arial" w:hAnsi="Arial" w:cs="Arial"/>
        </w:rPr>
        <w:t xml:space="preserve"> en situación de pobreza, es tener acceso a un hábitat y vivienda dignos (PNUD, 2013). Sin embargo, El Salvador aún enfrenta grandes desafíos para cubrir estas expectativas y hacer valer este derecho de la población. Un estudio del BID (Bouillon, 2012) estimó que el déficit habitacional afectaba a casi 6 de cada 10 hogares salvadoreños (cifras a 2009), ubicando al país como el quinto con el mayor déficit habitacional en América Latina.  </w:t>
      </w:r>
    </w:p>
    <w:p w:rsidRPr="0032511F" w:rsidR="00F16667" w:rsidP="0060648B" w:rsidRDefault="00F16667" w14:paraId="769C8B0E" w14:textId="0E13EE22">
      <w:pPr>
        <w:spacing w:after="0" w:line="276" w:lineRule="auto"/>
        <w:jc w:val="both"/>
        <w:rPr>
          <w:rFonts w:ascii="Arial" w:hAnsi="Arial" w:cs="Arial"/>
        </w:rPr>
      </w:pPr>
    </w:p>
    <w:p w:rsidRPr="0032511F" w:rsidR="000C05AA" w:rsidP="0060648B" w:rsidRDefault="000C05AA" w14:paraId="4C749318" w14:textId="0DB885EE">
      <w:pPr>
        <w:spacing w:after="0" w:line="276" w:lineRule="auto"/>
        <w:jc w:val="both"/>
        <w:rPr>
          <w:rFonts w:ascii="Arial" w:hAnsi="Arial" w:cs="Arial"/>
          <w:b/>
          <w:bCs/>
        </w:rPr>
      </w:pPr>
      <w:r w:rsidRPr="0032511F">
        <w:rPr>
          <w:rFonts w:ascii="Arial" w:hAnsi="Arial" w:cs="Arial"/>
          <w:b/>
          <w:bCs/>
        </w:rPr>
        <w:t>Sistema financiero.</w:t>
      </w:r>
    </w:p>
    <w:p w:rsidR="0035663A" w:rsidP="0060648B" w:rsidRDefault="0035663A" w14:paraId="2DA3450D" w14:textId="02712929">
      <w:pPr>
        <w:spacing w:after="0" w:line="276" w:lineRule="auto"/>
        <w:jc w:val="both"/>
        <w:rPr>
          <w:rFonts w:ascii="Arial" w:hAnsi="Arial" w:cs="Arial"/>
        </w:rPr>
      </w:pPr>
      <w:r w:rsidRPr="0032511F">
        <w:rPr>
          <w:rFonts w:ascii="Arial" w:hAnsi="Arial" w:cs="Arial"/>
        </w:rPr>
        <w:t>En otro punto, el mercado de créditos en El Salvador es de un poco más de US$13</w:t>
      </w:r>
      <w:r w:rsidR="000E5E39">
        <w:rPr>
          <w:rFonts w:ascii="Arial" w:hAnsi="Arial" w:cs="Arial"/>
        </w:rPr>
        <w:t>.</w:t>
      </w:r>
      <w:r w:rsidRPr="0032511F">
        <w:rPr>
          <w:rFonts w:ascii="Arial" w:hAnsi="Arial" w:cs="Arial"/>
        </w:rPr>
        <w:t>000 millones de los cuales US$2</w:t>
      </w:r>
      <w:r w:rsidR="000E5E39">
        <w:rPr>
          <w:rFonts w:ascii="Arial" w:hAnsi="Arial" w:cs="Arial"/>
        </w:rPr>
        <w:t>.</w:t>
      </w:r>
      <w:r w:rsidRPr="0032511F">
        <w:rPr>
          <w:rFonts w:ascii="Arial" w:hAnsi="Arial" w:cs="Arial"/>
        </w:rPr>
        <w:t>530</w:t>
      </w:r>
      <w:r w:rsidR="000E5E39">
        <w:rPr>
          <w:rFonts w:ascii="Arial" w:hAnsi="Arial" w:cs="Arial"/>
        </w:rPr>
        <w:t>,</w:t>
      </w:r>
      <w:r w:rsidRPr="0032511F">
        <w:rPr>
          <w:rFonts w:ascii="Arial" w:hAnsi="Arial" w:cs="Arial"/>
        </w:rPr>
        <w:t>86 millones son destinados para la adquisición de vivienda. (Ver cuadro: Detalle de cartera de préstamos clasificada por sectores económicos)</w:t>
      </w:r>
    </w:p>
    <w:p w:rsidRPr="0032511F" w:rsidR="0035663A" w:rsidP="0060648B" w:rsidRDefault="0035663A" w14:paraId="73227DC3" w14:textId="77777777">
      <w:pPr>
        <w:spacing w:after="0" w:line="276" w:lineRule="auto"/>
        <w:jc w:val="both"/>
        <w:rPr>
          <w:rFonts w:ascii="Arial" w:hAnsi="Arial" w:cs="Arial"/>
        </w:rPr>
      </w:pPr>
    </w:p>
    <w:tbl>
      <w:tblPr>
        <w:tblW w:w="5000" w:type="pct"/>
        <w:jc w:val="center"/>
        <w:tblCellMar>
          <w:left w:w="70" w:type="dxa"/>
          <w:right w:w="70" w:type="dxa"/>
        </w:tblCellMar>
        <w:tblLook w:val="04A0" w:firstRow="1" w:lastRow="0" w:firstColumn="1" w:lastColumn="0" w:noHBand="0" w:noVBand="1"/>
      </w:tblPr>
      <w:tblGrid>
        <w:gridCol w:w="3322"/>
        <w:gridCol w:w="1180"/>
        <w:gridCol w:w="1281"/>
        <w:gridCol w:w="1135"/>
        <w:gridCol w:w="1222"/>
        <w:gridCol w:w="1180"/>
        <w:gridCol w:w="760"/>
      </w:tblGrid>
      <w:tr w:rsidRPr="0032511F" w:rsidR="000324ED" w:rsidTr="00196555" w14:paraId="046DD3EF" w14:textId="77777777">
        <w:trPr>
          <w:trHeight w:val="227"/>
          <w:jc w:val="center"/>
        </w:trPr>
        <w:tc>
          <w:tcPr>
            <w:tcW w:w="5000" w:type="pct"/>
            <w:gridSpan w:val="7"/>
            <w:tcBorders>
              <w:top w:val="nil"/>
              <w:left w:val="nil"/>
              <w:bottom w:val="nil"/>
              <w:right w:val="nil"/>
            </w:tcBorders>
            <w:shd w:val="clear" w:color="000000" w:fill="FFFFFF"/>
            <w:vAlign w:val="center"/>
            <w:hideMark/>
          </w:tcPr>
          <w:p w:rsidRPr="0032511F" w:rsidR="000324ED" w:rsidP="0060648B" w:rsidRDefault="000324ED" w14:paraId="24C96005" w14:textId="202D2CF8">
            <w:pPr>
              <w:spacing w:after="0" w:line="240" w:lineRule="auto"/>
              <w:jc w:val="both"/>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DETALLE DE CARTERA DE PRESTAMOS CLASIFICADA POR SECTORES ECONOMICOS – BANCOS EL SALVADOR</w:t>
            </w:r>
          </w:p>
          <w:p w:rsidRPr="0032511F" w:rsidR="000324ED" w:rsidP="008655AA" w:rsidRDefault="000324ED" w14:paraId="72355E41" w14:textId="43E78AEC">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(Millones US$)</w:t>
            </w:r>
          </w:p>
        </w:tc>
      </w:tr>
      <w:tr w:rsidRPr="0032511F" w:rsidR="000324ED" w:rsidTr="006B3A11" w14:paraId="5C4B7A52" w14:textId="77777777">
        <w:trPr>
          <w:trHeight w:val="503"/>
          <w:jc w:val="center"/>
        </w:trPr>
        <w:tc>
          <w:tcPr>
            <w:tcW w:w="1517" w:type="pct"/>
            <w:tcBorders>
              <w:top w:val="single" w:color="538DD5" w:sz="4" w:space="0"/>
              <w:left w:val="single" w:color="538DD5" w:sz="4" w:space="0"/>
              <w:bottom w:val="single" w:color="538DD5" w:sz="4" w:space="0"/>
              <w:right w:val="single" w:color="538DD5" w:sz="4" w:space="0"/>
            </w:tcBorders>
            <w:shd w:val="clear" w:color="auto" w:fill="323E4F" w:themeFill="text2" w:themeFillShade="BF"/>
            <w:vAlign w:val="center"/>
            <w:hideMark/>
          </w:tcPr>
          <w:p w:rsidRPr="0032511F" w:rsidR="000324ED" w:rsidP="008655AA" w:rsidRDefault="000324ED" w14:paraId="2564C8B3" w14:textId="77777777">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8"/>
                <w:szCs w:val="18"/>
                <w:lang w:eastAsia="es-SV"/>
              </w:rPr>
              <w:t>DESTINOS ECONÓMICOS</w:t>
            </w:r>
          </w:p>
        </w:tc>
        <w:tc>
          <w:tcPr>
            <w:tcW w:w="607" w:type="pct"/>
            <w:tcBorders>
              <w:top w:val="single" w:color="538DD5" w:sz="4" w:space="0"/>
              <w:left w:val="nil"/>
              <w:bottom w:val="single" w:color="538DD5" w:sz="4" w:space="0"/>
              <w:right w:val="single" w:color="538DD5" w:sz="4" w:space="0"/>
            </w:tcBorders>
            <w:shd w:val="clear" w:color="auto" w:fill="323E4F" w:themeFill="text2" w:themeFillShade="BF"/>
            <w:vAlign w:val="center"/>
            <w:hideMark/>
          </w:tcPr>
          <w:p w:rsidRPr="0032511F" w:rsidR="000324ED" w:rsidP="008655AA" w:rsidRDefault="000324ED" w14:paraId="267439E5" w14:textId="77777777">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8"/>
                <w:szCs w:val="18"/>
                <w:lang w:eastAsia="es-SV"/>
              </w:rPr>
              <w:t>2015</w:t>
            </w:r>
          </w:p>
        </w:tc>
        <w:tc>
          <w:tcPr>
            <w:tcW w:w="657" w:type="pct"/>
            <w:tcBorders>
              <w:top w:val="single" w:color="538DD5" w:sz="4" w:space="0"/>
              <w:left w:val="nil"/>
              <w:bottom w:val="single" w:color="538DD5" w:sz="4" w:space="0"/>
              <w:right w:val="single" w:color="538DD5" w:sz="4" w:space="0"/>
            </w:tcBorders>
            <w:shd w:val="clear" w:color="auto" w:fill="323E4F" w:themeFill="text2" w:themeFillShade="BF"/>
            <w:vAlign w:val="center"/>
            <w:hideMark/>
          </w:tcPr>
          <w:p w:rsidRPr="0032511F" w:rsidR="000324ED" w:rsidP="008655AA" w:rsidRDefault="000324ED" w14:paraId="53DDC8E0" w14:textId="77777777">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8"/>
                <w:szCs w:val="18"/>
                <w:lang w:eastAsia="es-SV"/>
              </w:rPr>
              <w:t>2016</w:t>
            </w:r>
          </w:p>
        </w:tc>
        <w:tc>
          <w:tcPr>
            <w:tcW w:w="585" w:type="pct"/>
            <w:tcBorders>
              <w:top w:val="single" w:color="538DD5" w:sz="4" w:space="0"/>
              <w:left w:val="nil"/>
              <w:bottom w:val="single" w:color="538DD5" w:sz="4" w:space="0"/>
              <w:right w:val="single" w:color="538DD5" w:sz="4" w:space="0"/>
            </w:tcBorders>
            <w:shd w:val="clear" w:color="auto" w:fill="323E4F" w:themeFill="text2" w:themeFillShade="BF"/>
            <w:vAlign w:val="center"/>
            <w:hideMark/>
          </w:tcPr>
          <w:p w:rsidRPr="0032511F" w:rsidR="000324ED" w:rsidP="008655AA" w:rsidRDefault="000324ED" w14:paraId="7E702C89" w14:textId="77777777">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8"/>
                <w:szCs w:val="18"/>
                <w:lang w:eastAsia="es-SV"/>
              </w:rPr>
              <w:t>2017</w:t>
            </w:r>
          </w:p>
        </w:tc>
        <w:tc>
          <w:tcPr>
            <w:tcW w:w="628" w:type="pct"/>
            <w:tcBorders>
              <w:top w:val="single" w:color="538DD5" w:sz="4" w:space="0"/>
              <w:left w:val="nil"/>
              <w:bottom w:val="single" w:color="538DD5" w:sz="4" w:space="0"/>
              <w:right w:val="single" w:color="538DD5" w:sz="4" w:space="0"/>
            </w:tcBorders>
            <w:shd w:val="clear" w:color="auto" w:fill="323E4F" w:themeFill="text2" w:themeFillShade="BF"/>
            <w:vAlign w:val="center"/>
            <w:hideMark/>
          </w:tcPr>
          <w:p w:rsidRPr="0032511F" w:rsidR="000324ED" w:rsidP="008655AA" w:rsidRDefault="000324ED" w14:paraId="30698AF1" w14:textId="77777777">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8"/>
                <w:szCs w:val="18"/>
                <w:lang w:eastAsia="es-SV"/>
              </w:rPr>
              <w:t>2018</w:t>
            </w:r>
          </w:p>
        </w:tc>
        <w:tc>
          <w:tcPr>
            <w:tcW w:w="607" w:type="pct"/>
            <w:tcBorders>
              <w:top w:val="single" w:color="538DD5" w:sz="4" w:space="0"/>
              <w:left w:val="nil"/>
              <w:bottom w:val="single" w:color="538DD5" w:sz="4" w:space="0"/>
              <w:right w:val="single" w:color="538DD5" w:sz="4" w:space="0"/>
            </w:tcBorders>
            <w:shd w:val="clear" w:color="auto" w:fill="323E4F" w:themeFill="text2" w:themeFillShade="BF"/>
            <w:vAlign w:val="center"/>
            <w:hideMark/>
          </w:tcPr>
          <w:p w:rsidRPr="0032511F" w:rsidR="000324ED" w:rsidP="008655AA" w:rsidRDefault="000324ED" w14:paraId="5C040D1A" w14:textId="77777777">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8"/>
                <w:szCs w:val="18"/>
                <w:lang w:eastAsia="es-SV"/>
              </w:rPr>
              <w:t>2019</w:t>
            </w:r>
          </w:p>
        </w:tc>
        <w:tc>
          <w:tcPr>
            <w:tcW w:w="390" w:type="pct"/>
            <w:tcBorders>
              <w:top w:val="single" w:color="538DD5" w:sz="4" w:space="0"/>
              <w:left w:val="nil"/>
              <w:bottom w:val="single" w:color="538DD5" w:sz="4" w:space="0"/>
              <w:right w:val="single" w:color="538DD5" w:sz="4" w:space="0"/>
            </w:tcBorders>
            <w:shd w:val="clear" w:color="auto" w:fill="323E4F" w:themeFill="text2" w:themeFillShade="BF"/>
            <w:vAlign w:val="center"/>
            <w:hideMark/>
          </w:tcPr>
          <w:p w:rsidRPr="0032511F" w:rsidR="000324ED" w:rsidP="008655AA" w:rsidRDefault="000324ED" w14:paraId="22777836" w14:textId="77777777">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4"/>
                <w:szCs w:val="14"/>
                <w:lang w:eastAsia="es-SV"/>
              </w:rPr>
              <w:t>Δ% 2018-2019</w:t>
            </w:r>
          </w:p>
        </w:tc>
      </w:tr>
      <w:tr w:rsidRPr="0032511F" w:rsidR="000324ED" w:rsidTr="00196555" w14:paraId="70E69BD8" w14:textId="77777777">
        <w:trPr>
          <w:trHeight w:val="288"/>
          <w:jc w:val="center"/>
        </w:trPr>
        <w:tc>
          <w:tcPr>
            <w:tcW w:w="1517" w:type="pct"/>
            <w:tcBorders>
              <w:top w:val="nil"/>
              <w:left w:val="single" w:color="538DD5" w:sz="4" w:space="0"/>
              <w:bottom w:val="nil"/>
              <w:right w:val="single" w:color="538DD5" w:sz="4" w:space="0"/>
            </w:tcBorders>
            <w:shd w:val="clear" w:color="000000" w:fill="FFFFFF"/>
            <w:noWrap/>
            <w:vAlign w:val="center"/>
            <w:hideMark/>
          </w:tcPr>
          <w:p w:rsidRPr="0032511F" w:rsidR="000324ED" w:rsidP="008655AA" w:rsidRDefault="000324ED" w14:paraId="56A0794C"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Adquisición de Vivienda</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655A4CD2" w14:textId="621B9323">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391</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06</w:t>
            </w:r>
          </w:p>
        </w:tc>
        <w:tc>
          <w:tcPr>
            <w:tcW w:w="65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544209ED" w14:textId="14D30501">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416</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87</w:t>
            </w:r>
          </w:p>
        </w:tc>
        <w:tc>
          <w:tcPr>
            <w:tcW w:w="585"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0483A9AF" w14:textId="725FA359">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455</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27</w:t>
            </w:r>
          </w:p>
        </w:tc>
        <w:tc>
          <w:tcPr>
            <w:tcW w:w="628"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4A115738" w14:textId="7F86C025">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463</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09</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164BE579" w14:textId="4DC70125">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530</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86</w:t>
            </w:r>
          </w:p>
        </w:tc>
        <w:tc>
          <w:tcPr>
            <w:tcW w:w="390"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78AF1C89" w14:textId="10D78EC4">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8%</w:t>
            </w:r>
          </w:p>
        </w:tc>
      </w:tr>
      <w:tr w:rsidRPr="0032511F" w:rsidR="000324ED" w:rsidTr="00196555" w14:paraId="70D86E32" w14:textId="77777777">
        <w:trPr>
          <w:trHeight w:val="288"/>
          <w:jc w:val="center"/>
        </w:trPr>
        <w:tc>
          <w:tcPr>
            <w:tcW w:w="1517" w:type="pct"/>
            <w:tcBorders>
              <w:top w:val="single" w:color="FFFFFF" w:sz="4" w:space="0"/>
              <w:left w:val="single" w:color="538DD5" w:sz="4" w:space="0"/>
              <w:bottom w:val="nil"/>
              <w:right w:val="single" w:color="538DD5" w:sz="4" w:space="0"/>
            </w:tcBorders>
            <w:shd w:val="clear" w:color="auto" w:fill="BDD6EE" w:themeFill="accent5" w:themeFillTint="66"/>
            <w:noWrap/>
            <w:vAlign w:val="center"/>
            <w:hideMark/>
          </w:tcPr>
          <w:p w:rsidRPr="0032511F" w:rsidR="000324ED" w:rsidP="008655AA" w:rsidRDefault="000324ED" w14:paraId="59F592D8" w14:textId="77777777">
            <w:pPr>
              <w:spacing w:after="0" w:line="240" w:lineRule="auto"/>
              <w:ind w:firstLine="180" w:firstLineChars="100"/>
              <w:rPr>
                <w:rFonts w:ascii="Arial" w:hAnsi="Arial" w:eastAsia="Times New Roman" w:cs="Arial"/>
                <w:sz w:val="18"/>
                <w:szCs w:val="18"/>
                <w:lang w:eastAsia="es-SV"/>
              </w:rPr>
            </w:pPr>
            <w:r w:rsidRPr="0032511F">
              <w:rPr>
                <w:rFonts w:ascii="Arial" w:hAnsi="Arial" w:eastAsia="Times New Roman" w:cs="Arial"/>
                <w:sz w:val="18"/>
                <w:szCs w:val="18"/>
                <w:lang w:eastAsia="es-SV"/>
              </w:rPr>
              <w:t>Adquisición de Vivienda</w:t>
            </w:r>
          </w:p>
        </w:tc>
        <w:tc>
          <w:tcPr>
            <w:tcW w:w="607" w:type="pct"/>
            <w:tcBorders>
              <w:top w:val="nil"/>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3D0F5F88" w14:textId="3627D461">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264</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37</w:t>
            </w:r>
          </w:p>
        </w:tc>
        <w:tc>
          <w:tcPr>
            <w:tcW w:w="657" w:type="pct"/>
            <w:tcBorders>
              <w:top w:val="nil"/>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11D0AFF0" w14:textId="41D88C8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294</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38</w:t>
            </w:r>
          </w:p>
        </w:tc>
        <w:tc>
          <w:tcPr>
            <w:tcW w:w="585" w:type="pct"/>
            <w:tcBorders>
              <w:top w:val="nil"/>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0DFA4143" w14:textId="0A59C85A">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330</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65</w:t>
            </w:r>
          </w:p>
        </w:tc>
        <w:tc>
          <w:tcPr>
            <w:tcW w:w="628" w:type="pct"/>
            <w:tcBorders>
              <w:top w:val="nil"/>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54A66E39" w14:textId="3ED8F78A">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339</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08</w:t>
            </w:r>
          </w:p>
        </w:tc>
        <w:tc>
          <w:tcPr>
            <w:tcW w:w="607" w:type="pct"/>
            <w:tcBorders>
              <w:top w:val="nil"/>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0FDF541B" w14:textId="72EB924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409</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10</w:t>
            </w:r>
          </w:p>
        </w:tc>
        <w:tc>
          <w:tcPr>
            <w:tcW w:w="390" w:type="pct"/>
            <w:tcBorders>
              <w:top w:val="nil"/>
              <w:left w:val="nil"/>
              <w:bottom w:val="nil"/>
              <w:right w:val="single" w:color="538DD5" w:sz="4" w:space="0"/>
            </w:tcBorders>
            <w:shd w:val="clear" w:color="auto" w:fill="auto"/>
            <w:noWrap/>
            <w:vAlign w:val="center"/>
            <w:hideMark/>
          </w:tcPr>
          <w:p w:rsidRPr="0032511F" w:rsidR="000324ED" w:rsidP="008655AA" w:rsidRDefault="000324ED" w14:paraId="05AA49A8" w14:textId="063E77C0">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0%</w:t>
            </w:r>
          </w:p>
        </w:tc>
      </w:tr>
      <w:tr w:rsidRPr="0032511F" w:rsidR="000324ED" w:rsidTr="00196555" w14:paraId="117D9AC8" w14:textId="77777777">
        <w:trPr>
          <w:trHeight w:val="288"/>
          <w:jc w:val="center"/>
        </w:trPr>
        <w:tc>
          <w:tcPr>
            <w:tcW w:w="1517" w:type="pct"/>
            <w:tcBorders>
              <w:top w:val="single" w:color="FFFFFF" w:sz="4" w:space="0"/>
              <w:left w:val="single" w:color="538DD5" w:sz="4" w:space="0"/>
              <w:bottom w:val="nil"/>
              <w:right w:val="single" w:color="538DD5" w:sz="4" w:space="0"/>
            </w:tcBorders>
            <w:shd w:val="clear" w:color="auto" w:fill="BDD6EE" w:themeFill="accent5" w:themeFillTint="66"/>
            <w:noWrap/>
            <w:vAlign w:val="center"/>
            <w:hideMark/>
          </w:tcPr>
          <w:p w:rsidRPr="0032511F" w:rsidR="000324ED" w:rsidP="008655AA" w:rsidRDefault="000324ED" w14:paraId="3A086EE6" w14:textId="77777777">
            <w:pPr>
              <w:spacing w:after="0" w:line="240" w:lineRule="auto"/>
              <w:ind w:firstLine="180" w:firstLineChars="100"/>
              <w:rPr>
                <w:rFonts w:ascii="Arial" w:hAnsi="Arial" w:eastAsia="Times New Roman" w:cs="Arial"/>
                <w:sz w:val="18"/>
                <w:szCs w:val="18"/>
                <w:lang w:eastAsia="es-SV"/>
              </w:rPr>
            </w:pPr>
            <w:r w:rsidRPr="0032511F">
              <w:rPr>
                <w:rFonts w:ascii="Arial" w:hAnsi="Arial" w:eastAsia="Times New Roman" w:cs="Arial"/>
                <w:sz w:val="18"/>
                <w:szCs w:val="18"/>
                <w:lang w:eastAsia="es-SV"/>
              </w:rPr>
              <w:t>Refinanciamientos</w:t>
            </w:r>
          </w:p>
        </w:tc>
        <w:tc>
          <w:tcPr>
            <w:tcW w:w="607" w:type="pct"/>
            <w:tcBorders>
              <w:top w:val="single" w:color="FFFFFF" w:sz="4" w:space="0"/>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70933569" w14:textId="1D08613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$126</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69</w:t>
            </w:r>
          </w:p>
        </w:tc>
        <w:tc>
          <w:tcPr>
            <w:tcW w:w="657" w:type="pct"/>
            <w:tcBorders>
              <w:top w:val="single" w:color="FFFFFF" w:sz="4" w:space="0"/>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5A74DE66" w14:textId="657BA08C">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$122</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49</w:t>
            </w:r>
          </w:p>
        </w:tc>
        <w:tc>
          <w:tcPr>
            <w:tcW w:w="585" w:type="pct"/>
            <w:tcBorders>
              <w:top w:val="single" w:color="FFFFFF" w:sz="4" w:space="0"/>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5084E691" w14:textId="77054B5A">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$124</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62</w:t>
            </w:r>
          </w:p>
        </w:tc>
        <w:tc>
          <w:tcPr>
            <w:tcW w:w="628" w:type="pct"/>
            <w:tcBorders>
              <w:top w:val="single" w:color="FFFFFF" w:sz="4" w:space="0"/>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158E17A7" w14:textId="209EED38">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$124</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01</w:t>
            </w:r>
          </w:p>
        </w:tc>
        <w:tc>
          <w:tcPr>
            <w:tcW w:w="607" w:type="pct"/>
            <w:tcBorders>
              <w:top w:val="single" w:color="FFFFFF" w:sz="4" w:space="0"/>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072E2662" w14:textId="2CA9438B">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$121</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76</w:t>
            </w:r>
          </w:p>
        </w:tc>
        <w:tc>
          <w:tcPr>
            <w:tcW w:w="390" w:type="pct"/>
            <w:tcBorders>
              <w:top w:val="single" w:color="FFFFFF" w:sz="4" w:space="0"/>
              <w:left w:val="nil"/>
              <w:bottom w:val="nil"/>
              <w:right w:val="single" w:color="538DD5" w:sz="4" w:space="0"/>
            </w:tcBorders>
            <w:shd w:val="clear" w:color="auto" w:fill="auto"/>
            <w:noWrap/>
            <w:vAlign w:val="center"/>
            <w:hideMark/>
          </w:tcPr>
          <w:p w:rsidRPr="0032511F" w:rsidR="000324ED" w:rsidP="008655AA" w:rsidRDefault="000324ED" w14:paraId="1083205F" w14:textId="6F1425F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8%</w:t>
            </w:r>
          </w:p>
        </w:tc>
      </w:tr>
      <w:tr w:rsidRPr="0032511F" w:rsidR="000324ED" w:rsidTr="00196555" w14:paraId="45B60D6D" w14:textId="77777777">
        <w:trPr>
          <w:trHeight w:val="288"/>
          <w:jc w:val="center"/>
        </w:trPr>
        <w:tc>
          <w:tcPr>
            <w:tcW w:w="1517" w:type="pct"/>
            <w:tcBorders>
              <w:top w:val="single" w:color="FFFFFF" w:sz="4" w:space="0"/>
              <w:left w:val="single" w:color="538DD5" w:sz="4" w:space="0"/>
              <w:bottom w:val="nil"/>
              <w:right w:val="single" w:color="538DD5" w:sz="4" w:space="0"/>
            </w:tcBorders>
            <w:shd w:val="clear" w:color="000000" w:fill="FFFFFF"/>
            <w:noWrap/>
            <w:vAlign w:val="center"/>
            <w:hideMark/>
          </w:tcPr>
          <w:p w:rsidRPr="0032511F" w:rsidR="000324ED" w:rsidP="008655AA" w:rsidRDefault="000324ED" w14:paraId="1AA79BF6"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Agropecuario</w:t>
            </w:r>
          </w:p>
        </w:tc>
        <w:tc>
          <w:tcPr>
            <w:tcW w:w="607" w:type="pct"/>
            <w:tcBorders>
              <w:top w:val="nil"/>
              <w:left w:val="nil"/>
              <w:bottom w:val="nil"/>
              <w:right w:val="single" w:color="538DD5" w:sz="4" w:space="0"/>
            </w:tcBorders>
            <w:shd w:val="clear" w:color="auto" w:fill="auto"/>
            <w:noWrap/>
            <w:vAlign w:val="center"/>
            <w:hideMark/>
          </w:tcPr>
          <w:p w:rsidRPr="0032511F" w:rsidR="000324ED" w:rsidP="008655AA" w:rsidRDefault="000324ED" w14:paraId="2B16F3C7" w14:textId="123106A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$367</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59</w:t>
            </w:r>
          </w:p>
        </w:tc>
        <w:tc>
          <w:tcPr>
            <w:tcW w:w="657" w:type="pct"/>
            <w:tcBorders>
              <w:top w:val="nil"/>
              <w:left w:val="nil"/>
              <w:bottom w:val="nil"/>
              <w:right w:val="single" w:color="538DD5" w:sz="4" w:space="0"/>
            </w:tcBorders>
            <w:shd w:val="clear" w:color="auto" w:fill="auto"/>
            <w:noWrap/>
            <w:vAlign w:val="center"/>
            <w:hideMark/>
          </w:tcPr>
          <w:p w:rsidRPr="0032511F" w:rsidR="000324ED" w:rsidP="008655AA" w:rsidRDefault="000324ED" w14:paraId="2A92D0BE" w14:textId="52BD9ECC">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$376</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28</w:t>
            </w:r>
          </w:p>
        </w:tc>
        <w:tc>
          <w:tcPr>
            <w:tcW w:w="585" w:type="pct"/>
            <w:tcBorders>
              <w:top w:val="nil"/>
              <w:left w:val="nil"/>
              <w:bottom w:val="nil"/>
              <w:right w:val="single" w:color="538DD5" w:sz="4" w:space="0"/>
            </w:tcBorders>
            <w:shd w:val="clear" w:color="auto" w:fill="auto"/>
            <w:noWrap/>
            <w:vAlign w:val="center"/>
            <w:hideMark/>
          </w:tcPr>
          <w:p w:rsidRPr="0032511F" w:rsidR="000324ED" w:rsidP="008655AA" w:rsidRDefault="000324ED" w14:paraId="5D5ECC62" w14:textId="32FF556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$395</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09</w:t>
            </w:r>
          </w:p>
        </w:tc>
        <w:tc>
          <w:tcPr>
            <w:tcW w:w="628" w:type="pct"/>
            <w:tcBorders>
              <w:top w:val="nil"/>
              <w:left w:val="nil"/>
              <w:bottom w:val="nil"/>
              <w:right w:val="single" w:color="538DD5" w:sz="4" w:space="0"/>
            </w:tcBorders>
            <w:shd w:val="clear" w:color="auto" w:fill="auto"/>
            <w:noWrap/>
            <w:vAlign w:val="center"/>
            <w:hideMark/>
          </w:tcPr>
          <w:p w:rsidRPr="0032511F" w:rsidR="000324ED" w:rsidP="008655AA" w:rsidRDefault="000324ED" w14:paraId="18D3B0C2" w14:textId="59F20396">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$453</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55</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0C30BE33" w14:textId="7730CC52">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$435</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31</w:t>
            </w:r>
          </w:p>
        </w:tc>
        <w:tc>
          <w:tcPr>
            <w:tcW w:w="390" w:type="pct"/>
            <w:tcBorders>
              <w:top w:val="nil"/>
              <w:left w:val="nil"/>
              <w:bottom w:val="nil"/>
              <w:right w:val="single" w:color="538DD5" w:sz="4" w:space="0"/>
            </w:tcBorders>
            <w:shd w:val="clear" w:color="auto" w:fill="auto"/>
            <w:noWrap/>
            <w:vAlign w:val="center"/>
            <w:hideMark/>
          </w:tcPr>
          <w:p w:rsidRPr="0032511F" w:rsidR="000324ED" w:rsidP="008655AA" w:rsidRDefault="000324ED" w14:paraId="44FD5516" w14:textId="1629F20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-4</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0%</w:t>
            </w:r>
          </w:p>
        </w:tc>
      </w:tr>
      <w:tr w:rsidRPr="0032511F" w:rsidR="000324ED" w:rsidTr="00196555" w14:paraId="2EAB0993" w14:textId="77777777">
        <w:trPr>
          <w:trHeight w:val="288"/>
          <w:jc w:val="center"/>
        </w:trPr>
        <w:tc>
          <w:tcPr>
            <w:tcW w:w="1517" w:type="pct"/>
            <w:tcBorders>
              <w:top w:val="single" w:color="FFFFFF" w:sz="4" w:space="0"/>
              <w:left w:val="single" w:color="538DD5" w:sz="4" w:space="0"/>
              <w:bottom w:val="nil"/>
              <w:right w:val="single" w:color="538DD5" w:sz="4" w:space="0"/>
            </w:tcBorders>
            <w:shd w:val="clear" w:color="000000" w:fill="FFFFFF"/>
            <w:noWrap/>
            <w:vAlign w:val="center"/>
            <w:hideMark/>
          </w:tcPr>
          <w:p w:rsidRPr="0032511F" w:rsidR="000324ED" w:rsidP="008655AA" w:rsidRDefault="000324ED" w14:paraId="742DDFAB"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Minería y Canteras</w:t>
            </w:r>
          </w:p>
        </w:tc>
        <w:tc>
          <w:tcPr>
            <w:tcW w:w="607" w:type="pct"/>
            <w:tcBorders>
              <w:top w:val="nil"/>
              <w:left w:val="nil"/>
              <w:bottom w:val="nil"/>
              <w:right w:val="single" w:color="538DD5" w:sz="4" w:space="0"/>
            </w:tcBorders>
            <w:shd w:val="clear" w:color="auto" w:fill="auto"/>
            <w:noWrap/>
            <w:vAlign w:val="center"/>
            <w:hideMark/>
          </w:tcPr>
          <w:p w:rsidRPr="0032511F" w:rsidR="000324ED" w:rsidP="008655AA" w:rsidRDefault="000324ED" w14:paraId="1EEA917E" w14:textId="2FD45B5C">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$6</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80</w:t>
            </w:r>
          </w:p>
        </w:tc>
        <w:tc>
          <w:tcPr>
            <w:tcW w:w="657" w:type="pct"/>
            <w:tcBorders>
              <w:top w:val="nil"/>
              <w:left w:val="nil"/>
              <w:bottom w:val="nil"/>
              <w:right w:val="single" w:color="538DD5" w:sz="4" w:space="0"/>
            </w:tcBorders>
            <w:shd w:val="clear" w:color="auto" w:fill="auto"/>
            <w:noWrap/>
            <w:vAlign w:val="center"/>
            <w:hideMark/>
          </w:tcPr>
          <w:p w:rsidRPr="0032511F" w:rsidR="000324ED" w:rsidP="008655AA" w:rsidRDefault="000324ED" w14:paraId="27DC57AE" w14:textId="436E5CCB">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$5</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87</w:t>
            </w:r>
          </w:p>
        </w:tc>
        <w:tc>
          <w:tcPr>
            <w:tcW w:w="585" w:type="pct"/>
            <w:tcBorders>
              <w:top w:val="nil"/>
              <w:left w:val="nil"/>
              <w:bottom w:val="nil"/>
              <w:right w:val="single" w:color="538DD5" w:sz="4" w:space="0"/>
            </w:tcBorders>
            <w:shd w:val="clear" w:color="auto" w:fill="auto"/>
            <w:noWrap/>
            <w:vAlign w:val="center"/>
            <w:hideMark/>
          </w:tcPr>
          <w:p w:rsidRPr="0032511F" w:rsidR="000324ED" w:rsidP="008655AA" w:rsidRDefault="000324ED" w14:paraId="4B1C7DEF" w14:textId="1DBE9F8A">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$5</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54</w:t>
            </w:r>
          </w:p>
        </w:tc>
        <w:tc>
          <w:tcPr>
            <w:tcW w:w="628" w:type="pct"/>
            <w:tcBorders>
              <w:top w:val="nil"/>
              <w:left w:val="nil"/>
              <w:bottom w:val="nil"/>
              <w:right w:val="single" w:color="538DD5" w:sz="4" w:space="0"/>
            </w:tcBorders>
            <w:shd w:val="clear" w:color="auto" w:fill="auto"/>
            <w:noWrap/>
            <w:vAlign w:val="center"/>
            <w:hideMark/>
          </w:tcPr>
          <w:p w:rsidRPr="0032511F" w:rsidR="000324ED" w:rsidP="008655AA" w:rsidRDefault="000324ED" w14:paraId="1F181DDB" w14:textId="3FF572C8">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56</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7B3E20D7" w14:textId="03895A02">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$5</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34</w:t>
            </w:r>
          </w:p>
        </w:tc>
        <w:tc>
          <w:tcPr>
            <w:tcW w:w="390" w:type="pct"/>
            <w:tcBorders>
              <w:top w:val="nil"/>
              <w:left w:val="nil"/>
              <w:bottom w:val="nil"/>
              <w:right w:val="single" w:color="538DD5" w:sz="4" w:space="0"/>
            </w:tcBorders>
            <w:shd w:val="clear" w:color="auto" w:fill="auto"/>
            <w:noWrap/>
            <w:vAlign w:val="center"/>
            <w:hideMark/>
          </w:tcPr>
          <w:p w:rsidRPr="0032511F" w:rsidR="000324ED" w:rsidP="008655AA" w:rsidRDefault="000324ED" w14:paraId="197EC07C" w14:textId="67AC41E6">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49</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8%</w:t>
            </w:r>
          </w:p>
        </w:tc>
      </w:tr>
      <w:tr w:rsidRPr="0032511F" w:rsidR="000324ED" w:rsidTr="00196555" w14:paraId="64DD04C6" w14:textId="77777777">
        <w:trPr>
          <w:trHeight w:val="288"/>
          <w:jc w:val="center"/>
        </w:trPr>
        <w:tc>
          <w:tcPr>
            <w:tcW w:w="1517" w:type="pct"/>
            <w:tcBorders>
              <w:top w:val="single" w:color="FFFFFF" w:sz="4" w:space="0"/>
              <w:left w:val="single" w:color="538DD5" w:sz="4" w:space="0"/>
              <w:bottom w:val="nil"/>
              <w:right w:val="single" w:color="538DD5" w:sz="4" w:space="0"/>
            </w:tcBorders>
            <w:shd w:val="clear" w:color="000000" w:fill="FFFFFF"/>
            <w:noWrap/>
            <w:vAlign w:val="center"/>
            <w:hideMark/>
          </w:tcPr>
          <w:p w:rsidRPr="0032511F" w:rsidR="000324ED" w:rsidP="008655AA" w:rsidRDefault="000324ED" w14:paraId="729B0C8A"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Industria Manufacturera</w:t>
            </w:r>
          </w:p>
        </w:tc>
        <w:tc>
          <w:tcPr>
            <w:tcW w:w="607" w:type="pct"/>
            <w:tcBorders>
              <w:top w:val="nil"/>
              <w:left w:val="nil"/>
              <w:bottom w:val="nil"/>
              <w:right w:val="single" w:color="538DD5" w:sz="4" w:space="0"/>
            </w:tcBorders>
            <w:shd w:val="clear" w:color="auto" w:fill="auto"/>
            <w:noWrap/>
            <w:vAlign w:val="center"/>
            <w:hideMark/>
          </w:tcPr>
          <w:p w:rsidRPr="0032511F" w:rsidR="000324ED" w:rsidP="008655AA" w:rsidRDefault="000324ED" w14:paraId="413CF68E" w14:textId="5BD825A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022</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46</w:t>
            </w:r>
          </w:p>
        </w:tc>
        <w:tc>
          <w:tcPr>
            <w:tcW w:w="657" w:type="pct"/>
            <w:tcBorders>
              <w:top w:val="nil"/>
              <w:left w:val="nil"/>
              <w:bottom w:val="nil"/>
              <w:right w:val="single" w:color="538DD5" w:sz="4" w:space="0"/>
            </w:tcBorders>
            <w:shd w:val="clear" w:color="auto" w:fill="auto"/>
            <w:noWrap/>
            <w:vAlign w:val="center"/>
            <w:hideMark/>
          </w:tcPr>
          <w:p w:rsidRPr="0032511F" w:rsidR="000324ED" w:rsidP="008655AA" w:rsidRDefault="000324ED" w14:paraId="5ACB7921" w14:textId="4A7617F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113</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63</w:t>
            </w:r>
          </w:p>
        </w:tc>
        <w:tc>
          <w:tcPr>
            <w:tcW w:w="585" w:type="pct"/>
            <w:tcBorders>
              <w:top w:val="nil"/>
              <w:left w:val="nil"/>
              <w:bottom w:val="nil"/>
              <w:right w:val="single" w:color="538DD5" w:sz="4" w:space="0"/>
            </w:tcBorders>
            <w:shd w:val="clear" w:color="auto" w:fill="auto"/>
            <w:noWrap/>
            <w:vAlign w:val="center"/>
            <w:hideMark/>
          </w:tcPr>
          <w:p w:rsidRPr="0032511F" w:rsidR="000324ED" w:rsidP="008655AA" w:rsidRDefault="000324ED" w14:paraId="4AF2D522" w14:textId="21D59AD1">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232</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68</w:t>
            </w:r>
          </w:p>
        </w:tc>
        <w:tc>
          <w:tcPr>
            <w:tcW w:w="628" w:type="pct"/>
            <w:tcBorders>
              <w:top w:val="nil"/>
              <w:left w:val="nil"/>
              <w:bottom w:val="nil"/>
              <w:right w:val="single" w:color="538DD5" w:sz="4" w:space="0"/>
            </w:tcBorders>
            <w:shd w:val="clear" w:color="auto" w:fill="auto"/>
            <w:noWrap/>
            <w:vAlign w:val="center"/>
            <w:hideMark/>
          </w:tcPr>
          <w:p w:rsidRPr="0032511F" w:rsidR="000324ED" w:rsidP="008655AA" w:rsidRDefault="000324ED" w14:paraId="60E753A3" w14:textId="5A87D854">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306</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50</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25808FB3" w14:textId="5552A393">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290</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67</w:t>
            </w:r>
          </w:p>
        </w:tc>
        <w:tc>
          <w:tcPr>
            <w:tcW w:w="390" w:type="pct"/>
            <w:tcBorders>
              <w:top w:val="nil"/>
              <w:left w:val="nil"/>
              <w:bottom w:val="nil"/>
              <w:right w:val="single" w:color="538DD5" w:sz="4" w:space="0"/>
            </w:tcBorders>
            <w:shd w:val="clear" w:color="auto" w:fill="auto"/>
            <w:noWrap/>
            <w:vAlign w:val="center"/>
            <w:hideMark/>
          </w:tcPr>
          <w:p w:rsidRPr="0032511F" w:rsidR="000324ED" w:rsidP="008655AA" w:rsidRDefault="000324ED" w14:paraId="501586B1" w14:textId="14BC114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2%</w:t>
            </w:r>
          </w:p>
        </w:tc>
      </w:tr>
      <w:tr w:rsidRPr="0032511F" w:rsidR="000324ED" w:rsidTr="00196555" w14:paraId="4226D456" w14:textId="77777777">
        <w:trPr>
          <w:trHeight w:val="288"/>
          <w:jc w:val="center"/>
        </w:trPr>
        <w:tc>
          <w:tcPr>
            <w:tcW w:w="1517" w:type="pct"/>
            <w:tcBorders>
              <w:top w:val="single" w:color="FFFFFF" w:sz="4" w:space="0"/>
              <w:left w:val="single" w:color="538DD5" w:sz="4" w:space="0"/>
              <w:bottom w:val="nil"/>
              <w:right w:val="single" w:color="538DD5" w:sz="4" w:space="0"/>
            </w:tcBorders>
            <w:shd w:val="clear" w:color="000000" w:fill="FFFFFF"/>
            <w:noWrap/>
            <w:vAlign w:val="center"/>
            <w:hideMark/>
          </w:tcPr>
          <w:p w:rsidRPr="0032511F" w:rsidR="000324ED" w:rsidP="008655AA" w:rsidRDefault="000324ED" w14:paraId="0E0CFCEB"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Construcción</w:t>
            </w:r>
          </w:p>
        </w:tc>
        <w:tc>
          <w:tcPr>
            <w:tcW w:w="607" w:type="pct"/>
            <w:tcBorders>
              <w:top w:val="nil"/>
              <w:left w:val="nil"/>
              <w:bottom w:val="nil"/>
              <w:right w:val="single" w:color="538DD5" w:sz="4" w:space="0"/>
            </w:tcBorders>
            <w:shd w:val="clear" w:color="auto" w:fill="auto"/>
            <w:noWrap/>
            <w:vAlign w:val="center"/>
            <w:hideMark/>
          </w:tcPr>
          <w:p w:rsidRPr="0032511F" w:rsidR="000324ED" w:rsidP="008655AA" w:rsidRDefault="000324ED" w14:paraId="234F86CF" w14:textId="64607064">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$322</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77</w:t>
            </w:r>
          </w:p>
        </w:tc>
        <w:tc>
          <w:tcPr>
            <w:tcW w:w="657" w:type="pct"/>
            <w:tcBorders>
              <w:top w:val="nil"/>
              <w:left w:val="nil"/>
              <w:bottom w:val="nil"/>
              <w:right w:val="single" w:color="538DD5" w:sz="4" w:space="0"/>
            </w:tcBorders>
            <w:shd w:val="clear" w:color="auto" w:fill="auto"/>
            <w:noWrap/>
            <w:vAlign w:val="center"/>
            <w:hideMark/>
          </w:tcPr>
          <w:p w:rsidRPr="0032511F" w:rsidR="000324ED" w:rsidP="008655AA" w:rsidRDefault="000324ED" w14:paraId="3CF378F5" w14:textId="5880EC68">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$312</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78</w:t>
            </w:r>
          </w:p>
        </w:tc>
        <w:tc>
          <w:tcPr>
            <w:tcW w:w="585" w:type="pct"/>
            <w:tcBorders>
              <w:top w:val="nil"/>
              <w:left w:val="nil"/>
              <w:bottom w:val="nil"/>
              <w:right w:val="single" w:color="538DD5" w:sz="4" w:space="0"/>
            </w:tcBorders>
            <w:shd w:val="clear" w:color="auto" w:fill="auto"/>
            <w:noWrap/>
            <w:vAlign w:val="center"/>
            <w:hideMark/>
          </w:tcPr>
          <w:p w:rsidRPr="0032511F" w:rsidR="000324ED" w:rsidP="008655AA" w:rsidRDefault="000324ED" w14:paraId="63742CF6" w14:textId="2D6DCE83">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$341</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56</w:t>
            </w:r>
          </w:p>
        </w:tc>
        <w:tc>
          <w:tcPr>
            <w:tcW w:w="628" w:type="pct"/>
            <w:tcBorders>
              <w:top w:val="nil"/>
              <w:left w:val="nil"/>
              <w:bottom w:val="nil"/>
              <w:right w:val="single" w:color="538DD5" w:sz="4" w:space="0"/>
            </w:tcBorders>
            <w:shd w:val="clear" w:color="auto" w:fill="auto"/>
            <w:noWrap/>
            <w:vAlign w:val="center"/>
            <w:hideMark/>
          </w:tcPr>
          <w:p w:rsidRPr="0032511F" w:rsidR="000324ED" w:rsidP="008655AA" w:rsidRDefault="000324ED" w14:paraId="7AEDD106" w14:textId="42C50976">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$455</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01</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1078D675" w14:textId="4172136B">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$667</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51</w:t>
            </w:r>
          </w:p>
        </w:tc>
        <w:tc>
          <w:tcPr>
            <w:tcW w:w="390" w:type="pct"/>
            <w:tcBorders>
              <w:top w:val="nil"/>
              <w:left w:val="nil"/>
              <w:bottom w:val="nil"/>
              <w:right w:val="single" w:color="538DD5" w:sz="4" w:space="0"/>
            </w:tcBorders>
            <w:shd w:val="clear" w:color="auto" w:fill="auto"/>
            <w:noWrap/>
            <w:vAlign w:val="center"/>
            <w:hideMark/>
          </w:tcPr>
          <w:p w:rsidRPr="0032511F" w:rsidR="000324ED" w:rsidP="008655AA" w:rsidRDefault="000324ED" w14:paraId="06C802FA" w14:textId="398C92E9">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46</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7%</w:t>
            </w:r>
          </w:p>
        </w:tc>
      </w:tr>
      <w:tr w:rsidRPr="0032511F" w:rsidR="000324ED" w:rsidTr="00196555" w14:paraId="2CD9E5C4" w14:textId="77777777">
        <w:trPr>
          <w:trHeight w:val="288"/>
          <w:jc w:val="center"/>
        </w:trPr>
        <w:tc>
          <w:tcPr>
            <w:tcW w:w="1517" w:type="pct"/>
            <w:tcBorders>
              <w:top w:val="single" w:color="FFFFFF" w:sz="4" w:space="0"/>
              <w:left w:val="single" w:color="538DD5" w:sz="4" w:space="0"/>
              <w:bottom w:val="nil"/>
              <w:right w:val="single" w:color="538DD5" w:sz="4" w:space="0"/>
            </w:tcBorders>
            <w:shd w:val="clear" w:color="auto" w:fill="BDD6EE" w:themeFill="accent5" w:themeFillTint="66"/>
            <w:noWrap/>
            <w:vAlign w:val="center"/>
            <w:hideMark/>
          </w:tcPr>
          <w:p w:rsidRPr="0032511F" w:rsidR="000324ED" w:rsidP="008655AA" w:rsidRDefault="000324ED" w14:paraId="66ACC4D3" w14:textId="77777777">
            <w:pPr>
              <w:spacing w:after="0" w:line="240" w:lineRule="auto"/>
              <w:ind w:firstLine="180" w:firstLineChars="100"/>
              <w:rPr>
                <w:rFonts w:ascii="Arial" w:hAnsi="Arial" w:eastAsia="Times New Roman" w:cs="Arial"/>
                <w:sz w:val="18"/>
                <w:szCs w:val="18"/>
                <w:lang w:eastAsia="es-SV"/>
              </w:rPr>
            </w:pPr>
            <w:r w:rsidRPr="0032511F">
              <w:rPr>
                <w:rFonts w:ascii="Arial" w:hAnsi="Arial" w:eastAsia="Times New Roman" w:cs="Arial"/>
                <w:sz w:val="18"/>
                <w:szCs w:val="18"/>
                <w:lang w:eastAsia="es-SV"/>
              </w:rPr>
              <w:t>Viviendas</w:t>
            </w:r>
          </w:p>
        </w:tc>
        <w:tc>
          <w:tcPr>
            <w:tcW w:w="607" w:type="pct"/>
            <w:tcBorders>
              <w:top w:val="nil"/>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0D07CDD6" w14:textId="2D527822">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$31</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83</w:t>
            </w:r>
          </w:p>
        </w:tc>
        <w:tc>
          <w:tcPr>
            <w:tcW w:w="657" w:type="pct"/>
            <w:tcBorders>
              <w:top w:val="nil"/>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7F7055E4" w14:textId="6DFD9232">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$38</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12</w:t>
            </w:r>
          </w:p>
        </w:tc>
        <w:tc>
          <w:tcPr>
            <w:tcW w:w="585" w:type="pct"/>
            <w:tcBorders>
              <w:top w:val="nil"/>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139C1327" w14:textId="34CC6DE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$52</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28</w:t>
            </w:r>
          </w:p>
        </w:tc>
        <w:tc>
          <w:tcPr>
            <w:tcW w:w="628" w:type="pct"/>
            <w:tcBorders>
              <w:top w:val="nil"/>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65977471" w14:textId="18AE8B98">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$110</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35</w:t>
            </w:r>
          </w:p>
        </w:tc>
        <w:tc>
          <w:tcPr>
            <w:tcW w:w="607" w:type="pct"/>
            <w:tcBorders>
              <w:top w:val="nil"/>
              <w:left w:val="nil"/>
              <w:bottom w:val="nil"/>
              <w:right w:val="single" w:color="538DD5" w:sz="4" w:space="0"/>
            </w:tcBorders>
            <w:shd w:val="clear" w:color="auto" w:fill="BDD6EE" w:themeFill="accent5" w:themeFillTint="66"/>
            <w:noWrap/>
            <w:vAlign w:val="center"/>
            <w:hideMark/>
          </w:tcPr>
          <w:p w:rsidRPr="0032511F" w:rsidR="000324ED" w:rsidP="008655AA" w:rsidRDefault="000324ED" w14:paraId="7E5AF282" w14:textId="07C40608">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$136</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75</w:t>
            </w:r>
          </w:p>
        </w:tc>
        <w:tc>
          <w:tcPr>
            <w:tcW w:w="390" w:type="pct"/>
            <w:tcBorders>
              <w:top w:val="nil"/>
              <w:left w:val="nil"/>
              <w:bottom w:val="nil"/>
              <w:right w:val="single" w:color="538DD5" w:sz="4" w:space="0"/>
            </w:tcBorders>
            <w:shd w:val="clear" w:color="auto" w:fill="auto"/>
            <w:noWrap/>
            <w:vAlign w:val="center"/>
            <w:hideMark/>
          </w:tcPr>
          <w:p w:rsidRPr="0032511F" w:rsidR="000324ED" w:rsidP="008655AA" w:rsidRDefault="000324ED" w14:paraId="02164ECE" w14:textId="76B7885B">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23</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9%</w:t>
            </w:r>
          </w:p>
        </w:tc>
      </w:tr>
      <w:tr w:rsidRPr="0032511F" w:rsidR="000324ED" w:rsidTr="00196555" w14:paraId="3EBE92CA" w14:textId="77777777">
        <w:trPr>
          <w:trHeight w:val="288"/>
          <w:jc w:val="center"/>
        </w:trPr>
        <w:tc>
          <w:tcPr>
            <w:tcW w:w="1517" w:type="pct"/>
            <w:tcBorders>
              <w:top w:val="single" w:color="FFFFFF" w:sz="4" w:space="0"/>
              <w:left w:val="single" w:color="538DD5" w:sz="4" w:space="0"/>
              <w:bottom w:val="nil"/>
              <w:right w:val="single" w:color="538DD5" w:sz="4" w:space="0"/>
            </w:tcBorders>
            <w:shd w:val="clear" w:color="000000" w:fill="FFFFFF"/>
            <w:noWrap/>
            <w:vAlign w:val="center"/>
            <w:hideMark/>
          </w:tcPr>
          <w:p w:rsidRPr="0032511F" w:rsidR="000324ED" w:rsidP="008655AA" w:rsidRDefault="000324ED" w14:paraId="3E505B22"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Electricidad, gas, agua y servicios</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2BC50A69" w14:textId="1808EC11">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$192</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72</w:t>
            </w:r>
          </w:p>
        </w:tc>
        <w:tc>
          <w:tcPr>
            <w:tcW w:w="65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412D1691" w14:textId="7A397A71">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$213</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66</w:t>
            </w:r>
          </w:p>
        </w:tc>
        <w:tc>
          <w:tcPr>
            <w:tcW w:w="585"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79C789E5" w14:textId="3B041489">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$250</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80</w:t>
            </w:r>
          </w:p>
        </w:tc>
        <w:tc>
          <w:tcPr>
            <w:tcW w:w="628"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7702127F" w14:textId="2D8ED650">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$287</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85</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258C792A" w14:textId="4B1B7FD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$327</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70</w:t>
            </w:r>
          </w:p>
        </w:tc>
        <w:tc>
          <w:tcPr>
            <w:tcW w:w="390"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191110CF" w14:textId="137DF1DA">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13</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8%</w:t>
            </w:r>
          </w:p>
        </w:tc>
      </w:tr>
      <w:tr w:rsidRPr="0032511F" w:rsidR="000324ED" w:rsidTr="00196555" w14:paraId="7752DFEE" w14:textId="77777777">
        <w:trPr>
          <w:trHeight w:val="288"/>
          <w:jc w:val="center"/>
        </w:trPr>
        <w:tc>
          <w:tcPr>
            <w:tcW w:w="1517" w:type="pct"/>
            <w:tcBorders>
              <w:top w:val="single" w:color="FFFFFF" w:sz="4" w:space="0"/>
              <w:left w:val="single" w:color="538DD5" w:sz="4" w:space="0"/>
              <w:bottom w:val="nil"/>
              <w:right w:val="single" w:color="538DD5" w:sz="4" w:space="0"/>
            </w:tcBorders>
            <w:shd w:val="clear" w:color="000000" w:fill="FFFFFF"/>
            <w:noWrap/>
            <w:vAlign w:val="center"/>
            <w:hideMark/>
          </w:tcPr>
          <w:p w:rsidRPr="0032511F" w:rsidR="000324ED" w:rsidP="008655AA" w:rsidRDefault="000324ED" w14:paraId="30123510"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Comercio</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458A6CF2" w14:textId="2B0703F2">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463</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02</w:t>
            </w:r>
          </w:p>
        </w:tc>
        <w:tc>
          <w:tcPr>
            <w:tcW w:w="65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6A825A5A" w14:textId="5DDC9320">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518</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72</w:t>
            </w:r>
          </w:p>
        </w:tc>
        <w:tc>
          <w:tcPr>
            <w:tcW w:w="585"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25D111C1" w14:textId="147027E4">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570</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84</w:t>
            </w:r>
          </w:p>
        </w:tc>
        <w:tc>
          <w:tcPr>
            <w:tcW w:w="628"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60A2D188" w14:textId="1563242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693</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94</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614D45FD" w14:textId="1CD7858C">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712</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17</w:t>
            </w:r>
          </w:p>
        </w:tc>
        <w:tc>
          <w:tcPr>
            <w:tcW w:w="390"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6C82F737" w14:textId="4ED7F1FC">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1%</w:t>
            </w:r>
          </w:p>
        </w:tc>
      </w:tr>
      <w:tr w:rsidRPr="0032511F" w:rsidR="000324ED" w:rsidTr="00196555" w14:paraId="59FB69DA" w14:textId="77777777">
        <w:trPr>
          <w:trHeight w:val="288"/>
          <w:jc w:val="center"/>
        </w:trPr>
        <w:tc>
          <w:tcPr>
            <w:tcW w:w="1517" w:type="pct"/>
            <w:tcBorders>
              <w:top w:val="single" w:color="FFFFFF" w:sz="4" w:space="0"/>
              <w:left w:val="single" w:color="538DD5" w:sz="4" w:space="0"/>
              <w:bottom w:val="nil"/>
              <w:right w:val="single" w:color="538DD5" w:sz="4" w:space="0"/>
            </w:tcBorders>
            <w:shd w:val="clear" w:color="000000" w:fill="FFFFFF"/>
            <w:noWrap/>
            <w:vAlign w:val="center"/>
            <w:hideMark/>
          </w:tcPr>
          <w:p w:rsidRPr="0032511F" w:rsidR="000324ED" w:rsidP="008655AA" w:rsidRDefault="000324ED" w14:paraId="41659D7B"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Transporte, almacenaje y comunicación</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72574070" w14:textId="785B298B">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$187</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36</w:t>
            </w:r>
          </w:p>
        </w:tc>
        <w:tc>
          <w:tcPr>
            <w:tcW w:w="65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184FF0D7" w14:textId="47BEB743">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$220</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93</w:t>
            </w:r>
          </w:p>
        </w:tc>
        <w:tc>
          <w:tcPr>
            <w:tcW w:w="585"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4DD72E2A" w14:textId="6226446B">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$241</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78</w:t>
            </w:r>
          </w:p>
        </w:tc>
        <w:tc>
          <w:tcPr>
            <w:tcW w:w="628"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5312D4BA" w14:textId="0D33C8FC">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$274</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89</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1477CAC0" w14:textId="73AF169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$280</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75</w:t>
            </w:r>
          </w:p>
        </w:tc>
        <w:tc>
          <w:tcPr>
            <w:tcW w:w="390"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52A9DFCC" w14:textId="217FBE13">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1%</w:t>
            </w:r>
          </w:p>
        </w:tc>
      </w:tr>
      <w:tr w:rsidRPr="0032511F" w:rsidR="000324ED" w:rsidTr="00196555" w14:paraId="34E2D933" w14:textId="77777777">
        <w:trPr>
          <w:trHeight w:val="288"/>
          <w:jc w:val="center"/>
        </w:trPr>
        <w:tc>
          <w:tcPr>
            <w:tcW w:w="1517" w:type="pct"/>
            <w:tcBorders>
              <w:top w:val="single" w:color="FFFFFF" w:sz="4" w:space="0"/>
              <w:left w:val="single" w:color="538DD5" w:sz="4" w:space="0"/>
              <w:bottom w:val="nil"/>
              <w:right w:val="single" w:color="538DD5" w:sz="4" w:space="0"/>
            </w:tcBorders>
            <w:shd w:val="clear" w:color="000000" w:fill="FFFFFF"/>
            <w:noWrap/>
            <w:vAlign w:val="center"/>
            <w:hideMark/>
          </w:tcPr>
          <w:p w:rsidRPr="0032511F" w:rsidR="000324ED" w:rsidP="008655AA" w:rsidRDefault="000324ED" w14:paraId="1D18BABF"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Servicios</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58C0F01A" w14:textId="5C803F4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$852</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23</w:t>
            </w:r>
          </w:p>
        </w:tc>
        <w:tc>
          <w:tcPr>
            <w:tcW w:w="65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7CC7F08E" w14:textId="04ECA42D">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$901</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86</w:t>
            </w:r>
          </w:p>
        </w:tc>
        <w:tc>
          <w:tcPr>
            <w:tcW w:w="585"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1D6472FF" w14:textId="4F459E2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$931</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30</w:t>
            </w:r>
          </w:p>
        </w:tc>
        <w:tc>
          <w:tcPr>
            <w:tcW w:w="628"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319C5A68" w14:textId="48CD6CD4">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$933</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70</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56452358" w14:textId="6A5C8A61">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$975</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44</w:t>
            </w:r>
          </w:p>
        </w:tc>
        <w:tc>
          <w:tcPr>
            <w:tcW w:w="390"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3569BF76" w14:textId="1CE1E780">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4</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5%</w:t>
            </w:r>
          </w:p>
        </w:tc>
      </w:tr>
      <w:tr w:rsidRPr="0032511F" w:rsidR="000324ED" w:rsidTr="00196555" w14:paraId="01FFF0E6" w14:textId="77777777">
        <w:trPr>
          <w:trHeight w:val="288"/>
          <w:jc w:val="center"/>
        </w:trPr>
        <w:tc>
          <w:tcPr>
            <w:tcW w:w="1517" w:type="pct"/>
            <w:tcBorders>
              <w:top w:val="single" w:color="FFFFFF" w:sz="4" w:space="0"/>
              <w:left w:val="single" w:color="538DD5" w:sz="4" w:space="0"/>
              <w:bottom w:val="nil"/>
              <w:right w:val="single" w:color="538DD5" w:sz="4" w:space="0"/>
            </w:tcBorders>
            <w:shd w:val="clear" w:color="000000" w:fill="FFFFFF"/>
            <w:noWrap/>
            <w:vAlign w:val="center"/>
            <w:hideMark/>
          </w:tcPr>
          <w:p w:rsidRPr="0032511F" w:rsidR="000324ED" w:rsidP="008655AA" w:rsidRDefault="000324ED" w14:paraId="7DB3505E"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Instituciones Financieras</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631F13FE" w14:textId="414A432F">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$211</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31</w:t>
            </w:r>
          </w:p>
        </w:tc>
        <w:tc>
          <w:tcPr>
            <w:tcW w:w="65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3A4EDC34" w14:textId="450B287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$232</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84</w:t>
            </w:r>
          </w:p>
        </w:tc>
        <w:tc>
          <w:tcPr>
            <w:tcW w:w="585"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7E628410" w14:textId="63A61458">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$186</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74</w:t>
            </w:r>
          </w:p>
        </w:tc>
        <w:tc>
          <w:tcPr>
            <w:tcW w:w="628"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24715D77" w14:textId="7F66FA8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$162</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54</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2C1B5741" w14:textId="54668693">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$170</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76</w:t>
            </w:r>
          </w:p>
        </w:tc>
        <w:tc>
          <w:tcPr>
            <w:tcW w:w="390"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2FEF14DB" w14:textId="7FDF9B70">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5</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1%</w:t>
            </w:r>
          </w:p>
        </w:tc>
      </w:tr>
      <w:tr w:rsidRPr="0032511F" w:rsidR="000324ED" w:rsidTr="00196555" w14:paraId="5E9EFDB2" w14:textId="77777777">
        <w:trPr>
          <w:trHeight w:val="288"/>
          <w:jc w:val="center"/>
        </w:trPr>
        <w:tc>
          <w:tcPr>
            <w:tcW w:w="1517" w:type="pct"/>
            <w:tcBorders>
              <w:top w:val="single" w:color="FFFFFF" w:sz="4" w:space="0"/>
              <w:left w:val="single" w:color="538DD5" w:sz="4" w:space="0"/>
              <w:bottom w:val="nil"/>
              <w:right w:val="single" w:color="538DD5" w:sz="4" w:space="0"/>
            </w:tcBorders>
            <w:shd w:val="clear" w:color="000000" w:fill="FFFFFF"/>
            <w:noWrap/>
            <w:vAlign w:val="center"/>
            <w:hideMark/>
          </w:tcPr>
          <w:p w:rsidRPr="0032511F" w:rsidR="000324ED" w:rsidP="008655AA" w:rsidRDefault="000324ED" w14:paraId="52C96B24"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Otras Actividades</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142017C7" w14:textId="7A8B6038">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$134</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80</w:t>
            </w:r>
          </w:p>
        </w:tc>
        <w:tc>
          <w:tcPr>
            <w:tcW w:w="65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2E3CF3A7" w14:textId="77CE57A6">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$141</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78</w:t>
            </w:r>
          </w:p>
        </w:tc>
        <w:tc>
          <w:tcPr>
            <w:tcW w:w="585"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735C16A5" w14:textId="180C8545">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$134</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80</w:t>
            </w:r>
          </w:p>
        </w:tc>
        <w:tc>
          <w:tcPr>
            <w:tcW w:w="628"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2EDDB500" w14:textId="7B98C190">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$172</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19</w:t>
            </w:r>
          </w:p>
        </w:tc>
        <w:tc>
          <w:tcPr>
            <w:tcW w:w="607"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0A757AA0" w14:textId="178321EF">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$225</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27</w:t>
            </w:r>
          </w:p>
        </w:tc>
        <w:tc>
          <w:tcPr>
            <w:tcW w:w="390" w:type="pct"/>
            <w:tcBorders>
              <w:top w:val="nil"/>
              <w:left w:val="nil"/>
              <w:bottom w:val="nil"/>
              <w:right w:val="single" w:color="538DD5" w:sz="4" w:space="0"/>
            </w:tcBorders>
            <w:shd w:val="clear" w:color="000000" w:fill="FFFFFF"/>
            <w:noWrap/>
            <w:vAlign w:val="center"/>
            <w:hideMark/>
          </w:tcPr>
          <w:p w:rsidRPr="0032511F" w:rsidR="000324ED" w:rsidP="008655AA" w:rsidRDefault="000324ED" w14:paraId="57EDF363" w14:textId="7EA27ABF">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30</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8%</w:t>
            </w:r>
          </w:p>
        </w:tc>
      </w:tr>
      <w:tr w:rsidRPr="0032511F" w:rsidR="000324ED" w:rsidTr="00196555" w14:paraId="11426162" w14:textId="77777777">
        <w:trPr>
          <w:trHeight w:val="288"/>
          <w:jc w:val="center"/>
        </w:trPr>
        <w:tc>
          <w:tcPr>
            <w:tcW w:w="1517" w:type="pct"/>
            <w:tcBorders>
              <w:top w:val="single" w:color="FFFFFF" w:sz="4" w:space="0"/>
              <w:left w:val="single" w:color="538DD5" w:sz="4" w:space="0"/>
              <w:bottom w:val="single" w:color="538DD5" w:sz="4" w:space="0"/>
              <w:right w:val="single" w:color="538DD5" w:sz="4" w:space="0"/>
            </w:tcBorders>
            <w:shd w:val="clear" w:color="000000" w:fill="FFFFFF"/>
            <w:noWrap/>
            <w:vAlign w:val="center"/>
            <w:hideMark/>
          </w:tcPr>
          <w:p w:rsidRPr="0032511F" w:rsidR="000324ED" w:rsidP="008655AA" w:rsidRDefault="000324ED" w14:paraId="1477829D" w14:textId="77777777">
            <w:pPr>
              <w:spacing w:after="0" w:line="240" w:lineRule="auto"/>
              <w:rPr>
                <w:rFonts w:ascii="Arial" w:hAnsi="Arial" w:eastAsia="Times New Roman" w:cs="Arial"/>
                <w:sz w:val="18"/>
                <w:szCs w:val="18"/>
                <w:lang w:eastAsia="es-SV"/>
              </w:rPr>
            </w:pPr>
            <w:r w:rsidRPr="0032511F">
              <w:rPr>
                <w:rFonts w:ascii="Arial" w:hAnsi="Arial" w:eastAsia="Times New Roman" w:cs="Arial"/>
                <w:sz w:val="18"/>
                <w:szCs w:val="18"/>
                <w:lang w:eastAsia="es-SV"/>
              </w:rPr>
              <w:t>Consumo</w:t>
            </w:r>
          </w:p>
        </w:tc>
        <w:tc>
          <w:tcPr>
            <w:tcW w:w="607" w:type="pct"/>
            <w:tcBorders>
              <w:top w:val="nil"/>
              <w:left w:val="nil"/>
              <w:bottom w:val="single" w:color="538DD5" w:sz="4" w:space="0"/>
              <w:right w:val="single" w:color="538DD5" w:sz="4" w:space="0"/>
            </w:tcBorders>
            <w:shd w:val="clear" w:color="000000" w:fill="FFFFFF"/>
            <w:noWrap/>
            <w:vAlign w:val="center"/>
            <w:hideMark/>
          </w:tcPr>
          <w:p w:rsidRPr="0032511F" w:rsidR="000324ED" w:rsidP="008655AA" w:rsidRDefault="000324ED" w14:paraId="47DA788F" w14:textId="3F8C8D02">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697</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36</w:t>
            </w:r>
          </w:p>
        </w:tc>
        <w:tc>
          <w:tcPr>
            <w:tcW w:w="657" w:type="pct"/>
            <w:tcBorders>
              <w:top w:val="nil"/>
              <w:left w:val="nil"/>
              <w:bottom w:val="single" w:color="538DD5" w:sz="4" w:space="0"/>
              <w:right w:val="single" w:color="538DD5" w:sz="4" w:space="0"/>
            </w:tcBorders>
            <w:shd w:val="clear" w:color="000000" w:fill="FFFFFF"/>
            <w:noWrap/>
            <w:vAlign w:val="center"/>
            <w:hideMark/>
          </w:tcPr>
          <w:p w:rsidRPr="0032511F" w:rsidR="000324ED" w:rsidP="008655AA" w:rsidRDefault="000324ED" w14:paraId="234FD048" w14:textId="4863DFD7">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$3</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933</w:t>
            </w:r>
            <w:r w:rsidR="00907CC0">
              <w:rPr>
                <w:rFonts w:ascii="Arial" w:hAnsi="Arial" w:eastAsia="Times New Roman" w:cs="Arial"/>
                <w:sz w:val="18"/>
                <w:szCs w:val="18"/>
                <w:lang w:eastAsia="es-SV"/>
              </w:rPr>
              <w:t>,</w:t>
            </w:r>
            <w:r w:rsidRPr="0032511F">
              <w:rPr>
                <w:rFonts w:ascii="Arial" w:hAnsi="Arial" w:eastAsia="Times New Roman" w:cs="Arial"/>
                <w:sz w:val="18"/>
                <w:szCs w:val="18"/>
                <w:lang w:eastAsia="es-SV"/>
              </w:rPr>
              <w:t>33</w:t>
            </w:r>
          </w:p>
        </w:tc>
        <w:tc>
          <w:tcPr>
            <w:tcW w:w="585" w:type="pct"/>
            <w:tcBorders>
              <w:top w:val="nil"/>
              <w:left w:val="nil"/>
              <w:bottom w:val="single" w:color="538DD5" w:sz="4" w:space="0"/>
              <w:right w:val="single" w:color="538DD5" w:sz="4" w:space="0"/>
            </w:tcBorders>
            <w:shd w:val="clear" w:color="000000" w:fill="FFFFFF"/>
            <w:noWrap/>
            <w:vAlign w:val="center"/>
            <w:hideMark/>
          </w:tcPr>
          <w:p w:rsidRPr="0032511F" w:rsidR="000324ED" w:rsidP="008655AA" w:rsidRDefault="000324ED" w14:paraId="47F614D3" w14:textId="0D966FF9">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$4</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125</w:t>
            </w:r>
            <w:r w:rsidR="00EC3020">
              <w:rPr>
                <w:rFonts w:ascii="Arial" w:hAnsi="Arial" w:eastAsia="Times New Roman" w:cs="Arial"/>
                <w:sz w:val="18"/>
                <w:szCs w:val="18"/>
                <w:lang w:eastAsia="es-SV"/>
              </w:rPr>
              <w:t>,</w:t>
            </w:r>
            <w:r w:rsidRPr="0032511F">
              <w:rPr>
                <w:rFonts w:ascii="Arial" w:hAnsi="Arial" w:eastAsia="Times New Roman" w:cs="Arial"/>
                <w:sz w:val="18"/>
                <w:szCs w:val="18"/>
                <w:lang w:eastAsia="es-SV"/>
              </w:rPr>
              <w:t>30</w:t>
            </w:r>
          </w:p>
        </w:tc>
        <w:tc>
          <w:tcPr>
            <w:tcW w:w="628" w:type="pct"/>
            <w:tcBorders>
              <w:top w:val="nil"/>
              <w:left w:val="nil"/>
              <w:bottom w:val="single" w:color="538DD5" w:sz="4" w:space="0"/>
              <w:right w:val="single" w:color="538DD5" w:sz="4" w:space="0"/>
            </w:tcBorders>
            <w:shd w:val="clear" w:color="000000" w:fill="FFFFFF"/>
            <w:noWrap/>
            <w:vAlign w:val="center"/>
            <w:hideMark/>
          </w:tcPr>
          <w:p w:rsidRPr="0032511F" w:rsidR="000324ED" w:rsidP="008655AA" w:rsidRDefault="000324ED" w14:paraId="4689C51C" w14:textId="5979D84E">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$4</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324</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34</w:t>
            </w:r>
          </w:p>
        </w:tc>
        <w:tc>
          <w:tcPr>
            <w:tcW w:w="607" w:type="pct"/>
            <w:tcBorders>
              <w:top w:val="nil"/>
              <w:left w:val="nil"/>
              <w:bottom w:val="single" w:color="538DD5" w:sz="4" w:space="0"/>
              <w:right w:val="single" w:color="538DD5" w:sz="4" w:space="0"/>
            </w:tcBorders>
            <w:shd w:val="clear" w:color="000000" w:fill="FFFFFF"/>
            <w:noWrap/>
            <w:vAlign w:val="center"/>
            <w:hideMark/>
          </w:tcPr>
          <w:p w:rsidRPr="0032511F" w:rsidR="000324ED" w:rsidP="008655AA" w:rsidRDefault="000324ED" w14:paraId="2E5B9093" w14:textId="14E692A9">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$4</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538</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85</w:t>
            </w:r>
          </w:p>
        </w:tc>
        <w:tc>
          <w:tcPr>
            <w:tcW w:w="390" w:type="pct"/>
            <w:tcBorders>
              <w:top w:val="nil"/>
              <w:left w:val="nil"/>
              <w:bottom w:val="single" w:color="538DD5" w:sz="4" w:space="0"/>
              <w:right w:val="single" w:color="538DD5" w:sz="4" w:space="0"/>
            </w:tcBorders>
            <w:shd w:val="clear" w:color="000000" w:fill="FFFFFF"/>
            <w:noWrap/>
            <w:vAlign w:val="center"/>
            <w:hideMark/>
          </w:tcPr>
          <w:p w:rsidRPr="0032511F" w:rsidR="000324ED" w:rsidP="008655AA" w:rsidRDefault="000324ED" w14:paraId="09C6233C" w14:textId="10BC05F2">
            <w:pPr>
              <w:spacing w:after="0" w:line="240" w:lineRule="auto"/>
              <w:jc w:val="center"/>
              <w:rPr>
                <w:rFonts w:ascii="Arial" w:hAnsi="Arial" w:eastAsia="Times New Roman" w:cs="Arial"/>
                <w:sz w:val="18"/>
                <w:szCs w:val="18"/>
                <w:lang w:eastAsia="es-SV"/>
              </w:rPr>
            </w:pPr>
            <w:r w:rsidRPr="0032511F">
              <w:rPr>
                <w:rFonts w:ascii="Arial" w:hAnsi="Arial" w:eastAsia="Times New Roman" w:cs="Arial"/>
                <w:sz w:val="18"/>
                <w:szCs w:val="18"/>
                <w:lang w:eastAsia="es-SV"/>
              </w:rPr>
              <w:t>5</w:t>
            </w:r>
            <w:r w:rsidR="00B013DA">
              <w:rPr>
                <w:rFonts w:ascii="Arial" w:hAnsi="Arial" w:eastAsia="Times New Roman" w:cs="Arial"/>
                <w:sz w:val="18"/>
                <w:szCs w:val="18"/>
                <w:lang w:eastAsia="es-SV"/>
              </w:rPr>
              <w:t>,</w:t>
            </w:r>
            <w:r w:rsidRPr="0032511F">
              <w:rPr>
                <w:rFonts w:ascii="Arial" w:hAnsi="Arial" w:eastAsia="Times New Roman" w:cs="Arial"/>
                <w:sz w:val="18"/>
                <w:szCs w:val="18"/>
                <w:lang w:eastAsia="es-SV"/>
              </w:rPr>
              <w:t>0%</w:t>
            </w:r>
          </w:p>
        </w:tc>
      </w:tr>
      <w:tr w:rsidRPr="0032511F" w:rsidR="000324ED" w:rsidTr="00196555" w14:paraId="49BCD30C" w14:textId="77777777">
        <w:trPr>
          <w:trHeight w:val="288"/>
          <w:jc w:val="center"/>
        </w:trPr>
        <w:tc>
          <w:tcPr>
            <w:tcW w:w="1517" w:type="pct"/>
            <w:tcBorders>
              <w:top w:val="single" w:color="538DD5" w:sz="4" w:space="0"/>
              <w:left w:val="single" w:color="538DD5" w:sz="4" w:space="0"/>
              <w:bottom w:val="single" w:color="538DD5" w:sz="4" w:space="0"/>
              <w:right w:val="single" w:color="538DD5" w:sz="4" w:space="0"/>
            </w:tcBorders>
            <w:shd w:val="clear" w:color="auto" w:fill="323E4F" w:themeFill="text2" w:themeFillShade="BF"/>
            <w:noWrap/>
            <w:vAlign w:val="center"/>
            <w:hideMark/>
          </w:tcPr>
          <w:p w:rsidRPr="0032511F" w:rsidR="000324ED" w:rsidP="008655AA" w:rsidRDefault="000324ED" w14:paraId="3A9EA300" w14:textId="77777777">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8"/>
                <w:szCs w:val="18"/>
                <w:lang w:eastAsia="es-SV"/>
              </w:rPr>
              <w:t>TOTAL</w:t>
            </w:r>
          </w:p>
        </w:tc>
        <w:tc>
          <w:tcPr>
            <w:tcW w:w="607" w:type="pct"/>
            <w:tcBorders>
              <w:top w:val="single" w:color="538DD5" w:sz="4" w:space="0"/>
              <w:left w:val="nil"/>
              <w:bottom w:val="single" w:color="538DD5" w:sz="4" w:space="0"/>
              <w:right w:val="single" w:color="538DD5" w:sz="4" w:space="0"/>
            </w:tcBorders>
            <w:shd w:val="clear" w:color="auto" w:fill="323E4F" w:themeFill="text2" w:themeFillShade="BF"/>
            <w:noWrap/>
            <w:vAlign w:val="center"/>
            <w:hideMark/>
          </w:tcPr>
          <w:p w:rsidRPr="0032511F" w:rsidR="000324ED" w:rsidP="008655AA" w:rsidRDefault="000324ED" w14:paraId="72E00BE4" w14:textId="4C455A1D">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8"/>
                <w:szCs w:val="18"/>
                <w:lang w:eastAsia="es-SV"/>
              </w:rPr>
              <w:t>$10</w:t>
            </w:r>
            <w:r w:rsidR="00907CC0">
              <w:rPr>
                <w:rFonts w:ascii="Arial" w:hAnsi="Arial" w:eastAsia="Times New Roman" w:cs="Arial"/>
                <w:color w:val="FFFFFF" w:themeColor="background1"/>
                <w:sz w:val="18"/>
                <w:szCs w:val="18"/>
                <w:lang w:eastAsia="es-SV"/>
              </w:rPr>
              <w:t>.</w:t>
            </w:r>
            <w:r w:rsidRPr="0032511F">
              <w:rPr>
                <w:rFonts w:ascii="Arial" w:hAnsi="Arial" w:eastAsia="Times New Roman" w:cs="Arial"/>
                <w:color w:val="FFFFFF" w:themeColor="background1"/>
                <w:sz w:val="18"/>
                <w:szCs w:val="18"/>
                <w:lang w:eastAsia="es-SV"/>
              </w:rPr>
              <w:t>849</w:t>
            </w:r>
            <w:r w:rsidR="00907CC0">
              <w:rPr>
                <w:rFonts w:ascii="Arial" w:hAnsi="Arial" w:eastAsia="Times New Roman" w:cs="Arial"/>
                <w:color w:val="FFFFFF" w:themeColor="background1"/>
                <w:sz w:val="18"/>
                <w:szCs w:val="18"/>
                <w:lang w:eastAsia="es-SV"/>
              </w:rPr>
              <w:t>,</w:t>
            </w:r>
            <w:r w:rsidRPr="0032511F">
              <w:rPr>
                <w:rFonts w:ascii="Arial" w:hAnsi="Arial" w:eastAsia="Times New Roman" w:cs="Arial"/>
                <w:color w:val="FFFFFF" w:themeColor="background1"/>
                <w:sz w:val="18"/>
                <w:szCs w:val="18"/>
                <w:lang w:eastAsia="es-SV"/>
              </w:rPr>
              <w:t>47</w:t>
            </w:r>
          </w:p>
        </w:tc>
        <w:tc>
          <w:tcPr>
            <w:tcW w:w="657" w:type="pct"/>
            <w:tcBorders>
              <w:top w:val="single" w:color="538DD5" w:sz="4" w:space="0"/>
              <w:left w:val="nil"/>
              <w:bottom w:val="single" w:color="538DD5" w:sz="4" w:space="0"/>
              <w:right w:val="single" w:color="538DD5" w:sz="4" w:space="0"/>
            </w:tcBorders>
            <w:shd w:val="clear" w:color="auto" w:fill="323E4F" w:themeFill="text2" w:themeFillShade="BF"/>
            <w:noWrap/>
            <w:vAlign w:val="center"/>
            <w:hideMark/>
          </w:tcPr>
          <w:p w:rsidRPr="0032511F" w:rsidR="000324ED" w:rsidP="008655AA" w:rsidRDefault="000324ED" w14:paraId="18352251" w14:textId="2FD3E0EB">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8"/>
                <w:szCs w:val="18"/>
                <w:lang w:eastAsia="es-SV"/>
              </w:rPr>
              <w:t>$11</w:t>
            </w:r>
            <w:r w:rsidR="00907CC0">
              <w:rPr>
                <w:rFonts w:ascii="Arial" w:hAnsi="Arial" w:eastAsia="Times New Roman" w:cs="Arial"/>
                <w:color w:val="FFFFFF" w:themeColor="background1"/>
                <w:sz w:val="18"/>
                <w:szCs w:val="18"/>
                <w:lang w:eastAsia="es-SV"/>
              </w:rPr>
              <w:t>.</w:t>
            </w:r>
            <w:r w:rsidRPr="0032511F">
              <w:rPr>
                <w:rFonts w:ascii="Arial" w:hAnsi="Arial" w:eastAsia="Times New Roman" w:cs="Arial"/>
                <w:color w:val="FFFFFF" w:themeColor="background1"/>
                <w:sz w:val="18"/>
                <w:szCs w:val="18"/>
                <w:lang w:eastAsia="es-SV"/>
              </w:rPr>
              <w:t>388</w:t>
            </w:r>
            <w:r w:rsidR="00907CC0">
              <w:rPr>
                <w:rFonts w:ascii="Arial" w:hAnsi="Arial" w:eastAsia="Times New Roman" w:cs="Arial"/>
                <w:color w:val="FFFFFF" w:themeColor="background1"/>
                <w:sz w:val="18"/>
                <w:szCs w:val="18"/>
                <w:lang w:eastAsia="es-SV"/>
              </w:rPr>
              <w:t>,</w:t>
            </w:r>
            <w:r w:rsidRPr="0032511F">
              <w:rPr>
                <w:rFonts w:ascii="Arial" w:hAnsi="Arial" w:eastAsia="Times New Roman" w:cs="Arial"/>
                <w:color w:val="FFFFFF" w:themeColor="background1"/>
                <w:sz w:val="18"/>
                <w:szCs w:val="18"/>
                <w:lang w:eastAsia="es-SV"/>
              </w:rPr>
              <w:t>54</w:t>
            </w:r>
          </w:p>
        </w:tc>
        <w:tc>
          <w:tcPr>
            <w:tcW w:w="585" w:type="pct"/>
            <w:tcBorders>
              <w:top w:val="single" w:color="538DD5" w:sz="4" w:space="0"/>
              <w:left w:val="nil"/>
              <w:bottom w:val="single" w:color="538DD5" w:sz="4" w:space="0"/>
              <w:right w:val="single" w:color="538DD5" w:sz="4" w:space="0"/>
            </w:tcBorders>
            <w:shd w:val="clear" w:color="auto" w:fill="323E4F" w:themeFill="text2" w:themeFillShade="BF"/>
            <w:noWrap/>
            <w:vAlign w:val="center"/>
            <w:hideMark/>
          </w:tcPr>
          <w:p w:rsidRPr="0032511F" w:rsidR="000324ED" w:rsidP="008655AA" w:rsidRDefault="000324ED" w14:paraId="497233E6" w14:textId="1E4EB9D0">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8"/>
                <w:szCs w:val="18"/>
                <w:lang w:eastAsia="es-SV"/>
              </w:rPr>
              <w:t>$11</w:t>
            </w:r>
            <w:r w:rsidR="00EC3020">
              <w:rPr>
                <w:rFonts w:ascii="Arial" w:hAnsi="Arial" w:eastAsia="Times New Roman" w:cs="Arial"/>
                <w:color w:val="FFFFFF" w:themeColor="background1"/>
                <w:sz w:val="18"/>
                <w:szCs w:val="18"/>
                <w:lang w:eastAsia="es-SV"/>
              </w:rPr>
              <w:t>.</w:t>
            </w:r>
            <w:r w:rsidRPr="0032511F">
              <w:rPr>
                <w:rFonts w:ascii="Arial" w:hAnsi="Arial" w:eastAsia="Times New Roman" w:cs="Arial"/>
                <w:color w:val="FFFFFF" w:themeColor="background1"/>
                <w:sz w:val="18"/>
                <w:szCs w:val="18"/>
                <w:lang w:eastAsia="es-SV"/>
              </w:rPr>
              <w:t>871</w:t>
            </w:r>
            <w:r w:rsidR="00EC3020">
              <w:rPr>
                <w:rFonts w:ascii="Arial" w:hAnsi="Arial" w:eastAsia="Times New Roman" w:cs="Arial"/>
                <w:color w:val="FFFFFF" w:themeColor="background1"/>
                <w:sz w:val="18"/>
                <w:szCs w:val="18"/>
                <w:lang w:eastAsia="es-SV"/>
              </w:rPr>
              <w:t>,</w:t>
            </w:r>
            <w:r w:rsidRPr="0032511F">
              <w:rPr>
                <w:rFonts w:ascii="Arial" w:hAnsi="Arial" w:eastAsia="Times New Roman" w:cs="Arial"/>
                <w:color w:val="FFFFFF" w:themeColor="background1"/>
                <w:sz w:val="18"/>
                <w:szCs w:val="18"/>
                <w:lang w:eastAsia="es-SV"/>
              </w:rPr>
              <w:t>70</w:t>
            </w:r>
          </w:p>
        </w:tc>
        <w:tc>
          <w:tcPr>
            <w:tcW w:w="628" w:type="pct"/>
            <w:tcBorders>
              <w:top w:val="single" w:color="538DD5" w:sz="4" w:space="0"/>
              <w:left w:val="nil"/>
              <w:bottom w:val="single" w:color="538DD5" w:sz="4" w:space="0"/>
              <w:right w:val="single" w:color="538DD5" w:sz="4" w:space="0"/>
            </w:tcBorders>
            <w:shd w:val="clear" w:color="auto" w:fill="323E4F" w:themeFill="text2" w:themeFillShade="BF"/>
            <w:noWrap/>
            <w:vAlign w:val="center"/>
            <w:hideMark/>
          </w:tcPr>
          <w:p w:rsidRPr="0032511F" w:rsidR="000324ED" w:rsidP="008655AA" w:rsidRDefault="000324ED" w14:paraId="3D3DDA6B" w14:textId="38C24074">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8"/>
                <w:szCs w:val="18"/>
                <w:lang w:eastAsia="es-SV"/>
              </w:rPr>
              <w:t>$12</w:t>
            </w:r>
            <w:r w:rsidR="00B013DA">
              <w:rPr>
                <w:rFonts w:ascii="Arial" w:hAnsi="Arial" w:eastAsia="Times New Roman" w:cs="Arial"/>
                <w:color w:val="FFFFFF" w:themeColor="background1"/>
                <w:sz w:val="18"/>
                <w:szCs w:val="18"/>
                <w:lang w:eastAsia="es-SV"/>
              </w:rPr>
              <w:t>.</w:t>
            </w:r>
            <w:r w:rsidRPr="0032511F">
              <w:rPr>
                <w:rFonts w:ascii="Arial" w:hAnsi="Arial" w:eastAsia="Times New Roman" w:cs="Arial"/>
                <w:color w:val="FFFFFF" w:themeColor="background1"/>
                <w:sz w:val="18"/>
                <w:szCs w:val="18"/>
                <w:lang w:eastAsia="es-SV"/>
              </w:rPr>
              <w:t>531</w:t>
            </w:r>
            <w:r w:rsidR="00B013DA">
              <w:rPr>
                <w:rFonts w:ascii="Arial" w:hAnsi="Arial" w:eastAsia="Times New Roman" w:cs="Arial"/>
                <w:color w:val="FFFFFF" w:themeColor="background1"/>
                <w:sz w:val="18"/>
                <w:szCs w:val="18"/>
                <w:lang w:eastAsia="es-SV"/>
              </w:rPr>
              <w:t>,</w:t>
            </w:r>
            <w:r w:rsidRPr="0032511F">
              <w:rPr>
                <w:rFonts w:ascii="Arial" w:hAnsi="Arial" w:eastAsia="Times New Roman" w:cs="Arial"/>
                <w:color w:val="FFFFFF" w:themeColor="background1"/>
                <w:sz w:val="18"/>
                <w:szCs w:val="18"/>
                <w:lang w:eastAsia="es-SV"/>
              </w:rPr>
              <w:t>16</w:t>
            </w:r>
          </w:p>
        </w:tc>
        <w:tc>
          <w:tcPr>
            <w:tcW w:w="607" w:type="pct"/>
            <w:tcBorders>
              <w:top w:val="single" w:color="538DD5" w:sz="4" w:space="0"/>
              <w:left w:val="nil"/>
              <w:bottom w:val="single" w:color="538DD5" w:sz="4" w:space="0"/>
              <w:right w:val="single" w:color="538DD5" w:sz="4" w:space="0"/>
            </w:tcBorders>
            <w:shd w:val="clear" w:color="auto" w:fill="323E4F" w:themeFill="text2" w:themeFillShade="BF"/>
            <w:noWrap/>
            <w:vAlign w:val="center"/>
            <w:hideMark/>
          </w:tcPr>
          <w:p w:rsidRPr="0032511F" w:rsidR="000324ED" w:rsidP="008655AA" w:rsidRDefault="000324ED" w14:paraId="08F108E0" w14:textId="13D36416">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8"/>
                <w:szCs w:val="18"/>
                <w:lang w:eastAsia="es-SV"/>
              </w:rPr>
              <w:t>$13</w:t>
            </w:r>
            <w:r w:rsidR="00B013DA">
              <w:rPr>
                <w:rFonts w:ascii="Arial" w:hAnsi="Arial" w:eastAsia="Times New Roman" w:cs="Arial"/>
                <w:color w:val="FFFFFF" w:themeColor="background1"/>
                <w:sz w:val="18"/>
                <w:szCs w:val="18"/>
                <w:lang w:eastAsia="es-SV"/>
              </w:rPr>
              <w:t>.</w:t>
            </w:r>
            <w:r w:rsidRPr="0032511F">
              <w:rPr>
                <w:rFonts w:ascii="Arial" w:hAnsi="Arial" w:eastAsia="Times New Roman" w:cs="Arial"/>
                <w:color w:val="FFFFFF" w:themeColor="background1"/>
                <w:sz w:val="18"/>
                <w:szCs w:val="18"/>
                <w:lang w:eastAsia="es-SV"/>
              </w:rPr>
              <w:t>160</w:t>
            </w:r>
            <w:r w:rsidR="00B013DA">
              <w:rPr>
                <w:rFonts w:ascii="Arial" w:hAnsi="Arial" w:eastAsia="Times New Roman" w:cs="Arial"/>
                <w:color w:val="FFFFFF" w:themeColor="background1"/>
                <w:sz w:val="18"/>
                <w:szCs w:val="18"/>
                <w:lang w:eastAsia="es-SV"/>
              </w:rPr>
              <w:t>,</w:t>
            </w:r>
            <w:r w:rsidRPr="0032511F">
              <w:rPr>
                <w:rFonts w:ascii="Arial" w:hAnsi="Arial" w:eastAsia="Times New Roman" w:cs="Arial"/>
                <w:color w:val="FFFFFF" w:themeColor="background1"/>
                <w:sz w:val="18"/>
                <w:szCs w:val="18"/>
                <w:lang w:eastAsia="es-SV"/>
              </w:rPr>
              <w:t>61</w:t>
            </w:r>
          </w:p>
        </w:tc>
        <w:tc>
          <w:tcPr>
            <w:tcW w:w="390" w:type="pct"/>
            <w:tcBorders>
              <w:top w:val="single" w:color="538DD5" w:sz="4" w:space="0"/>
              <w:left w:val="nil"/>
              <w:bottom w:val="single" w:color="538DD5" w:sz="4" w:space="0"/>
              <w:right w:val="single" w:color="538DD5" w:sz="4" w:space="0"/>
            </w:tcBorders>
            <w:shd w:val="clear" w:color="auto" w:fill="323E4F" w:themeFill="text2" w:themeFillShade="BF"/>
            <w:noWrap/>
            <w:vAlign w:val="center"/>
            <w:hideMark/>
          </w:tcPr>
          <w:p w:rsidRPr="0032511F" w:rsidR="000324ED" w:rsidP="008655AA" w:rsidRDefault="000324ED" w14:paraId="21EE303A" w14:textId="6EBB17AE">
            <w:pPr>
              <w:spacing w:after="0" w:line="240" w:lineRule="auto"/>
              <w:jc w:val="center"/>
              <w:rPr>
                <w:rFonts w:ascii="Arial" w:hAnsi="Arial" w:eastAsia="Times New Roman" w:cs="Arial"/>
                <w:color w:val="FFFFFF" w:themeColor="background1"/>
                <w:sz w:val="18"/>
                <w:szCs w:val="18"/>
                <w:lang w:eastAsia="es-SV"/>
              </w:rPr>
            </w:pPr>
            <w:r w:rsidRPr="0032511F">
              <w:rPr>
                <w:rFonts w:ascii="Arial" w:hAnsi="Arial" w:eastAsia="Times New Roman" w:cs="Arial"/>
                <w:color w:val="FFFFFF" w:themeColor="background1"/>
                <w:sz w:val="18"/>
                <w:szCs w:val="18"/>
                <w:lang w:eastAsia="es-SV"/>
              </w:rPr>
              <w:t>5</w:t>
            </w:r>
            <w:r w:rsidR="00B013DA">
              <w:rPr>
                <w:rFonts w:ascii="Arial" w:hAnsi="Arial" w:eastAsia="Times New Roman" w:cs="Arial"/>
                <w:color w:val="FFFFFF" w:themeColor="background1"/>
                <w:sz w:val="18"/>
                <w:szCs w:val="18"/>
                <w:lang w:eastAsia="es-SV"/>
              </w:rPr>
              <w:t>,</w:t>
            </w:r>
            <w:r w:rsidRPr="0032511F">
              <w:rPr>
                <w:rFonts w:ascii="Arial" w:hAnsi="Arial" w:eastAsia="Times New Roman" w:cs="Arial"/>
                <w:color w:val="FFFFFF" w:themeColor="background1"/>
                <w:sz w:val="18"/>
                <w:szCs w:val="18"/>
                <w:lang w:eastAsia="es-SV"/>
              </w:rPr>
              <w:t>0%</w:t>
            </w:r>
          </w:p>
        </w:tc>
      </w:tr>
    </w:tbl>
    <w:p w:rsidRPr="0032511F" w:rsidR="000324ED" w:rsidP="00C24FDA" w:rsidRDefault="000324ED" w14:paraId="1B0BB630" w14:textId="77777777">
      <w:pPr>
        <w:pStyle w:val="ListParagraph"/>
        <w:spacing w:after="0" w:line="276" w:lineRule="auto"/>
        <w:ind w:left="0"/>
        <w:jc w:val="both"/>
        <w:rPr>
          <w:rFonts w:ascii="Arial" w:hAnsi="Arial" w:cs="Arial"/>
        </w:rPr>
      </w:pPr>
    </w:p>
    <w:p w:rsidRPr="0032511F" w:rsidR="007942EF" w:rsidP="00A0079B" w:rsidRDefault="00A0079B" w14:paraId="0F6C7D29" w14:textId="42B2B269">
      <w:pPr>
        <w:pStyle w:val="ListParagraph"/>
        <w:spacing w:after="0" w:line="276" w:lineRule="auto"/>
        <w:ind w:left="0"/>
        <w:jc w:val="both"/>
        <w:rPr>
          <w:rFonts w:ascii="Arial" w:hAnsi="Arial" w:cs="Arial"/>
        </w:rPr>
      </w:pPr>
      <w:r w:rsidRPr="0032511F">
        <w:rPr>
          <w:rFonts w:ascii="Arial" w:hAnsi="Arial" w:cs="Arial"/>
        </w:rPr>
        <w:t>La cartera de préstamos por sector económico para el mes de diciembre 2019 registró un monto total de préstamos en el sistema financiero en los diversos rubros de US$13</w:t>
      </w:r>
      <w:r w:rsidR="00907CC0">
        <w:rPr>
          <w:rFonts w:ascii="Arial" w:hAnsi="Arial" w:cs="Arial"/>
        </w:rPr>
        <w:t>.</w:t>
      </w:r>
      <w:r w:rsidRPr="0032511F">
        <w:rPr>
          <w:rFonts w:ascii="Arial" w:hAnsi="Arial" w:cs="Arial"/>
        </w:rPr>
        <w:t>160</w:t>
      </w:r>
      <w:r w:rsidR="00907CC0">
        <w:rPr>
          <w:rFonts w:ascii="Arial" w:hAnsi="Arial" w:cs="Arial"/>
        </w:rPr>
        <w:t>,</w:t>
      </w:r>
      <w:r w:rsidRPr="0032511F">
        <w:rPr>
          <w:rFonts w:ascii="Arial" w:hAnsi="Arial" w:cs="Arial"/>
        </w:rPr>
        <w:t xml:space="preserve">6 millones de dólares lo que </w:t>
      </w:r>
      <w:r w:rsidRPr="0032511F">
        <w:rPr>
          <w:rFonts w:ascii="Arial" w:hAnsi="Arial" w:cs="Arial"/>
        </w:rPr>
        <w:lastRenderedPageBreak/>
        <w:t>representa una variación positiva de US$629</w:t>
      </w:r>
      <w:r w:rsidR="00907CC0">
        <w:rPr>
          <w:rFonts w:ascii="Arial" w:hAnsi="Arial" w:cs="Arial"/>
        </w:rPr>
        <w:t>,</w:t>
      </w:r>
      <w:r w:rsidRPr="0032511F">
        <w:rPr>
          <w:rFonts w:ascii="Arial" w:hAnsi="Arial" w:cs="Arial"/>
        </w:rPr>
        <w:t>45 millones respecto al cierre 2018.</w:t>
      </w:r>
      <w:r w:rsidRPr="0032511F" w:rsidR="003119AE">
        <w:rPr>
          <w:rFonts w:ascii="Arial" w:hAnsi="Arial" w:cs="Arial"/>
        </w:rPr>
        <w:t xml:space="preserve"> </w:t>
      </w:r>
      <w:r w:rsidRPr="0032511F">
        <w:rPr>
          <w:rFonts w:ascii="Arial" w:hAnsi="Arial" w:cs="Arial"/>
        </w:rPr>
        <w:t>El sector de adquisición de vivienda registró un total de préstamos de US$2</w:t>
      </w:r>
      <w:r w:rsidR="00B013DA">
        <w:rPr>
          <w:rFonts w:ascii="Arial" w:hAnsi="Arial" w:cs="Arial"/>
        </w:rPr>
        <w:t>.</w:t>
      </w:r>
      <w:r w:rsidRPr="0032511F">
        <w:rPr>
          <w:rFonts w:ascii="Arial" w:hAnsi="Arial" w:cs="Arial"/>
        </w:rPr>
        <w:t>530</w:t>
      </w:r>
      <w:r w:rsidR="00B013DA">
        <w:rPr>
          <w:rFonts w:ascii="Arial" w:hAnsi="Arial" w:cs="Arial"/>
        </w:rPr>
        <w:t>,</w:t>
      </w:r>
      <w:r w:rsidRPr="0032511F">
        <w:rPr>
          <w:rFonts w:ascii="Arial" w:hAnsi="Arial" w:cs="Arial"/>
        </w:rPr>
        <w:t>9 millones con una variación de 2</w:t>
      </w:r>
      <w:r w:rsidR="00B013DA">
        <w:rPr>
          <w:rFonts w:ascii="Arial" w:hAnsi="Arial" w:cs="Arial"/>
        </w:rPr>
        <w:t>,</w:t>
      </w:r>
      <w:r w:rsidRPr="0032511F">
        <w:rPr>
          <w:rFonts w:ascii="Arial" w:hAnsi="Arial" w:cs="Arial"/>
        </w:rPr>
        <w:t>8% y el sector de construcción de vivienda registró préstamos por US$136</w:t>
      </w:r>
      <w:r w:rsidR="00B013DA">
        <w:rPr>
          <w:rFonts w:ascii="Arial" w:hAnsi="Arial" w:cs="Arial"/>
        </w:rPr>
        <w:t>,</w:t>
      </w:r>
      <w:r w:rsidRPr="0032511F">
        <w:rPr>
          <w:rFonts w:ascii="Arial" w:hAnsi="Arial" w:cs="Arial"/>
        </w:rPr>
        <w:t>75 millones experimentando un incremento de 23</w:t>
      </w:r>
      <w:r w:rsidR="00B013DA">
        <w:rPr>
          <w:rFonts w:ascii="Arial" w:hAnsi="Arial" w:cs="Arial"/>
        </w:rPr>
        <w:t>,</w:t>
      </w:r>
      <w:r w:rsidRPr="0032511F">
        <w:rPr>
          <w:rFonts w:ascii="Arial" w:hAnsi="Arial" w:cs="Arial"/>
        </w:rPr>
        <w:t>9%, esto evidencia que al finalizar el año el sector mantuvo la recuperación mostrada a lo largo de</w:t>
      </w:r>
      <w:r w:rsidR="00B03EFF">
        <w:rPr>
          <w:rFonts w:ascii="Arial" w:hAnsi="Arial" w:cs="Arial"/>
        </w:rPr>
        <w:t xml:space="preserve"> é</w:t>
      </w:r>
      <w:r w:rsidRPr="0032511F">
        <w:rPr>
          <w:rFonts w:ascii="Arial" w:hAnsi="Arial" w:cs="Arial"/>
        </w:rPr>
        <w:t>ste, dicha recuperación se debió al desarrollo de proyectos inmobiliarios</w:t>
      </w:r>
      <w:r w:rsidRPr="0032511F" w:rsidR="00E97285">
        <w:rPr>
          <w:rFonts w:ascii="Arial" w:hAnsi="Arial" w:cs="Arial"/>
        </w:rPr>
        <w:t xml:space="preserve">; </w:t>
      </w:r>
      <w:r w:rsidRPr="0032511F">
        <w:rPr>
          <w:rFonts w:ascii="Arial" w:hAnsi="Arial" w:cs="Arial"/>
        </w:rPr>
        <w:t>contribuyendo a la creación de empleos directos e indirectos en la economía nacional.</w:t>
      </w:r>
    </w:p>
    <w:p w:rsidRPr="0032511F" w:rsidR="00B324B2" w:rsidP="00A0079B" w:rsidRDefault="00B324B2" w14:paraId="32E30075" w14:textId="4995669D">
      <w:pPr>
        <w:pStyle w:val="ListParagraph"/>
        <w:spacing w:after="0" w:line="276" w:lineRule="auto"/>
        <w:ind w:left="0"/>
        <w:jc w:val="both"/>
        <w:rPr>
          <w:rFonts w:ascii="Arial" w:hAnsi="Arial" w:cs="Arial"/>
        </w:rPr>
      </w:pPr>
    </w:p>
    <w:p w:rsidRPr="0032511F" w:rsidR="00B324B2" w:rsidP="00B324B2" w:rsidRDefault="00B324B2" w14:paraId="038E7446" w14:textId="003CD1F5">
      <w:pPr>
        <w:pStyle w:val="ListParagraph"/>
        <w:numPr>
          <w:ilvl w:val="0"/>
          <w:numId w:val="1"/>
        </w:numPr>
        <w:ind w:left="426" w:hanging="426"/>
        <w:jc w:val="both"/>
        <w:rPr>
          <w:rFonts w:ascii="Arial" w:hAnsi="Arial" w:cs="Arial"/>
        </w:rPr>
      </w:pPr>
      <w:r w:rsidRPr="0032511F">
        <w:rPr>
          <w:rFonts w:ascii="Arial" w:hAnsi="Arial" w:cs="Arial"/>
          <w:b/>
          <w:u w:val="single"/>
        </w:rPr>
        <w:t>Demanda de créditos de vivienda en FSV</w:t>
      </w:r>
    </w:p>
    <w:p w:rsidRPr="0032511F" w:rsidR="00F364D7" w:rsidP="00B324B2" w:rsidRDefault="00B324B2" w14:paraId="3C10AFDA" w14:textId="08BC96FB">
      <w:pPr>
        <w:spacing w:after="0" w:line="276" w:lineRule="auto"/>
        <w:jc w:val="both"/>
        <w:rPr>
          <w:rFonts w:ascii="Arial" w:hAnsi="Arial" w:cs="Arial"/>
        </w:rPr>
      </w:pPr>
      <w:r w:rsidRPr="0032511F">
        <w:rPr>
          <w:rFonts w:ascii="Arial" w:hAnsi="Arial" w:cs="Arial"/>
        </w:rPr>
        <w:t xml:space="preserve">El Fondo Social para la Vivienda goza de ser la institución más importante del país en materia de créditos para vivienda y posee una posición competitiva favorable dado que </w:t>
      </w:r>
      <w:r w:rsidRPr="0032511F" w:rsidR="001F033A">
        <w:rPr>
          <w:rFonts w:ascii="Arial" w:hAnsi="Arial" w:cs="Arial"/>
        </w:rPr>
        <w:t>está</w:t>
      </w:r>
      <w:r w:rsidRPr="0032511F">
        <w:rPr>
          <w:rFonts w:ascii="Arial" w:hAnsi="Arial" w:cs="Arial"/>
        </w:rPr>
        <w:t xml:space="preserve"> en un mercado de nicho en donde prácticamente es el único participante relevante (ver anexo 1, Posición Competitiva), básicamente el mercado de vivienda menor a los US$</w:t>
      </w:r>
      <w:r w:rsidRPr="0032511F" w:rsidR="00F364D7">
        <w:rPr>
          <w:rFonts w:ascii="Arial" w:hAnsi="Arial" w:cs="Arial"/>
        </w:rPr>
        <w:t>50 mil dólares buscan</w:t>
      </w:r>
      <w:r w:rsidRPr="0032511F">
        <w:rPr>
          <w:rFonts w:ascii="Arial" w:hAnsi="Arial" w:cs="Arial"/>
        </w:rPr>
        <w:t xml:space="preserve"> al Fondo como alternativa para obtener un crédito de vivienda</w:t>
      </w:r>
      <w:r w:rsidRPr="0032511F" w:rsidR="00921B2F">
        <w:rPr>
          <w:rFonts w:ascii="Arial" w:hAnsi="Arial" w:cs="Arial"/>
        </w:rPr>
        <w:t xml:space="preserve"> por confianza que genera en los salvadoreños</w:t>
      </w:r>
      <w:r w:rsidRPr="0032511F" w:rsidR="00F364D7">
        <w:rPr>
          <w:rFonts w:ascii="Arial" w:hAnsi="Arial" w:cs="Arial"/>
        </w:rPr>
        <w:t>.</w:t>
      </w:r>
    </w:p>
    <w:p w:rsidRPr="0032511F" w:rsidR="00F03D75" w:rsidP="00B324B2" w:rsidRDefault="00F03D75" w14:paraId="2800E022" w14:textId="77777777">
      <w:pPr>
        <w:spacing w:after="0" w:line="276" w:lineRule="auto"/>
        <w:jc w:val="both"/>
        <w:rPr>
          <w:rFonts w:ascii="Arial" w:hAnsi="Arial" w:cs="Arial"/>
        </w:rPr>
      </w:pPr>
    </w:p>
    <w:p w:rsidRPr="0032511F" w:rsidR="00F364D7" w:rsidP="00B324B2" w:rsidRDefault="00F364D7" w14:paraId="4604127F" w14:textId="18D18AC2">
      <w:pPr>
        <w:spacing w:after="0" w:line="276" w:lineRule="auto"/>
        <w:jc w:val="both"/>
        <w:rPr>
          <w:rFonts w:ascii="Arial" w:hAnsi="Arial" w:cs="Arial"/>
        </w:rPr>
      </w:pPr>
      <w:r w:rsidRPr="0032511F">
        <w:rPr>
          <w:rFonts w:ascii="Arial" w:hAnsi="Arial" w:cs="Arial"/>
        </w:rPr>
        <w:t>En el año 2019 el FSV logró otorgar un total de 6</w:t>
      </w:r>
      <w:r w:rsidR="00922C36">
        <w:rPr>
          <w:rFonts w:ascii="Arial" w:hAnsi="Arial" w:cs="Arial"/>
        </w:rPr>
        <w:t>.</w:t>
      </w:r>
      <w:r w:rsidRPr="0032511F">
        <w:rPr>
          <w:rFonts w:ascii="Arial" w:hAnsi="Arial" w:cs="Arial"/>
        </w:rPr>
        <w:t xml:space="preserve">366 créditos por una inversión de </w:t>
      </w:r>
      <w:r w:rsidR="00922C36">
        <w:rPr>
          <w:rFonts w:ascii="Arial" w:hAnsi="Arial" w:cs="Arial"/>
        </w:rPr>
        <w:t>US</w:t>
      </w:r>
      <w:r w:rsidRPr="0032511F">
        <w:rPr>
          <w:rFonts w:ascii="Arial" w:hAnsi="Arial" w:cs="Arial"/>
        </w:rPr>
        <w:t>$115</w:t>
      </w:r>
      <w:r w:rsidR="00922C36">
        <w:rPr>
          <w:rFonts w:ascii="Arial" w:hAnsi="Arial" w:cs="Arial"/>
        </w:rPr>
        <w:t>,</w:t>
      </w:r>
      <w:r w:rsidRPr="0032511F">
        <w:rPr>
          <w:rFonts w:ascii="Arial" w:hAnsi="Arial" w:cs="Arial"/>
        </w:rPr>
        <w:t>83 millones, logrando con ello un cumplimiento de las metas en un 105</w:t>
      </w:r>
      <w:r w:rsidR="00922C36">
        <w:rPr>
          <w:rFonts w:ascii="Arial" w:hAnsi="Arial" w:cs="Arial"/>
        </w:rPr>
        <w:t>,</w:t>
      </w:r>
      <w:r w:rsidRPr="0032511F">
        <w:rPr>
          <w:rFonts w:ascii="Arial" w:hAnsi="Arial" w:cs="Arial"/>
        </w:rPr>
        <w:t>8% en el número de créditos y un 117</w:t>
      </w:r>
      <w:r w:rsidR="00922C36">
        <w:rPr>
          <w:rFonts w:ascii="Arial" w:hAnsi="Arial" w:cs="Arial"/>
        </w:rPr>
        <w:t>,</w:t>
      </w:r>
      <w:r w:rsidRPr="0032511F">
        <w:rPr>
          <w:rFonts w:ascii="Arial" w:hAnsi="Arial" w:cs="Arial"/>
        </w:rPr>
        <w:t>9% en el monto de otorgamiento</w:t>
      </w:r>
      <w:r w:rsidRPr="0032511F" w:rsidR="00EE587C">
        <w:rPr>
          <w:rFonts w:ascii="Arial" w:hAnsi="Arial" w:cs="Arial"/>
        </w:rPr>
        <w:t xml:space="preserve"> y comparado con el año 2018 se logró un crecimiento de un 22</w:t>
      </w:r>
      <w:r w:rsidR="00922C36">
        <w:rPr>
          <w:rFonts w:ascii="Arial" w:hAnsi="Arial" w:cs="Arial"/>
        </w:rPr>
        <w:t>,</w:t>
      </w:r>
      <w:r w:rsidRPr="0032511F" w:rsidR="00EE587C">
        <w:rPr>
          <w:rFonts w:ascii="Arial" w:hAnsi="Arial" w:cs="Arial"/>
        </w:rPr>
        <w:t xml:space="preserve">7% en número de créditos </w:t>
      </w:r>
      <w:r w:rsidRPr="0032511F" w:rsidR="00921B2F">
        <w:rPr>
          <w:rFonts w:ascii="Arial" w:hAnsi="Arial" w:cs="Arial"/>
        </w:rPr>
        <w:t>concedidos</w:t>
      </w:r>
      <w:r w:rsidRPr="0032511F" w:rsidR="00EE587C">
        <w:rPr>
          <w:rFonts w:ascii="Arial" w:hAnsi="Arial" w:cs="Arial"/>
        </w:rPr>
        <w:t xml:space="preserve"> y 31</w:t>
      </w:r>
      <w:r w:rsidR="00922C36">
        <w:rPr>
          <w:rFonts w:ascii="Arial" w:hAnsi="Arial" w:cs="Arial"/>
        </w:rPr>
        <w:t>,</w:t>
      </w:r>
      <w:r w:rsidRPr="0032511F" w:rsidR="00EE587C">
        <w:rPr>
          <w:rFonts w:ascii="Arial" w:hAnsi="Arial" w:cs="Arial"/>
        </w:rPr>
        <w:t>9% en monto otorgado</w:t>
      </w:r>
      <w:r w:rsidRPr="0032511F">
        <w:rPr>
          <w:rFonts w:ascii="Arial" w:hAnsi="Arial" w:cs="Arial"/>
        </w:rPr>
        <w:t>.</w:t>
      </w:r>
    </w:p>
    <w:p w:rsidRPr="0032511F" w:rsidR="00F364D7" w:rsidP="00B324B2" w:rsidRDefault="00F364D7" w14:paraId="1349AC78" w14:textId="0C6A3DBB">
      <w:pPr>
        <w:spacing w:after="0" w:line="276" w:lineRule="auto"/>
        <w:jc w:val="both"/>
        <w:rPr>
          <w:rFonts w:ascii="Arial" w:hAnsi="Arial" w:cs="Arial"/>
        </w:rPr>
      </w:pPr>
    </w:p>
    <w:tbl>
      <w:tblPr>
        <w:tblW w:w="5000" w:type="pct"/>
        <w:jc w:val="center"/>
        <w:tblCellMar>
          <w:left w:w="0" w:type="dxa"/>
          <w:right w:w="0" w:type="dxa"/>
        </w:tblCellMar>
        <w:tblLook w:val="0600" w:firstRow="0" w:lastRow="0" w:firstColumn="0" w:lastColumn="0" w:noHBand="1" w:noVBand="1"/>
      </w:tblPr>
      <w:tblGrid>
        <w:gridCol w:w="3170"/>
        <w:gridCol w:w="1723"/>
        <w:gridCol w:w="1723"/>
        <w:gridCol w:w="1722"/>
        <w:gridCol w:w="1722"/>
      </w:tblGrid>
      <w:tr w:rsidRPr="0032511F" w:rsidR="00EE587C" w:rsidTr="00196555" w14:paraId="485B80D3" w14:textId="77777777">
        <w:trPr>
          <w:trHeight w:val="227"/>
          <w:jc w:val="center"/>
        </w:trPr>
        <w:tc>
          <w:tcPr>
            <w:tcW w:w="1575" w:type="pct"/>
            <w:vMerge w:val="restart"/>
            <w:tcBorders>
              <w:top w:val="single" w:color="BDD7EE" w:sz="8" w:space="0"/>
              <w:left w:val="single" w:color="BDD7EE" w:sz="8" w:space="0"/>
              <w:right w:val="single" w:color="BDD7EE" w:sz="8" w:space="0"/>
            </w:tcBorders>
            <w:shd w:val="clear" w:color="auto" w:fill="DEEBF7"/>
            <w:tcMar>
              <w:top w:w="15" w:type="dxa"/>
              <w:left w:w="57" w:type="dxa"/>
              <w:bottom w:w="0" w:type="dxa"/>
              <w:right w:w="57" w:type="dxa"/>
            </w:tcMar>
            <w:vAlign w:val="center"/>
          </w:tcPr>
          <w:p w:rsidRPr="0032511F" w:rsidR="00EE587C" w:rsidP="00EE587C" w:rsidRDefault="00EE587C" w14:paraId="4D2D9766" w14:textId="5F67EE9F">
            <w:pPr>
              <w:spacing w:after="0" w:line="276" w:lineRule="auto"/>
              <w:jc w:val="both"/>
              <w:rPr>
                <w:rFonts w:ascii="Arial" w:hAnsi="Arial" w:cs="Arial"/>
                <w:b/>
                <w:bCs/>
                <w:sz w:val="20"/>
                <w:szCs w:val="20"/>
              </w:rPr>
            </w:pPr>
            <w:r w:rsidRPr="0032511F">
              <w:rPr>
                <w:rFonts w:ascii="Arial" w:hAnsi="Arial" w:cs="Arial"/>
                <w:b/>
                <w:bCs/>
                <w:sz w:val="20"/>
                <w:szCs w:val="20"/>
              </w:rPr>
              <w:t>Línea Financiera</w:t>
            </w:r>
          </w:p>
        </w:tc>
        <w:tc>
          <w:tcPr>
            <w:tcW w:w="1712" w:type="pct"/>
            <w:gridSpan w:val="2"/>
            <w:tcBorders>
              <w:top w:val="single" w:color="BDD7EE" w:sz="8" w:space="0"/>
              <w:left w:val="single" w:color="BDD7EE" w:sz="8" w:space="0"/>
              <w:bottom w:val="single" w:color="BDD7EE" w:sz="8" w:space="0"/>
              <w:right w:val="single" w:color="BDD7EE" w:sz="8" w:space="0"/>
            </w:tcBorders>
            <w:shd w:val="clear" w:color="auto" w:fill="DEEBF7"/>
            <w:tcMar>
              <w:top w:w="15" w:type="dxa"/>
              <w:left w:w="57" w:type="dxa"/>
              <w:bottom w:w="0" w:type="dxa"/>
              <w:right w:w="57" w:type="dxa"/>
            </w:tcMar>
            <w:vAlign w:val="center"/>
          </w:tcPr>
          <w:p w:rsidRPr="0032511F" w:rsidR="00EE587C" w:rsidP="00EE587C" w:rsidRDefault="00EE587C" w14:paraId="0BE24A0E" w14:textId="363AD00F">
            <w:pPr>
              <w:spacing w:after="0" w:line="276" w:lineRule="auto"/>
              <w:jc w:val="center"/>
              <w:rPr>
                <w:rFonts w:ascii="Arial" w:hAnsi="Arial" w:cs="Arial"/>
                <w:b/>
                <w:bCs/>
                <w:sz w:val="20"/>
                <w:szCs w:val="20"/>
              </w:rPr>
            </w:pPr>
            <w:r w:rsidRPr="0032511F">
              <w:rPr>
                <w:rFonts w:ascii="Arial" w:hAnsi="Arial" w:cs="Arial"/>
                <w:b/>
                <w:bCs/>
                <w:sz w:val="20"/>
                <w:szCs w:val="20"/>
              </w:rPr>
              <w:t>2018</w:t>
            </w:r>
          </w:p>
        </w:tc>
        <w:tc>
          <w:tcPr>
            <w:tcW w:w="1712" w:type="pct"/>
            <w:gridSpan w:val="2"/>
            <w:tcBorders>
              <w:top w:val="single" w:color="BDD7EE" w:sz="8" w:space="0"/>
              <w:left w:val="single" w:color="BDD7EE" w:sz="8" w:space="0"/>
              <w:bottom w:val="single" w:color="BDD7EE" w:sz="8" w:space="0"/>
              <w:right w:val="single" w:color="BDD7EE" w:sz="8" w:space="0"/>
            </w:tcBorders>
            <w:shd w:val="clear" w:color="auto" w:fill="DEEBF7"/>
            <w:tcMar>
              <w:top w:w="15" w:type="dxa"/>
              <w:left w:w="57" w:type="dxa"/>
              <w:bottom w:w="0" w:type="dxa"/>
              <w:right w:w="57" w:type="dxa"/>
            </w:tcMar>
            <w:vAlign w:val="center"/>
          </w:tcPr>
          <w:p w:rsidRPr="0032511F" w:rsidR="00EE587C" w:rsidP="00EE587C" w:rsidRDefault="00EE587C" w14:paraId="3FE17BE9" w14:textId="2BAE0EAC">
            <w:pPr>
              <w:spacing w:after="0" w:line="276" w:lineRule="auto"/>
              <w:jc w:val="center"/>
              <w:rPr>
                <w:rFonts w:ascii="Arial" w:hAnsi="Arial" w:cs="Arial"/>
                <w:b/>
                <w:bCs/>
                <w:sz w:val="20"/>
                <w:szCs w:val="20"/>
              </w:rPr>
            </w:pPr>
            <w:r w:rsidRPr="0032511F">
              <w:rPr>
                <w:rFonts w:ascii="Arial" w:hAnsi="Arial" w:cs="Arial"/>
                <w:b/>
                <w:bCs/>
                <w:sz w:val="20"/>
                <w:szCs w:val="20"/>
              </w:rPr>
              <w:t>2019</w:t>
            </w:r>
          </w:p>
        </w:tc>
      </w:tr>
      <w:tr w:rsidRPr="0032511F" w:rsidR="00EE587C" w:rsidTr="00196555" w14:paraId="51D8EB6F" w14:textId="47AD76D5">
        <w:trPr>
          <w:trHeight w:val="227"/>
          <w:jc w:val="center"/>
        </w:trPr>
        <w:tc>
          <w:tcPr>
            <w:tcW w:w="1575" w:type="pct"/>
            <w:vMerge/>
            <w:tcBorders>
              <w:left w:val="single" w:color="BDD7EE" w:sz="8" w:space="0"/>
              <w:bottom w:val="single" w:color="BDD7EE" w:sz="8" w:space="0"/>
              <w:right w:val="single" w:color="BDD7EE" w:sz="8" w:space="0"/>
            </w:tcBorders>
            <w:shd w:val="clear" w:color="auto" w:fill="DEEBF7"/>
            <w:tcMar>
              <w:top w:w="15" w:type="dxa"/>
              <w:left w:w="57" w:type="dxa"/>
              <w:bottom w:w="0" w:type="dxa"/>
              <w:right w:w="57" w:type="dxa"/>
            </w:tcMar>
            <w:vAlign w:val="center"/>
          </w:tcPr>
          <w:p w:rsidRPr="0032511F" w:rsidR="00EE587C" w:rsidP="00EE587C" w:rsidRDefault="00EE587C" w14:paraId="347DA5A9" w14:textId="2D382ECB">
            <w:pPr>
              <w:spacing w:after="0" w:line="276" w:lineRule="auto"/>
              <w:jc w:val="both"/>
              <w:rPr>
                <w:rFonts w:ascii="Arial" w:hAnsi="Arial" w:cs="Arial"/>
                <w:b/>
                <w:bCs/>
                <w:sz w:val="20"/>
                <w:szCs w:val="20"/>
              </w:rPr>
            </w:pPr>
          </w:p>
        </w:tc>
        <w:tc>
          <w:tcPr>
            <w:tcW w:w="856" w:type="pct"/>
            <w:tcBorders>
              <w:top w:val="single" w:color="BDD7EE" w:sz="8" w:space="0"/>
              <w:left w:val="single" w:color="BDD7EE" w:sz="8" w:space="0"/>
              <w:bottom w:val="single" w:color="BDD7EE" w:sz="8" w:space="0"/>
              <w:right w:val="single" w:color="BDD7EE" w:sz="8" w:space="0"/>
            </w:tcBorders>
            <w:shd w:val="clear" w:color="auto" w:fill="DEEBF7"/>
            <w:tcMar>
              <w:top w:w="15" w:type="dxa"/>
              <w:left w:w="57" w:type="dxa"/>
              <w:bottom w:w="0" w:type="dxa"/>
              <w:right w:w="57" w:type="dxa"/>
            </w:tcMar>
            <w:vAlign w:val="center"/>
          </w:tcPr>
          <w:p w:rsidRPr="0032511F" w:rsidR="00EE587C" w:rsidP="00EE587C" w:rsidRDefault="00EE587C" w14:paraId="53490FB2" w14:textId="7ED6B605">
            <w:pPr>
              <w:spacing w:after="0" w:line="276" w:lineRule="auto"/>
              <w:jc w:val="center"/>
              <w:rPr>
                <w:rFonts w:ascii="Arial" w:hAnsi="Arial" w:cs="Arial"/>
                <w:b/>
                <w:bCs/>
                <w:sz w:val="20"/>
                <w:szCs w:val="20"/>
              </w:rPr>
            </w:pPr>
            <w:r w:rsidRPr="0032511F">
              <w:rPr>
                <w:rFonts w:ascii="Arial" w:hAnsi="Arial" w:cs="Arial"/>
                <w:b/>
                <w:bCs/>
                <w:sz w:val="20"/>
                <w:szCs w:val="20"/>
              </w:rPr>
              <w:t>Número</w:t>
            </w:r>
          </w:p>
        </w:tc>
        <w:tc>
          <w:tcPr>
            <w:tcW w:w="856" w:type="pct"/>
            <w:tcBorders>
              <w:top w:val="single" w:color="BDD7EE" w:sz="8" w:space="0"/>
              <w:left w:val="single" w:color="BDD7EE" w:sz="8" w:space="0"/>
              <w:bottom w:val="single" w:color="BDD7EE" w:sz="8" w:space="0"/>
              <w:right w:val="single" w:color="BDD7EE" w:sz="8" w:space="0"/>
            </w:tcBorders>
            <w:shd w:val="clear" w:color="auto" w:fill="DEEBF7"/>
            <w:tcMar>
              <w:top w:w="15" w:type="dxa"/>
              <w:left w:w="57" w:type="dxa"/>
              <w:bottom w:w="0" w:type="dxa"/>
              <w:right w:w="57" w:type="dxa"/>
            </w:tcMar>
            <w:vAlign w:val="center"/>
          </w:tcPr>
          <w:p w:rsidRPr="0032511F" w:rsidR="00EE587C" w:rsidP="00EE587C" w:rsidRDefault="00EE587C" w14:paraId="34EC0E8F" w14:textId="0E11E285">
            <w:pPr>
              <w:spacing w:after="0" w:line="276" w:lineRule="auto"/>
              <w:jc w:val="center"/>
              <w:rPr>
                <w:rFonts w:ascii="Arial" w:hAnsi="Arial" w:cs="Arial"/>
                <w:b/>
                <w:bCs/>
                <w:sz w:val="20"/>
                <w:szCs w:val="20"/>
              </w:rPr>
            </w:pPr>
            <w:r w:rsidRPr="0032511F">
              <w:rPr>
                <w:rFonts w:ascii="Arial" w:hAnsi="Arial" w:cs="Arial"/>
                <w:b/>
                <w:bCs/>
                <w:sz w:val="20"/>
                <w:szCs w:val="20"/>
              </w:rPr>
              <w:t>Monto</w:t>
            </w:r>
          </w:p>
        </w:tc>
        <w:tc>
          <w:tcPr>
            <w:tcW w:w="856" w:type="pct"/>
            <w:tcBorders>
              <w:top w:val="single" w:color="BDD7EE" w:sz="8" w:space="0"/>
              <w:left w:val="single" w:color="BDD7EE" w:sz="8" w:space="0"/>
              <w:bottom w:val="single" w:color="BDD7EE" w:sz="8" w:space="0"/>
              <w:right w:val="single" w:color="BDD7EE" w:sz="8" w:space="0"/>
            </w:tcBorders>
            <w:shd w:val="clear" w:color="auto" w:fill="DEEBF7"/>
            <w:tcMar>
              <w:top w:w="15" w:type="dxa"/>
              <w:left w:w="57" w:type="dxa"/>
              <w:bottom w:w="0" w:type="dxa"/>
              <w:right w:w="57" w:type="dxa"/>
            </w:tcMar>
            <w:vAlign w:val="center"/>
          </w:tcPr>
          <w:p w:rsidRPr="0032511F" w:rsidR="00EE587C" w:rsidP="00EE587C" w:rsidRDefault="00EE587C" w14:paraId="5EF75731" w14:textId="5F2BAFCD">
            <w:pPr>
              <w:spacing w:after="0" w:line="276" w:lineRule="auto"/>
              <w:jc w:val="center"/>
              <w:rPr>
                <w:rFonts w:ascii="Arial" w:hAnsi="Arial" w:cs="Arial"/>
                <w:b/>
                <w:bCs/>
                <w:sz w:val="20"/>
                <w:szCs w:val="20"/>
              </w:rPr>
            </w:pPr>
            <w:r w:rsidRPr="0032511F">
              <w:rPr>
                <w:rFonts w:ascii="Arial" w:hAnsi="Arial" w:cs="Arial"/>
                <w:b/>
                <w:bCs/>
                <w:sz w:val="20"/>
                <w:szCs w:val="20"/>
              </w:rPr>
              <w:t>Número</w:t>
            </w:r>
          </w:p>
        </w:tc>
        <w:tc>
          <w:tcPr>
            <w:tcW w:w="856" w:type="pct"/>
            <w:tcBorders>
              <w:top w:val="single" w:color="BDD7EE" w:sz="8" w:space="0"/>
              <w:left w:val="single" w:color="BDD7EE" w:sz="8" w:space="0"/>
              <w:bottom w:val="single" w:color="BDD7EE" w:sz="8" w:space="0"/>
              <w:right w:val="single" w:color="BDD7EE" w:sz="8" w:space="0"/>
            </w:tcBorders>
            <w:shd w:val="clear" w:color="auto" w:fill="DEEBF7"/>
            <w:vAlign w:val="center"/>
          </w:tcPr>
          <w:p w:rsidRPr="0032511F" w:rsidR="00EE587C" w:rsidP="00EE587C" w:rsidRDefault="00EE587C" w14:paraId="64B49B46" w14:textId="2A04411D">
            <w:pPr>
              <w:spacing w:after="0" w:line="276" w:lineRule="auto"/>
              <w:jc w:val="center"/>
              <w:rPr>
                <w:rFonts w:ascii="Arial" w:hAnsi="Arial" w:cs="Arial"/>
                <w:b/>
                <w:bCs/>
                <w:sz w:val="20"/>
                <w:szCs w:val="20"/>
              </w:rPr>
            </w:pPr>
            <w:r w:rsidRPr="0032511F">
              <w:rPr>
                <w:rFonts w:ascii="Arial" w:hAnsi="Arial" w:cs="Arial"/>
                <w:b/>
                <w:bCs/>
                <w:sz w:val="20"/>
                <w:szCs w:val="20"/>
              </w:rPr>
              <w:t>Monto</w:t>
            </w:r>
          </w:p>
        </w:tc>
      </w:tr>
      <w:tr w:rsidRPr="0032511F" w:rsidR="00EE587C" w:rsidTr="00196555" w14:paraId="6631026E" w14:textId="77777777">
        <w:trPr>
          <w:trHeight w:val="227"/>
          <w:jc w:val="center"/>
        </w:trPr>
        <w:tc>
          <w:tcPr>
            <w:tcW w:w="1575"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70D2D6C4" w14:textId="77777777">
            <w:pPr>
              <w:spacing w:after="0" w:line="276" w:lineRule="auto"/>
              <w:jc w:val="both"/>
              <w:rPr>
                <w:rFonts w:ascii="Arial" w:hAnsi="Arial" w:cs="Arial"/>
                <w:sz w:val="20"/>
                <w:szCs w:val="20"/>
              </w:rPr>
            </w:pPr>
            <w:r w:rsidRPr="0032511F">
              <w:rPr>
                <w:rFonts w:ascii="Arial" w:hAnsi="Arial" w:cs="Arial"/>
                <w:sz w:val="20"/>
                <w:szCs w:val="20"/>
              </w:rPr>
              <w:t>Vivienda Nueva</w:t>
            </w:r>
          </w:p>
        </w:tc>
        <w:tc>
          <w:tcPr>
            <w:tcW w:w="856"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638608A6" w14:textId="77777777">
            <w:pPr>
              <w:spacing w:after="0" w:line="276" w:lineRule="auto"/>
              <w:jc w:val="center"/>
              <w:rPr>
                <w:rFonts w:ascii="Arial" w:hAnsi="Arial" w:cs="Arial"/>
                <w:sz w:val="20"/>
                <w:szCs w:val="20"/>
              </w:rPr>
            </w:pPr>
            <w:r w:rsidRPr="0032511F">
              <w:rPr>
                <w:rFonts w:ascii="Arial" w:hAnsi="Arial" w:cs="Arial"/>
                <w:sz w:val="20"/>
                <w:szCs w:val="20"/>
              </w:rPr>
              <w:t>649</w:t>
            </w:r>
          </w:p>
        </w:tc>
        <w:tc>
          <w:tcPr>
            <w:tcW w:w="856"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2806B46E" w14:textId="55CFC258">
            <w:pPr>
              <w:spacing w:after="0" w:line="276" w:lineRule="auto"/>
              <w:jc w:val="center"/>
              <w:rPr>
                <w:rFonts w:ascii="Arial" w:hAnsi="Arial" w:cs="Arial"/>
                <w:sz w:val="20"/>
                <w:szCs w:val="20"/>
              </w:rPr>
            </w:pPr>
            <w:r w:rsidRPr="0032511F">
              <w:rPr>
                <w:rFonts w:ascii="Arial" w:hAnsi="Arial" w:cs="Arial"/>
                <w:sz w:val="20"/>
                <w:szCs w:val="20"/>
              </w:rPr>
              <w:t>$20</w:t>
            </w:r>
            <w:r w:rsidR="00816CC1">
              <w:rPr>
                <w:rFonts w:ascii="Arial" w:hAnsi="Arial" w:cs="Arial"/>
                <w:sz w:val="20"/>
                <w:szCs w:val="20"/>
              </w:rPr>
              <w:t>,</w:t>
            </w:r>
            <w:r w:rsidRPr="0032511F">
              <w:rPr>
                <w:rFonts w:ascii="Arial" w:hAnsi="Arial" w:cs="Arial"/>
                <w:sz w:val="20"/>
                <w:szCs w:val="20"/>
              </w:rPr>
              <w:t>60</w:t>
            </w:r>
          </w:p>
        </w:tc>
        <w:tc>
          <w:tcPr>
            <w:tcW w:w="856"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2444978F" w14:textId="77777777">
            <w:pPr>
              <w:spacing w:after="0" w:line="276" w:lineRule="auto"/>
              <w:jc w:val="center"/>
              <w:rPr>
                <w:rFonts w:ascii="Arial" w:hAnsi="Arial" w:cs="Arial"/>
                <w:sz w:val="20"/>
                <w:szCs w:val="20"/>
              </w:rPr>
            </w:pPr>
            <w:r w:rsidRPr="0032511F">
              <w:rPr>
                <w:rFonts w:ascii="Arial" w:hAnsi="Arial" w:cs="Arial"/>
                <w:sz w:val="20"/>
                <w:szCs w:val="20"/>
              </w:rPr>
              <w:t>865</w:t>
            </w:r>
          </w:p>
        </w:tc>
        <w:tc>
          <w:tcPr>
            <w:tcW w:w="856" w:type="pct"/>
            <w:tcBorders>
              <w:top w:val="single" w:color="BDD7EE" w:sz="8" w:space="0"/>
              <w:left w:val="single" w:color="BDD7EE" w:sz="8" w:space="0"/>
              <w:bottom w:val="single" w:color="BDD7EE" w:sz="8" w:space="0"/>
              <w:right w:val="single" w:color="BDD7EE" w:sz="8" w:space="0"/>
            </w:tcBorders>
            <w:vAlign w:val="center"/>
          </w:tcPr>
          <w:p w:rsidRPr="0032511F" w:rsidR="00EE587C" w:rsidP="00EE587C" w:rsidRDefault="00EE587C" w14:paraId="2D27A270" w14:textId="7C9A8C0A">
            <w:pPr>
              <w:spacing w:after="0" w:line="276" w:lineRule="auto"/>
              <w:jc w:val="center"/>
              <w:rPr>
                <w:rFonts w:ascii="Arial" w:hAnsi="Arial" w:cs="Arial"/>
                <w:sz w:val="20"/>
                <w:szCs w:val="20"/>
              </w:rPr>
            </w:pPr>
            <w:r w:rsidRPr="0032511F">
              <w:rPr>
                <w:rFonts w:ascii="Arial" w:hAnsi="Arial" w:cs="Arial"/>
                <w:sz w:val="20"/>
                <w:szCs w:val="20"/>
              </w:rPr>
              <w:t>$29</w:t>
            </w:r>
            <w:r w:rsidR="00816CC1">
              <w:rPr>
                <w:rFonts w:ascii="Arial" w:hAnsi="Arial" w:cs="Arial"/>
                <w:sz w:val="20"/>
                <w:szCs w:val="20"/>
              </w:rPr>
              <w:t>,</w:t>
            </w:r>
            <w:r w:rsidRPr="0032511F">
              <w:rPr>
                <w:rFonts w:ascii="Arial" w:hAnsi="Arial" w:cs="Arial"/>
                <w:sz w:val="20"/>
                <w:szCs w:val="20"/>
              </w:rPr>
              <w:t>39</w:t>
            </w:r>
          </w:p>
        </w:tc>
      </w:tr>
      <w:tr w:rsidRPr="0032511F" w:rsidR="00EE587C" w:rsidTr="00196555" w14:paraId="4C0539D5" w14:textId="77777777">
        <w:trPr>
          <w:trHeight w:val="227"/>
          <w:jc w:val="center"/>
        </w:trPr>
        <w:tc>
          <w:tcPr>
            <w:tcW w:w="1575"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0137138D" w14:textId="77777777">
            <w:pPr>
              <w:spacing w:after="0" w:line="276" w:lineRule="auto"/>
              <w:jc w:val="both"/>
              <w:rPr>
                <w:rFonts w:ascii="Arial" w:hAnsi="Arial" w:cs="Arial"/>
                <w:sz w:val="20"/>
                <w:szCs w:val="20"/>
              </w:rPr>
            </w:pPr>
            <w:r w:rsidRPr="0032511F">
              <w:rPr>
                <w:rFonts w:ascii="Arial" w:hAnsi="Arial" w:cs="Arial"/>
                <w:sz w:val="20"/>
                <w:szCs w:val="20"/>
              </w:rPr>
              <w:t>Vivienda Usada</w:t>
            </w:r>
          </w:p>
        </w:tc>
        <w:tc>
          <w:tcPr>
            <w:tcW w:w="856"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38F5B6AE" w14:textId="6D94EF4A">
            <w:pPr>
              <w:spacing w:after="0" w:line="276" w:lineRule="auto"/>
              <w:jc w:val="center"/>
              <w:rPr>
                <w:rFonts w:ascii="Arial" w:hAnsi="Arial" w:cs="Arial"/>
                <w:sz w:val="20"/>
                <w:szCs w:val="20"/>
              </w:rPr>
            </w:pPr>
            <w:r w:rsidRPr="0032511F">
              <w:rPr>
                <w:rFonts w:ascii="Arial" w:hAnsi="Arial" w:cs="Arial"/>
                <w:sz w:val="20"/>
                <w:szCs w:val="20"/>
              </w:rPr>
              <w:t>3</w:t>
            </w:r>
            <w:r w:rsidR="00816CC1">
              <w:rPr>
                <w:rFonts w:ascii="Arial" w:hAnsi="Arial" w:cs="Arial"/>
                <w:sz w:val="20"/>
                <w:szCs w:val="20"/>
              </w:rPr>
              <w:t>.</w:t>
            </w:r>
            <w:r w:rsidRPr="0032511F">
              <w:rPr>
                <w:rFonts w:ascii="Arial" w:hAnsi="Arial" w:cs="Arial"/>
                <w:sz w:val="20"/>
                <w:szCs w:val="20"/>
              </w:rPr>
              <w:t>299</w:t>
            </w:r>
          </w:p>
        </w:tc>
        <w:tc>
          <w:tcPr>
            <w:tcW w:w="856"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456DFC5D" w14:textId="5386B465">
            <w:pPr>
              <w:spacing w:after="0" w:line="276" w:lineRule="auto"/>
              <w:jc w:val="center"/>
              <w:rPr>
                <w:rFonts w:ascii="Arial" w:hAnsi="Arial" w:cs="Arial"/>
                <w:sz w:val="20"/>
                <w:szCs w:val="20"/>
              </w:rPr>
            </w:pPr>
            <w:r w:rsidRPr="0032511F">
              <w:rPr>
                <w:rFonts w:ascii="Arial" w:hAnsi="Arial" w:cs="Arial"/>
                <w:sz w:val="20"/>
                <w:szCs w:val="20"/>
              </w:rPr>
              <w:t>$52</w:t>
            </w:r>
            <w:r w:rsidR="00816CC1">
              <w:rPr>
                <w:rFonts w:ascii="Arial" w:hAnsi="Arial" w:cs="Arial"/>
                <w:sz w:val="20"/>
                <w:szCs w:val="20"/>
              </w:rPr>
              <w:t>,</w:t>
            </w:r>
            <w:r w:rsidRPr="0032511F">
              <w:rPr>
                <w:rFonts w:ascii="Arial" w:hAnsi="Arial" w:cs="Arial"/>
                <w:sz w:val="20"/>
                <w:szCs w:val="20"/>
              </w:rPr>
              <w:t>88</w:t>
            </w:r>
          </w:p>
        </w:tc>
        <w:tc>
          <w:tcPr>
            <w:tcW w:w="856"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27776835" w14:textId="3C550CAF">
            <w:pPr>
              <w:spacing w:after="0" w:line="276" w:lineRule="auto"/>
              <w:jc w:val="center"/>
              <w:rPr>
                <w:rFonts w:ascii="Arial" w:hAnsi="Arial" w:cs="Arial"/>
                <w:sz w:val="20"/>
                <w:szCs w:val="20"/>
              </w:rPr>
            </w:pPr>
            <w:r w:rsidRPr="0032511F">
              <w:rPr>
                <w:rFonts w:ascii="Arial" w:hAnsi="Arial" w:cs="Arial"/>
                <w:sz w:val="20"/>
                <w:szCs w:val="20"/>
              </w:rPr>
              <w:t>4</w:t>
            </w:r>
            <w:r w:rsidR="00816CC1">
              <w:rPr>
                <w:rFonts w:ascii="Arial" w:hAnsi="Arial" w:cs="Arial"/>
                <w:sz w:val="20"/>
                <w:szCs w:val="20"/>
              </w:rPr>
              <w:t>.</w:t>
            </w:r>
            <w:r w:rsidRPr="0032511F">
              <w:rPr>
                <w:rFonts w:ascii="Arial" w:hAnsi="Arial" w:cs="Arial"/>
                <w:sz w:val="20"/>
                <w:szCs w:val="20"/>
              </w:rPr>
              <w:t>290</w:t>
            </w:r>
          </w:p>
        </w:tc>
        <w:tc>
          <w:tcPr>
            <w:tcW w:w="856" w:type="pct"/>
            <w:tcBorders>
              <w:top w:val="single" w:color="BDD7EE" w:sz="8" w:space="0"/>
              <w:left w:val="single" w:color="BDD7EE" w:sz="8" w:space="0"/>
              <w:bottom w:val="single" w:color="BDD7EE" w:sz="8" w:space="0"/>
              <w:right w:val="single" w:color="BDD7EE" w:sz="8" w:space="0"/>
            </w:tcBorders>
            <w:vAlign w:val="center"/>
          </w:tcPr>
          <w:p w:rsidRPr="0032511F" w:rsidR="00EE587C" w:rsidP="00EE587C" w:rsidRDefault="00EE587C" w14:paraId="6C649E59" w14:textId="7974CD1C">
            <w:pPr>
              <w:spacing w:after="0" w:line="276" w:lineRule="auto"/>
              <w:jc w:val="center"/>
              <w:rPr>
                <w:rFonts w:ascii="Arial" w:hAnsi="Arial" w:cs="Arial"/>
                <w:sz w:val="20"/>
                <w:szCs w:val="20"/>
              </w:rPr>
            </w:pPr>
            <w:r w:rsidRPr="0032511F">
              <w:rPr>
                <w:rFonts w:ascii="Arial" w:hAnsi="Arial" w:cs="Arial"/>
                <w:sz w:val="20"/>
                <w:szCs w:val="20"/>
              </w:rPr>
              <w:t>$72</w:t>
            </w:r>
            <w:r w:rsidR="00816CC1">
              <w:rPr>
                <w:rFonts w:ascii="Arial" w:hAnsi="Arial" w:cs="Arial"/>
                <w:sz w:val="20"/>
                <w:szCs w:val="20"/>
              </w:rPr>
              <w:t>,</w:t>
            </w:r>
            <w:r w:rsidRPr="0032511F">
              <w:rPr>
                <w:rFonts w:ascii="Arial" w:hAnsi="Arial" w:cs="Arial"/>
                <w:sz w:val="20"/>
                <w:szCs w:val="20"/>
              </w:rPr>
              <w:t>14</w:t>
            </w:r>
          </w:p>
        </w:tc>
      </w:tr>
      <w:tr w:rsidRPr="0032511F" w:rsidR="00EE587C" w:rsidTr="00196555" w14:paraId="2CED2080" w14:textId="77777777">
        <w:trPr>
          <w:trHeight w:val="227"/>
          <w:jc w:val="center"/>
        </w:trPr>
        <w:tc>
          <w:tcPr>
            <w:tcW w:w="1575"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7F888AEC" w14:textId="77777777">
            <w:pPr>
              <w:spacing w:after="0" w:line="276" w:lineRule="auto"/>
              <w:jc w:val="both"/>
              <w:rPr>
                <w:rFonts w:ascii="Arial" w:hAnsi="Arial" w:cs="Arial"/>
                <w:sz w:val="20"/>
                <w:szCs w:val="20"/>
              </w:rPr>
            </w:pPr>
            <w:r w:rsidRPr="0032511F">
              <w:rPr>
                <w:rFonts w:ascii="Arial" w:hAnsi="Arial" w:cs="Arial"/>
                <w:sz w:val="20"/>
                <w:szCs w:val="20"/>
              </w:rPr>
              <w:t>Vivienda FSV</w:t>
            </w:r>
          </w:p>
        </w:tc>
        <w:tc>
          <w:tcPr>
            <w:tcW w:w="856"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34468B2D" w14:textId="77777777">
            <w:pPr>
              <w:spacing w:after="0" w:line="276" w:lineRule="auto"/>
              <w:jc w:val="center"/>
              <w:rPr>
                <w:rFonts w:ascii="Arial" w:hAnsi="Arial" w:cs="Arial"/>
                <w:sz w:val="20"/>
                <w:szCs w:val="20"/>
              </w:rPr>
            </w:pPr>
            <w:r w:rsidRPr="0032511F">
              <w:rPr>
                <w:rFonts w:ascii="Arial" w:hAnsi="Arial" w:cs="Arial"/>
                <w:sz w:val="20"/>
                <w:szCs w:val="20"/>
              </w:rPr>
              <w:t>798</w:t>
            </w:r>
          </w:p>
        </w:tc>
        <w:tc>
          <w:tcPr>
            <w:tcW w:w="856"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1156188A" w14:textId="6E5B3E96">
            <w:pPr>
              <w:spacing w:after="0" w:line="276" w:lineRule="auto"/>
              <w:jc w:val="center"/>
              <w:rPr>
                <w:rFonts w:ascii="Arial" w:hAnsi="Arial" w:cs="Arial"/>
                <w:sz w:val="20"/>
                <w:szCs w:val="20"/>
              </w:rPr>
            </w:pPr>
            <w:r w:rsidRPr="0032511F">
              <w:rPr>
                <w:rFonts w:ascii="Arial" w:hAnsi="Arial" w:cs="Arial"/>
                <w:sz w:val="20"/>
                <w:szCs w:val="20"/>
              </w:rPr>
              <w:t>$8</w:t>
            </w:r>
            <w:r w:rsidR="00816CC1">
              <w:rPr>
                <w:rFonts w:ascii="Arial" w:hAnsi="Arial" w:cs="Arial"/>
                <w:sz w:val="20"/>
                <w:szCs w:val="20"/>
              </w:rPr>
              <w:t>,</w:t>
            </w:r>
            <w:r w:rsidRPr="0032511F">
              <w:rPr>
                <w:rFonts w:ascii="Arial" w:hAnsi="Arial" w:cs="Arial"/>
                <w:sz w:val="20"/>
                <w:szCs w:val="20"/>
              </w:rPr>
              <w:t>65</w:t>
            </w:r>
          </w:p>
        </w:tc>
        <w:tc>
          <w:tcPr>
            <w:tcW w:w="856"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2EF81BC8" w14:textId="77777777">
            <w:pPr>
              <w:spacing w:after="0" w:line="276" w:lineRule="auto"/>
              <w:jc w:val="center"/>
              <w:rPr>
                <w:rFonts w:ascii="Arial" w:hAnsi="Arial" w:cs="Arial"/>
                <w:sz w:val="20"/>
                <w:szCs w:val="20"/>
              </w:rPr>
            </w:pPr>
            <w:r w:rsidRPr="0032511F">
              <w:rPr>
                <w:rFonts w:ascii="Arial" w:hAnsi="Arial" w:cs="Arial"/>
                <w:sz w:val="20"/>
                <w:szCs w:val="20"/>
              </w:rPr>
              <w:t>640</w:t>
            </w:r>
          </w:p>
        </w:tc>
        <w:tc>
          <w:tcPr>
            <w:tcW w:w="856" w:type="pct"/>
            <w:tcBorders>
              <w:top w:val="single" w:color="BDD7EE" w:sz="8" w:space="0"/>
              <w:left w:val="single" w:color="BDD7EE" w:sz="8" w:space="0"/>
              <w:bottom w:val="single" w:color="BDD7EE" w:sz="8" w:space="0"/>
              <w:right w:val="single" w:color="BDD7EE" w:sz="8" w:space="0"/>
            </w:tcBorders>
            <w:vAlign w:val="center"/>
          </w:tcPr>
          <w:p w:rsidRPr="0032511F" w:rsidR="00EE587C" w:rsidP="00EE587C" w:rsidRDefault="00EE587C" w14:paraId="1DC9F762" w14:textId="06700F3F">
            <w:pPr>
              <w:spacing w:after="0" w:line="276" w:lineRule="auto"/>
              <w:jc w:val="center"/>
              <w:rPr>
                <w:rFonts w:ascii="Arial" w:hAnsi="Arial" w:cs="Arial"/>
                <w:sz w:val="20"/>
                <w:szCs w:val="20"/>
              </w:rPr>
            </w:pPr>
            <w:r w:rsidRPr="0032511F">
              <w:rPr>
                <w:rFonts w:ascii="Arial" w:hAnsi="Arial" w:cs="Arial"/>
                <w:sz w:val="20"/>
                <w:szCs w:val="20"/>
              </w:rPr>
              <w:t>$6</w:t>
            </w:r>
            <w:r w:rsidR="00816CC1">
              <w:rPr>
                <w:rFonts w:ascii="Arial" w:hAnsi="Arial" w:cs="Arial"/>
                <w:sz w:val="20"/>
                <w:szCs w:val="20"/>
              </w:rPr>
              <w:t>,</w:t>
            </w:r>
            <w:r w:rsidRPr="0032511F">
              <w:rPr>
                <w:rFonts w:ascii="Arial" w:hAnsi="Arial" w:cs="Arial"/>
                <w:sz w:val="20"/>
                <w:szCs w:val="20"/>
              </w:rPr>
              <w:t>70</w:t>
            </w:r>
          </w:p>
        </w:tc>
      </w:tr>
      <w:tr w:rsidRPr="0032511F" w:rsidR="00EE587C" w:rsidTr="00196555" w14:paraId="092EB091" w14:textId="77777777">
        <w:trPr>
          <w:trHeight w:val="227"/>
          <w:jc w:val="center"/>
        </w:trPr>
        <w:tc>
          <w:tcPr>
            <w:tcW w:w="1575"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2004A27F" w14:textId="77777777">
            <w:pPr>
              <w:spacing w:after="0" w:line="276" w:lineRule="auto"/>
              <w:jc w:val="both"/>
              <w:rPr>
                <w:rFonts w:ascii="Arial" w:hAnsi="Arial" w:cs="Arial"/>
                <w:sz w:val="20"/>
                <w:szCs w:val="20"/>
              </w:rPr>
            </w:pPr>
            <w:r w:rsidRPr="0032511F">
              <w:rPr>
                <w:rFonts w:ascii="Arial" w:hAnsi="Arial" w:cs="Arial"/>
                <w:sz w:val="20"/>
                <w:szCs w:val="20"/>
              </w:rPr>
              <w:t>Otras líneas*</w:t>
            </w:r>
          </w:p>
        </w:tc>
        <w:tc>
          <w:tcPr>
            <w:tcW w:w="856"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6CDAAD5D" w14:textId="77777777">
            <w:pPr>
              <w:spacing w:after="0" w:line="276" w:lineRule="auto"/>
              <w:jc w:val="center"/>
              <w:rPr>
                <w:rFonts w:ascii="Arial" w:hAnsi="Arial" w:cs="Arial"/>
                <w:sz w:val="20"/>
                <w:szCs w:val="20"/>
              </w:rPr>
            </w:pPr>
            <w:r w:rsidRPr="0032511F">
              <w:rPr>
                <w:rFonts w:ascii="Arial" w:hAnsi="Arial" w:cs="Arial"/>
                <w:sz w:val="20"/>
                <w:szCs w:val="20"/>
              </w:rPr>
              <w:t>443</w:t>
            </w:r>
          </w:p>
        </w:tc>
        <w:tc>
          <w:tcPr>
            <w:tcW w:w="856"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1C39B0B7" w14:textId="7CFB5C27">
            <w:pPr>
              <w:spacing w:after="0" w:line="276" w:lineRule="auto"/>
              <w:jc w:val="center"/>
              <w:rPr>
                <w:rFonts w:ascii="Arial" w:hAnsi="Arial" w:cs="Arial"/>
                <w:sz w:val="20"/>
                <w:szCs w:val="20"/>
              </w:rPr>
            </w:pPr>
            <w:r w:rsidRPr="0032511F">
              <w:rPr>
                <w:rFonts w:ascii="Arial" w:hAnsi="Arial" w:cs="Arial"/>
                <w:sz w:val="20"/>
                <w:szCs w:val="20"/>
              </w:rPr>
              <w:t>$5</w:t>
            </w:r>
            <w:r w:rsidR="00816CC1">
              <w:rPr>
                <w:rFonts w:ascii="Arial" w:hAnsi="Arial" w:cs="Arial"/>
                <w:sz w:val="20"/>
                <w:szCs w:val="20"/>
              </w:rPr>
              <w:t>,</w:t>
            </w:r>
            <w:r w:rsidRPr="0032511F">
              <w:rPr>
                <w:rFonts w:ascii="Arial" w:hAnsi="Arial" w:cs="Arial"/>
                <w:sz w:val="20"/>
                <w:szCs w:val="20"/>
              </w:rPr>
              <w:t>71</w:t>
            </w:r>
          </w:p>
        </w:tc>
        <w:tc>
          <w:tcPr>
            <w:tcW w:w="856" w:type="pct"/>
            <w:tcBorders>
              <w:top w:val="single" w:color="BDD7EE" w:sz="8" w:space="0"/>
              <w:left w:val="single" w:color="BDD7EE" w:sz="8" w:space="0"/>
              <w:bottom w:val="single" w:color="BDD7EE" w:sz="8" w:space="0"/>
              <w:right w:val="single" w:color="BDD7EE" w:sz="8" w:space="0"/>
            </w:tcBorders>
            <w:shd w:val="clear" w:color="auto" w:fill="auto"/>
            <w:tcMar>
              <w:top w:w="15" w:type="dxa"/>
              <w:left w:w="57" w:type="dxa"/>
              <w:bottom w:w="0" w:type="dxa"/>
              <w:right w:w="57" w:type="dxa"/>
            </w:tcMar>
            <w:vAlign w:val="center"/>
            <w:hideMark/>
          </w:tcPr>
          <w:p w:rsidRPr="0032511F" w:rsidR="00EE587C" w:rsidP="00EE587C" w:rsidRDefault="00EE587C" w14:paraId="6C3D0D8E" w14:textId="77777777">
            <w:pPr>
              <w:spacing w:after="0" w:line="276" w:lineRule="auto"/>
              <w:jc w:val="center"/>
              <w:rPr>
                <w:rFonts w:ascii="Arial" w:hAnsi="Arial" w:cs="Arial"/>
                <w:sz w:val="20"/>
                <w:szCs w:val="20"/>
              </w:rPr>
            </w:pPr>
            <w:r w:rsidRPr="0032511F">
              <w:rPr>
                <w:rFonts w:ascii="Arial" w:hAnsi="Arial" w:cs="Arial"/>
                <w:sz w:val="20"/>
                <w:szCs w:val="20"/>
              </w:rPr>
              <w:t>571</w:t>
            </w:r>
          </w:p>
        </w:tc>
        <w:tc>
          <w:tcPr>
            <w:tcW w:w="856" w:type="pct"/>
            <w:tcBorders>
              <w:top w:val="single" w:color="BDD7EE" w:sz="8" w:space="0"/>
              <w:left w:val="single" w:color="BDD7EE" w:sz="8" w:space="0"/>
              <w:bottom w:val="single" w:color="BDD7EE" w:sz="8" w:space="0"/>
              <w:right w:val="single" w:color="BDD7EE" w:sz="8" w:space="0"/>
            </w:tcBorders>
            <w:vAlign w:val="center"/>
          </w:tcPr>
          <w:p w:rsidRPr="0032511F" w:rsidR="00EE587C" w:rsidP="00EE587C" w:rsidRDefault="00EE587C" w14:paraId="50B907DD" w14:textId="36E2AD11">
            <w:pPr>
              <w:spacing w:after="0" w:line="276" w:lineRule="auto"/>
              <w:jc w:val="center"/>
              <w:rPr>
                <w:rFonts w:ascii="Arial" w:hAnsi="Arial" w:cs="Arial"/>
                <w:sz w:val="20"/>
                <w:szCs w:val="20"/>
              </w:rPr>
            </w:pPr>
            <w:r w:rsidRPr="0032511F">
              <w:rPr>
                <w:rFonts w:ascii="Arial" w:hAnsi="Arial" w:cs="Arial"/>
                <w:sz w:val="20"/>
                <w:szCs w:val="20"/>
              </w:rPr>
              <w:t>$7</w:t>
            </w:r>
            <w:r w:rsidR="00816CC1">
              <w:rPr>
                <w:rFonts w:ascii="Arial" w:hAnsi="Arial" w:cs="Arial"/>
                <w:sz w:val="20"/>
                <w:szCs w:val="20"/>
              </w:rPr>
              <w:t>,</w:t>
            </w:r>
            <w:r w:rsidRPr="0032511F">
              <w:rPr>
                <w:rFonts w:ascii="Arial" w:hAnsi="Arial" w:cs="Arial"/>
                <w:sz w:val="20"/>
                <w:szCs w:val="20"/>
              </w:rPr>
              <w:t>60</w:t>
            </w:r>
          </w:p>
        </w:tc>
      </w:tr>
      <w:tr w:rsidRPr="0032511F" w:rsidR="00EE587C" w:rsidTr="00196555" w14:paraId="0BC87635" w14:textId="77777777">
        <w:trPr>
          <w:trHeight w:val="227"/>
          <w:jc w:val="center"/>
        </w:trPr>
        <w:tc>
          <w:tcPr>
            <w:tcW w:w="1575" w:type="pct"/>
            <w:tcBorders>
              <w:top w:val="single" w:color="BDD7EE" w:sz="8" w:space="0"/>
              <w:left w:val="single" w:color="BDD7EE" w:sz="8" w:space="0"/>
              <w:bottom w:val="single" w:color="BDD7EE" w:sz="8" w:space="0"/>
              <w:right w:val="single" w:color="BDD7EE" w:sz="8" w:space="0"/>
            </w:tcBorders>
            <w:shd w:val="clear" w:color="auto" w:fill="DEEBF7"/>
            <w:tcMar>
              <w:top w:w="15" w:type="dxa"/>
              <w:left w:w="57" w:type="dxa"/>
              <w:bottom w:w="0" w:type="dxa"/>
              <w:right w:w="57" w:type="dxa"/>
            </w:tcMar>
            <w:vAlign w:val="center"/>
            <w:hideMark/>
          </w:tcPr>
          <w:p w:rsidRPr="0032511F" w:rsidR="00EE587C" w:rsidP="00EE587C" w:rsidRDefault="00EE587C" w14:paraId="5F38541C" w14:textId="77777777">
            <w:pPr>
              <w:spacing w:after="0" w:line="276" w:lineRule="auto"/>
              <w:jc w:val="both"/>
              <w:rPr>
                <w:rFonts w:ascii="Arial" w:hAnsi="Arial" w:cs="Arial"/>
                <w:sz w:val="20"/>
                <w:szCs w:val="20"/>
              </w:rPr>
            </w:pPr>
            <w:r w:rsidRPr="0032511F">
              <w:rPr>
                <w:rFonts w:ascii="Arial" w:hAnsi="Arial" w:cs="Arial"/>
                <w:b/>
                <w:bCs/>
                <w:sz w:val="20"/>
                <w:szCs w:val="20"/>
              </w:rPr>
              <w:t>Total</w:t>
            </w:r>
          </w:p>
        </w:tc>
        <w:tc>
          <w:tcPr>
            <w:tcW w:w="856" w:type="pct"/>
            <w:tcBorders>
              <w:top w:val="single" w:color="BDD7EE" w:sz="8" w:space="0"/>
              <w:left w:val="single" w:color="BDD7EE" w:sz="8" w:space="0"/>
              <w:bottom w:val="single" w:color="BDD7EE" w:sz="8" w:space="0"/>
              <w:right w:val="single" w:color="BDD7EE" w:sz="8" w:space="0"/>
            </w:tcBorders>
            <w:shd w:val="clear" w:color="auto" w:fill="DEEBF7"/>
            <w:tcMar>
              <w:top w:w="15" w:type="dxa"/>
              <w:left w:w="57" w:type="dxa"/>
              <w:bottom w:w="0" w:type="dxa"/>
              <w:right w:w="57" w:type="dxa"/>
            </w:tcMar>
            <w:vAlign w:val="center"/>
            <w:hideMark/>
          </w:tcPr>
          <w:p w:rsidRPr="0032511F" w:rsidR="00EE587C" w:rsidP="00EE587C" w:rsidRDefault="00EE587C" w14:paraId="0EFFA12C" w14:textId="5219684B">
            <w:pPr>
              <w:spacing w:after="0" w:line="276" w:lineRule="auto"/>
              <w:jc w:val="center"/>
              <w:rPr>
                <w:rFonts w:ascii="Arial" w:hAnsi="Arial" w:cs="Arial"/>
                <w:sz w:val="20"/>
                <w:szCs w:val="20"/>
              </w:rPr>
            </w:pPr>
            <w:r w:rsidRPr="0032511F">
              <w:rPr>
                <w:rFonts w:ascii="Arial" w:hAnsi="Arial" w:cs="Arial"/>
                <w:b/>
                <w:bCs/>
                <w:sz w:val="20"/>
                <w:szCs w:val="20"/>
              </w:rPr>
              <w:t>5</w:t>
            </w:r>
            <w:r w:rsidR="00816CC1">
              <w:rPr>
                <w:rFonts w:ascii="Arial" w:hAnsi="Arial" w:cs="Arial"/>
                <w:b/>
                <w:bCs/>
                <w:sz w:val="20"/>
                <w:szCs w:val="20"/>
              </w:rPr>
              <w:t>.</w:t>
            </w:r>
            <w:r w:rsidRPr="0032511F">
              <w:rPr>
                <w:rFonts w:ascii="Arial" w:hAnsi="Arial" w:cs="Arial"/>
                <w:b/>
                <w:bCs/>
                <w:sz w:val="20"/>
                <w:szCs w:val="20"/>
              </w:rPr>
              <w:t>189</w:t>
            </w:r>
          </w:p>
        </w:tc>
        <w:tc>
          <w:tcPr>
            <w:tcW w:w="856" w:type="pct"/>
            <w:tcBorders>
              <w:top w:val="single" w:color="BDD7EE" w:sz="8" w:space="0"/>
              <w:left w:val="single" w:color="BDD7EE" w:sz="8" w:space="0"/>
              <w:bottom w:val="single" w:color="BDD7EE" w:sz="8" w:space="0"/>
              <w:right w:val="single" w:color="BDD7EE" w:sz="8" w:space="0"/>
            </w:tcBorders>
            <w:shd w:val="clear" w:color="auto" w:fill="DEEBF7"/>
            <w:tcMar>
              <w:top w:w="15" w:type="dxa"/>
              <w:left w:w="57" w:type="dxa"/>
              <w:bottom w:w="0" w:type="dxa"/>
              <w:right w:w="57" w:type="dxa"/>
            </w:tcMar>
            <w:vAlign w:val="center"/>
            <w:hideMark/>
          </w:tcPr>
          <w:p w:rsidRPr="0032511F" w:rsidR="00EE587C" w:rsidP="00EE587C" w:rsidRDefault="00EE587C" w14:paraId="7FD6D724" w14:textId="1495AA56">
            <w:pPr>
              <w:spacing w:after="0" w:line="276" w:lineRule="auto"/>
              <w:jc w:val="center"/>
              <w:rPr>
                <w:rFonts w:ascii="Arial" w:hAnsi="Arial" w:cs="Arial"/>
                <w:sz w:val="20"/>
                <w:szCs w:val="20"/>
              </w:rPr>
            </w:pPr>
            <w:r w:rsidRPr="0032511F">
              <w:rPr>
                <w:rFonts w:ascii="Arial" w:hAnsi="Arial" w:cs="Arial"/>
                <w:b/>
                <w:bCs/>
                <w:sz w:val="20"/>
                <w:szCs w:val="20"/>
              </w:rPr>
              <w:t>$87</w:t>
            </w:r>
            <w:r w:rsidR="00816CC1">
              <w:rPr>
                <w:rFonts w:ascii="Arial" w:hAnsi="Arial" w:cs="Arial"/>
                <w:b/>
                <w:bCs/>
                <w:sz w:val="20"/>
                <w:szCs w:val="20"/>
              </w:rPr>
              <w:t>,</w:t>
            </w:r>
            <w:r w:rsidRPr="0032511F">
              <w:rPr>
                <w:rFonts w:ascii="Arial" w:hAnsi="Arial" w:cs="Arial"/>
                <w:b/>
                <w:bCs/>
                <w:sz w:val="20"/>
                <w:szCs w:val="20"/>
              </w:rPr>
              <w:t>84</w:t>
            </w:r>
          </w:p>
        </w:tc>
        <w:tc>
          <w:tcPr>
            <w:tcW w:w="856" w:type="pct"/>
            <w:tcBorders>
              <w:top w:val="single" w:color="BDD7EE" w:sz="8" w:space="0"/>
              <w:left w:val="single" w:color="BDD7EE" w:sz="8" w:space="0"/>
              <w:bottom w:val="single" w:color="BDD7EE" w:sz="8" w:space="0"/>
              <w:right w:val="single" w:color="BDD7EE" w:sz="8" w:space="0"/>
            </w:tcBorders>
            <w:shd w:val="clear" w:color="auto" w:fill="DEEBF7"/>
            <w:tcMar>
              <w:top w:w="15" w:type="dxa"/>
              <w:left w:w="57" w:type="dxa"/>
              <w:bottom w:w="0" w:type="dxa"/>
              <w:right w:w="57" w:type="dxa"/>
            </w:tcMar>
            <w:vAlign w:val="center"/>
            <w:hideMark/>
          </w:tcPr>
          <w:p w:rsidRPr="0032511F" w:rsidR="00EE587C" w:rsidP="00EE587C" w:rsidRDefault="00EE587C" w14:paraId="70088F30" w14:textId="5E678DD9">
            <w:pPr>
              <w:spacing w:after="0" w:line="276" w:lineRule="auto"/>
              <w:jc w:val="center"/>
              <w:rPr>
                <w:rFonts w:ascii="Arial" w:hAnsi="Arial" w:cs="Arial"/>
                <w:sz w:val="20"/>
                <w:szCs w:val="20"/>
              </w:rPr>
            </w:pPr>
            <w:r w:rsidRPr="0032511F">
              <w:rPr>
                <w:rFonts w:ascii="Arial" w:hAnsi="Arial" w:cs="Arial"/>
                <w:b/>
                <w:bCs/>
                <w:sz w:val="20"/>
                <w:szCs w:val="20"/>
              </w:rPr>
              <w:t>6</w:t>
            </w:r>
            <w:r w:rsidR="00816CC1">
              <w:rPr>
                <w:rFonts w:ascii="Arial" w:hAnsi="Arial" w:cs="Arial"/>
                <w:b/>
                <w:bCs/>
                <w:sz w:val="20"/>
                <w:szCs w:val="20"/>
              </w:rPr>
              <w:t>.</w:t>
            </w:r>
            <w:r w:rsidRPr="0032511F">
              <w:rPr>
                <w:rFonts w:ascii="Arial" w:hAnsi="Arial" w:cs="Arial"/>
                <w:b/>
                <w:bCs/>
                <w:sz w:val="20"/>
                <w:szCs w:val="20"/>
              </w:rPr>
              <w:t>366</w:t>
            </w:r>
          </w:p>
        </w:tc>
        <w:tc>
          <w:tcPr>
            <w:tcW w:w="856" w:type="pct"/>
            <w:tcBorders>
              <w:top w:val="single" w:color="BDD7EE" w:sz="8" w:space="0"/>
              <w:left w:val="single" w:color="BDD7EE" w:sz="8" w:space="0"/>
              <w:bottom w:val="single" w:color="BDD7EE" w:sz="8" w:space="0"/>
              <w:right w:val="single" w:color="BDD7EE" w:sz="8" w:space="0"/>
            </w:tcBorders>
            <w:shd w:val="clear" w:color="auto" w:fill="DEEBF7"/>
            <w:vAlign w:val="center"/>
          </w:tcPr>
          <w:p w:rsidRPr="0032511F" w:rsidR="00EE587C" w:rsidP="00EE587C" w:rsidRDefault="00EE587C" w14:paraId="015F7BCD" w14:textId="3EAA208C">
            <w:pPr>
              <w:spacing w:after="0" w:line="276" w:lineRule="auto"/>
              <w:jc w:val="center"/>
              <w:rPr>
                <w:rFonts w:ascii="Arial" w:hAnsi="Arial" w:cs="Arial"/>
                <w:b/>
                <w:bCs/>
                <w:sz w:val="20"/>
                <w:szCs w:val="20"/>
              </w:rPr>
            </w:pPr>
            <w:r w:rsidRPr="0032511F">
              <w:rPr>
                <w:rFonts w:ascii="Arial" w:hAnsi="Arial" w:cs="Arial"/>
                <w:b/>
                <w:bCs/>
                <w:sz w:val="20"/>
                <w:szCs w:val="20"/>
              </w:rPr>
              <w:t>$115</w:t>
            </w:r>
            <w:r w:rsidR="00816CC1">
              <w:rPr>
                <w:rFonts w:ascii="Arial" w:hAnsi="Arial" w:cs="Arial"/>
                <w:b/>
                <w:bCs/>
                <w:sz w:val="20"/>
                <w:szCs w:val="20"/>
              </w:rPr>
              <w:t>,</w:t>
            </w:r>
            <w:r w:rsidRPr="0032511F">
              <w:rPr>
                <w:rFonts w:ascii="Arial" w:hAnsi="Arial" w:cs="Arial"/>
                <w:b/>
                <w:bCs/>
                <w:sz w:val="20"/>
                <w:szCs w:val="20"/>
              </w:rPr>
              <w:t>83</w:t>
            </w:r>
          </w:p>
        </w:tc>
      </w:tr>
    </w:tbl>
    <w:p w:rsidRPr="0032511F" w:rsidR="00F364D7" w:rsidP="00B324B2" w:rsidRDefault="00EE587C" w14:paraId="62CEE302" w14:textId="0B03874A">
      <w:pPr>
        <w:spacing w:after="0" w:line="276" w:lineRule="auto"/>
        <w:jc w:val="both"/>
        <w:rPr>
          <w:rFonts w:ascii="Arial" w:hAnsi="Arial" w:cs="Arial"/>
          <w:sz w:val="18"/>
          <w:szCs w:val="18"/>
        </w:rPr>
      </w:pPr>
      <w:r w:rsidRPr="0032511F">
        <w:rPr>
          <w:rFonts w:ascii="Arial" w:hAnsi="Arial" w:cs="Arial"/>
          <w:sz w:val="18"/>
          <w:szCs w:val="18"/>
        </w:rPr>
        <w:t>Otras líneas: Construcción; Financiamiento de Deuda; Reparación, Ampliación y Mejoras; Lote e Instalación de Servicios y Refinanciamientos.</w:t>
      </w:r>
    </w:p>
    <w:p w:rsidRPr="0032511F" w:rsidR="00F364D7" w:rsidP="00B324B2" w:rsidRDefault="00F364D7" w14:paraId="537502F8" w14:textId="66EBB201">
      <w:pPr>
        <w:spacing w:after="0" w:line="276" w:lineRule="auto"/>
        <w:jc w:val="both"/>
        <w:rPr>
          <w:rFonts w:ascii="Arial" w:hAnsi="Arial" w:cs="Arial"/>
        </w:rPr>
      </w:pPr>
    </w:p>
    <w:p w:rsidRPr="0032511F" w:rsidR="00EE587C" w:rsidP="00B324B2" w:rsidRDefault="00EE587C" w14:paraId="7B18D13D" w14:textId="625E082D">
      <w:pPr>
        <w:spacing w:after="0" w:line="276" w:lineRule="auto"/>
        <w:jc w:val="both"/>
        <w:rPr>
          <w:rFonts w:ascii="Arial" w:hAnsi="Arial" w:cs="Arial"/>
        </w:rPr>
      </w:pPr>
      <w:r w:rsidRPr="0032511F">
        <w:rPr>
          <w:rFonts w:ascii="Arial" w:hAnsi="Arial" w:cs="Arial"/>
        </w:rPr>
        <w:t>Este crecimiento en adición a la mejora en la gestión de los trámites de crédito y la implementación de expediente digitalizado han favorecido la agilización; también, con la llegada del nuevo gobierno se han mejorado las condiciones crediticias para la vivienda de interés</w:t>
      </w:r>
      <w:r w:rsidRPr="0032511F" w:rsidR="00361A2F">
        <w:rPr>
          <w:rFonts w:ascii="Arial" w:hAnsi="Arial" w:cs="Arial"/>
        </w:rPr>
        <w:t xml:space="preserve"> social</w:t>
      </w:r>
      <w:r w:rsidRPr="0032511F">
        <w:rPr>
          <w:rFonts w:ascii="Arial" w:hAnsi="Arial" w:cs="Arial"/>
        </w:rPr>
        <w:t xml:space="preserve"> para las familias que desean adquirir vivienda, mejorando con ello la accesibilidad para las familias, así:</w:t>
      </w:r>
    </w:p>
    <w:p w:rsidRPr="0032511F" w:rsidR="00EE587C" w:rsidP="00B324B2" w:rsidRDefault="00EE587C" w14:paraId="21020E4F" w14:textId="77777777">
      <w:pPr>
        <w:spacing w:after="0" w:line="276" w:lineRule="auto"/>
        <w:jc w:val="both"/>
        <w:rPr>
          <w:rFonts w:ascii="Arial" w:hAnsi="Arial" w:cs="Arial"/>
        </w:rPr>
      </w:pPr>
    </w:p>
    <w:p w:rsidRPr="0032511F" w:rsidR="00F364D7" w:rsidP="00BF3655" w:rsidRDefault="00F364D7" w14:paraId="209C8AFF" w14:textId="500B3926">
      <w:pPr>
        <w:pStyle w:val="ListParagraph"/>
        <w:numPr>
          <w:ilvl w:val="0"/>
          <w:numId w:val="2"/>
        </w:numPr>
        <w:ind w:left="360"/>
        <w:jc w:val="both"/>
        <w:rPr>
          <w:rFonts w:ascii="Arial" w:hAnsi="Arial" w:cs="Arial"/>
        </w:rPr>
      </w:pPr>
      <w:r w:rsidRPr="0032511F">
        <w:rPr>
          <w:rFonts w:ascii="Arial" w:hAnsi="Arial" w:cs="Arial"/>
        </w:rPr>
        <w:t xml:space="preserve">Se mejoró las condiciones crediticias para adquirir una </w:t>
      </w:r>
      <w:r w:rsidRPr="0032511F">
        <w:rPr>
          <w:rFonts w:ascii="Arial" w:hAnsi="Arial" w:cs="Arial"/>
          <w:b/>
        </w:rPr>
        <w:t>casa nueva</w:t>
      </w:r>
      <w:r w:rsidRPr="0032511F">
        <w:rPr>
          <w:rFonts w:ascii="Arial" w:hAnsi="Arial" w:cs="Arial"/>
        </w:rPr>
        <w:t xml:space="preserve"> de precio menor a </w:t>
      </w:r>
      <w:r w:rsidR="00861776">
        <w:rPr>
          <w:rFonts w:ascii="Arial" w:hAnsi="Arial" w:cs="Arial"/>
        </w:rPr>
        <w:t>US</w:t>
      </w:r>
      <w:r w:rsidRPr="0032511F">
        <w:rPr>
          <w:rFonts w:ascii="Arial" w:hAnsi="Arial" w:cs="Arial"/>
        </w:rPr>
        <w:t>$25 mil dólares enfocado a familias de hasta 2</w:t>
      </w:r>
      <w:r w:rsidR="00861776">
        <w:rPr>
          <w:rFonts w:ascii="Arial" w:hAnsi="Arial" w:cs="Arial"/>
        </w:rPr>
        <w:t>,</w:t>
      </w:r>
      <w:r w:rsidRPr="0032511F">
        <w:rPr>
          <w:rFonts w:ascii="Arial" w:hAnsi="Arial" w:cs="Arial"/>
        </w:rPr>
        <w:t>5 salarios mínimos (</w:t>
      </w:r>
      <w:r w:rsidR="00861776">
        <w:rPr>
          <w:rFonts w:ascii="Arial" w:hAnsi="Arial" w:cs="Arial"/>
        </w:rPr>
        <w:t>US</w:t>
      </w:r>
      <w:r w:rsidRPr="0032511F">
        <w:rPr>
          <w:rFonts w:ascii="Arial" w:hAnsi="Arial" w:cs="Arial"/>
        </w:rPr>
        <w:t>$760</w:t>
      </w:r>
      <w:r w:rsidR="00861776">
        <w:rPr>
          <w:rFonts w:ascii="Arial" w:hAnsi="Arial" w:cs="Arial"/>
        </w:rPr>
        <w:t>,</w:t>
      </w:r>
      <w:r w:rsidRPr="0032511F">
        <w:rPr>
          <w:rFonts w:ascii="Arial" w:hAnsi="Arial" w:cs="Arial"/>
        </w:rPr>
        <w:t>43 dólares), así:</w:t>
      </w:r>
    </w:p>
    <w:tbl>
      <w:tblPr>
        <w:tblW w:w="8080" w:type="dxa"/>
        <w:jc w:val="center"/>
        <w:tblCellMar>
          <w:left w:w="0" w:type="dxa"/>
          <w:right w:w="0" w:type="dxa"/>
        </w:tblCellMar>
        <w:tblLook w:val="0600" w:firstRow="0" w:lastRow="0" w:firstColumn="0" w:lastColumn="0" w:noHBand="1" w:noVBand="1"/>
      </w:tblPr>
      <w:tblGrid>
        <w:gridCol w:w="992"/>
        <w:gridCol w:w="2268"/>
        <w:gridCol w:w="1527"/>
        <w:gridCol w:w="1025"/>
        <w:gridCol w:w="850"/>
        <w:gridCol w:w="1418"/>
      </w:tblGrid>
      <w:tr w:rsidRPr="0032511F" w:rsidR="00F364D7" w:rsidTr="006B3A11" w14:paraId="2FE8D8FF" w14:textId="77777777">
        <w:trPr>
          <w:trHeight w:val="283"/>
          <w:jc w:val="center"/>
        </w:trPr>
        <w:tc>
          <w:tcPr>
            <w:tcW w:w="992" w:type="dxa"/>
            <w:tcBorders>
              <w:top w:val="single" w:color="000000" w:sz="4" w:space="0"/>
              <w:left w:val="single" w:color="000000" w:sz="4" w:space="0"/>
              <w:bottom w:val="single" w:color="000000" w:sz="4" w:space="0"/>
              <w:right w:val="single" w:color="000000" w:sz="4" w:space="0"/>
            </w:tcBorders>
            <w:shd w:val="clear" w:color="auto" w:fill="323E4F" w:themeFill="text2" w:themeFillShade="BF"/>
            <w:vAlign w:val="center"/>
          </w:tcPr>
          <w:p w:rsidRPr="0032511F" w:rsidR="00F364D7" w:rsidP="00F364D7" w:rsidRDefault="00F364D7" w14:paraId="308D14CE" w14:textId="77777777">
            <w:pPr>
              <w:spacing w:after="0" w:line="240" w:lineRule="auto"/>
              <w:jc w:val="center"/>
              <w:textAlignment w:val="center"/>
              <w:rPr>
                <w:rFonts w:ascii="Arial" w:hAnsi="Arial" w:eastAsia="Times New Roman" w:cs="Arial"/>
                <w:b/>
                <w:bCs/>
                <w:color w:val="FFFFFF"/>
                <w:kern w:val="24"/>
                <w:sz w:val="20"/>
                <w:szCs w:val="20"/>
                <w:lang w:val="es-ES" w:eastAsia="es-SV"/>
              </w:rPr>
            </w:pPr>
            <w:r w:rsidRPr="0032511F">
              <w:rPr>
                <w:rFonts w:ascii="Arial" w:hAnsi="Arial" w:eastAsia="Times New Roman" w:cs="Arial"/>
                <w:b/>
                <w:bCs/>
                <w:color w:val="FFFFFF"/>
                <w:kern w:val="24"/>
                <w:sz w:val="20"/>
                <w:szCs w:val="20"/>
                <w:lang w:eastAsia="es-SV"/>
              </w:rPr>
              <w:t>Sector</w:t>
            </w:r>
          </w:p>
        </w:tc>
        <w:tc>
          <w:tcPr>
            <w:tcW w:w="2268"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2F63F735"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val="es-ES" w:eastAsia="es-SV"/>
              </w:rPr>
              <w:t>Precio de venta</w:t>
            </w:r>
          </w:p>
        </w:tc>
        <w:tc>
          <w:tcPr>
            <w:tcW w:w="1527"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290F73F6"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Plazo hasta</w:t>
            </w:r>
          </w:p>
        </w:tc>
        <w:tc>
          <w:tcPr>
            <w:tcW w:w="1025"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50E077B0"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Tasa</w:t>
            </w:r>
          </w:p>
        </w:tc>
        <w:tc>
          <w:tcPr>
            <w:tcW w:w="850"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4E5C742D"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Prima</w:t>
            </w:r>
          </w:p>
        </w:tc>
        <w:tc>
          <w:tcPr>
            <w:tcW w:w="1418"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4BE1C900"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 a financiar</w:t>
            </w:r>
          </w:p>
        </w:tc>
      </w:tr>
      <w:tr w:rsidRPr="0032511F" w:rsidR="00F364D7" w:rsidTr="008068F8" w14:paraId="0ECE87EF" w14:textId="77777777">
        <w:trPr>
          <w:trHeight w:val="283"/>
          <w:jc w:val="center"/>
        </w:trPr>
        <w:tc>
          <w:tcPr>
            <w:tcW w:w="992" w:type="dxa"/>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12D979DE" w14:textId="77777777">
            <w:pPr>
              <w:spacing w:after="0" w:line="240" w:lineRule="auto"/>
              <w:jc w:val="center"/>
              <w:textAlignment w:val="center"/>
              <w:rPr>
                <w:rFonts w:ascii="Arial" w:hAnsi="Arial" w:eastAsia="Times New Roman" w:cs="Arial"/>
                <w:color w:val="4F81BD"/>
                <w:kern w:val="24"/>
                <w:sz w:val="20"/>
                <w:szCs w:val="20"/>
                <w:lang w:eastAsia="es-SV"/>
              </w:rPr>
            </w:pPr>
            <w:r w:rsidRPr="0032511F">
              <w:rPr>
                <w:rFonts w:ascii="Arial" w:hAnsi="Arial" w:eastAsia="Times New Roman" w:cs="Arial"/>
                <w:color w:val="000000"/>
                <w:kern w:val="24"/>
                <w:sz w:val="20"/>
                <w:szCs w:val="20"/>
                <w:lang w:eastAsia="es-SV"/>
              </w:rPr>
              <w:t>Formal</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3C24FB36" w14:textId="36741EC5">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Hasta $25</w:t>
            </w:r>
            <w:r w:rsidR="00861776">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000</w:t>
            </w:r>
            <w:r w:rsidR="00861776">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00</w:t>
            </w:r>
          </w:p>
        </w:tc>
        <w:tc>
          <w:tcPr>
            <w:tcW w:w="1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71C61DFB" w14:textId="77777777">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30 años</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58791E71" w14:textId="1E547654">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4</w:t>
            </w:r>
            <w:r w:rsidR="00861776">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00%</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3991C36C" w14:textId="77777777">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0%</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2802CF11" w14:textId="77777777">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100%</w:t>
            </w:r>
          </w:p>
        </w:tc>
      </w:tr>
      <w:tr w:rsidRPr="0032511F" w:rsidR="00F364D7" w:rsidTr="008068F8" w14:paraId="1E2AB403" w14:textId="77777777">
        <w:trPr>
          <w:trHeight w:val="283"/>
          <w:jc w:val="center"/>
        </w:trPr>
        <w:tc>
          <w:tcPr>
            <w:tcW w:w="992" w:type="dxa"/>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24419D9D"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Informal</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044855F2" w14:textId="4DC736E6">
            <w:pPr>
              <w:spacing w:after="0" w:line="240" w:lineRule="auto"/>
              <w:jc w:val="center"/>
              <w:textAlignment w:val="center"/>
              <w:rPr>
                <w:rFonts w:ascii="Arial" w:hAnsi="Arial" w:eastAsia="Times New Roman" w:cs="Arial"/>
                <w:sz w:val="20"/>
                <w:szCs w:val="20"/>
                <w:lang w:eastAsia="es-SV"/>
              </w:rPr>
            </w:pPr>
            <w:r w:rsidRPr="0032511F">
              <w:rPr>
                <w:rFonts w:ascii="Arial" w:hAnsi="Arial" w:cs="Arial"/>
                <w:color w:val="0000FF"/>
                <w:sz w:val="20"/>
                <w:szCs w:val="20"/>
              </w:rPr>
              <w:t>Hasta $25</w:t>
            </w:r>
            <w:r w:rsidR="00861776">
              <w:rPr>
                <w:rFonts w:ascii="Arial" w:hAnsi="Arial" w:cs="Arial"/>
                <w:color w:val="0000FF"/>
                <w:sz w:val="20"/>
                <w:szCs w:val="20"/>
              </w:rPr>
              <w:t>.</w:t>
            </w:r>
            <w:r w:rsidRPr="0032511F">
              <w:rPr>
                <w:rFonts w:ascii="Arial" w:hAnsi="Arial" w:cs="Arial"/>
                <w:color w:val="0000FF"/>
                <w:sz w:val="20"/>
                <w:szCs w:val="20"/>
              </w:rPr>
              <w:t>000</w:t>
            </w:r>
            <w:r w:rsidR="00861776">
              <w:rPr>
                <w:rFonts w:ascii="Arial" w:hAnsi="Arial" w:cs="Arial"/>
                <w:color w:val="0000FF"/>
                <w:sz w:val="20"/>
                <w:szCs w:val="20"/>
              </w:rPr>
              <w:t>,</w:t>
            </w:r>
            <w:r w:rsidRPr="0032511F">
              <w:rPr>
                <w:rFonts w:ascii="Arial" w:hAnsi="Arial" w:cs="Arial"/>
                <w:color w:val="0000FF"/>
                <w:sz w:val="20"/>
                <w:szCs w:val="20"/>
              </w:rPr>
              <w:t>00</w:t>
            </w:r>
          </w:p>
        </w:tc>
        <w:tc>
          <w:tcPr>
            <w:tcW w:w="1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6615EA72"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cs="Arial"/>
                <w:sz w:val="20"/>
                <w:szCs w:val="20"/>
              </w:rPr>
              <w:t>25 años</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71D006D4" w14:textId="6F0CEDB3">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cs="Arial"/>
                <w:color w:val="0000FF"/>
                <w:sz w:val="20"/>
                <w:szCs w:val="20"/>
              </w:rPr>
              <w:t>5</w:t>
            </w:r>
            <w:r w:rsidR="00861776">
              <w:rPr>
                <w:rFonts w:ascii="Arial" w:hAnsi="Arial" w:cs="Arial"/>
                <w:color w:val="0000FF"/>
                <w:sz w:val="20"/>
                <w:szCs w:val="20"/>
              </w:rPr>
              <w:t>,</w:t>
            </w:r>
            <w:r w:rsidRPr="0032511F">
              <w:rPr>
                <w:rFonts w:ascii="Arial" w:hAnsi="Arial" w:cs="Arial"/>
                <w:color w:val="0000FF"/>
                <w:sz w:val="20"/>
                <w:szCs w:val="20"/>
              </w:rPr>
              <w:t>00%</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54A2F70A" w14:textId="77777777">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cs="Arial"/>
                <w:color w:val="0000FF"/>
                <w:sz w:val="20"/>
                <w:szCs w:val="20"/>
              </w:rPr>
              <w:t>3%</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0AEC1693" w14:textId="77777777">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cs="Arial"/>
                <w:color w:val="0000FF"/>
                <w:sz w:val="20"/>
                <w:szCs w:val="20"/>
              </w:rPr>
              <w:t>97%</w:t>
            </w:r>
          </w:p>
        </w:tc>
      </w:tr>
    </w:tbl>
    <w:p w:rsidRPr="0032511F" w:rsidR="00F364D7" w:rsidP="00BF3655" w:rsidRDefault="00F364D7" w14:paraId="674889D0" w14:textId="77777777">
      <w:pPr>
        <w:pStyle w:val="ListParagraph"/>
        <w:ind w:left="360"/>
        <w:jc w:val="both"/>
        <w:rPr>
          <w:rFonts w:ascii="Arial" w:hAnsi="Arial" w:cs="Arial"/>
        </w:rPr>
      </w:pPr>
    </w:p>
    <w:p w:rsidRPr="0032511F" w:rsidR="00F364D7" w:rsidP="00BF3655" w:rsidRDefault="00F364D7" w14:paraId="64DBEFA4" w14:textId="341B2FF1">
      <w:pPr>
        <w:pStyle w:val="ListParagraph"/>
        <w:numPr>
          <w:ilvl w:val="0"/>
          <w:numId w:val="2"/>
        </w:numPr>
        <w:ind w:left="360"/>
        <w:jc w:val="both"/>
        <w:rPr>
          <w:rFonts w:ascii="Arial" w:hAnsi="Arial" w:cs="Arial"/>
        </w:rPr>
      </w:pPr>
      <w:r w:rsidRPr="0032511F">
        <w:rPr>
          <w:rFonts w:ascii="Arial" w:hAnsi="Arial" w:cs="Arial"/>
        </w:rPr>
        <w:t xml:space="preserve">En el Programa de Vivienda Social, se mejoran las condiciones de la </w:t>
      </w:r>
      <w:r w:rsidRPr="0032511F">
        <w:rPr>
          <w:rFonts w:ascii="Arial" w:hAnsi="Arial" w:cs="Arial"/>
          <w:b/>
        </w:rPr>
        <w:t>vivienda recuperada</w:t>
      </w:r>
      <w:r w:rsidRPr="0032511F">
        <w:rPr>
          <w:rFonts w:ascii="Arial" w:hAnsi="Arial" w:cs="Arial"/>
        </w:rPr>
        <w:t>, así:</w:t>
      </w:r>
    </w:p>
    <w:tbl>
      <w:tblPr>
        <w:tblW w:w="8080" w:type="dxa"/>
        <w:jc w:val="center"/>
        <w:tblCellMar>
          <w:left w:w="0" w:type="dxa"/>
          <w:right w:w="0" w:type="dxa"/>
        </w:tblCellMar>
        <w:tblLook w:val="0600" w:firstRow="0" w:lastRow="0" w:firstColumn="0" w:lastColumn="0" w:noHBand="1" w:noVBand="1"/>
      </w:tblPr>
      <w:tblGrid>
        <w:gridCol w:w="992"/>
        <w:gridCol w:w="2268"/>
        <w:gridCol w:w="1527"/>
        <w:gridCol w:w="1025"/>
        <w:gridCol w:w="850"/>
        <w:gridCol w:w="1418"/>
      </w:tblGrid>
      <w:tr w:rsidRPr="0032511F" w:rsidR="00F364D7" w:rsidTr="006B3A11" w14:paraId="5F5F2795" w14:textId="77777777">
        <w:trPr>
          <w:trHeight w:val="283"/>
          <w:jc w:val="center"/>
        </w:trPr>
        <w:tc>
          <w:tcPr>
            <w:tcW w:w="992" w:type="dxa"/>
            <w:tcBorders>
              <w:top w:val="single" w:color="000000" w:sz="4" w:space="0"/>
              <w:left w:val="single" w:color="000000" w:sz="4" w:space="0"/>
              <w:bottom w:val="single" w:color="000000" w:sz="4" w:space="0"/>
              <w:right w:val="single" w:color="000000" w:sz="4" w:space="0"/>
            </w:tcBorders>
            <w:shd w:val="clear" w:color="auto" w:fill="323E4F" w:themeFill="text2" w:themeFillShade="BF"/>
            <w:vAlign w:val="center"/>
          </w:tcPr>
          <w:p w:rsidRPr="0032511F" w:rsidR="00F364D7" w:rsidP="00F364D7" w:rsidRDefault="00F364D7" w14:paraId="648542D0" w14:textId="77777777">
            <w:pPr>
              <w:spacing w:after="0" w:line="240" w:lineRule="auto"/>
              <w:jc w:val="center"/>
              <w:textAlignment w:val="center"/>
              <w:rPr>
                <w:rFonts w:ascii="Arial" w:hAnsi="Arial" w:eastAsia="Times New Roman" w:cs="Arial"/>
                <w:b/>
                <w:bCs/>
                <w:color w:val="FFFFFF"/>
                <w:kern w:val="24"/>
                <w:sz w:val="20"/>
                <w:szCs w:val="20"/>
                <w:lang w:val="es-ES" w:eastAsia="es-SV"/>
              </w:rPr>
            </w:pPr>
            <w:r w:rsidRPr="0032511F">
              <w:rPr>
                <w:rFonts w:ascii="Arial" w:hAnsi="Arial" w:eastAsia="Times New Roman" w:cs="Arial"/>
                <w:b/>
                <w:bCs/>
                <w:color w:val="FFFFFF"/>
                <w:kern w:val="24"/>
                <w:sz w:val="20"/>
                <w:szCs w:val="20"/>
                <w:lang w:eastAsia="es-SV"/>
              </w:rPr>
              <w:t>Sector</w:t>
            </w:r>
          </w:p>
        </w:tc>
        <w:tc>
          <w:tcPr>
            <w:tcW w:w="2268"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67611667"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val="es-ES" w:eastAsia="es-SV"/>
              </w:rPr>
              <w:t>Precio de venta</w:t>
            </w:r>
          </w:p>
        </w:tc>
        <w:tc>
          <w:tcPr>
            <w:tcW w:w="1527"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12A55C64"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Plazo hasta</w:t>
            </w:r>
          </w:p>
        </w:tc>
        <w:tc>
          <w:tcPr>
            <w:tcW w:w="1025"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6CD61C2D"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Tasa</w:t>
            </w:r>
          </w:p>
        </w:tc>
        <w:tc>
          <w:tcPr>
            <w:tcW w:w="850"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6D03DEDC"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Prima</w:t>
            </w:r>
          </w:p>
        </w:tc>
        <w:tc>
          <w:tcPr>
            <w:tcW w:w="1418"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48898925"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 a financiar</w:t>
            </w:r>
          </w:p>
        </w:tc>
      </w:tr>
      <w:tr w:rsidRPr="0032511F" w:rsidR="00F364D7" w:rsidTr="008068F8" w14:paraId="28968C15" w14:textId="77777777">
        <w:trPr>
          <w:trHeight w:val="283"/>
          <w:jc w:val="center"/>
        </w:trPr>
        <w:tc>
          <w:tcPr>
            <w:tcW w:w="992" w:type="dxa"/>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607E627B" w14:textId="77777777">
            <w:pPr>
              <w:spacing w:after="0" w:line="240" w:lineRule="auto"/>
              <w:jc w:val="center"/>
              <w:textAlignment w:val="center"/>
              <w:rPr>
                <w:rFonts w:ascii="Arial" w:hAnsi="Arial" w:eastAsia="Times New Roman" w:cs="Arial"/>
                <w:color w:val="4F81BD"/>
                <w:kern w:val="24"/>
                <w:sz w:val="20"/>
                <w:szCs w:val="20"/>
                <w:lang w:eastAsia="es-SV"/>
              </w:rPr>
            </w:pPr>
            <w:r w:rsidRPr="0032511F">
              <w:rPr>
                <w:rFonts w:ascii="Arial" w:hAnsi="Arial" w:eastAsia="Times New Roman" w:cs="Arial"/>
                <w:color w:val="000000"/>
                <w:kern w:val="24"/>
                <w:sz w:val="20"/>
                <w:szCs w:val="20"/>
                <w:lang w:eastAsia="es-SV"/>
              </w:rPr>
              <w:t>Todos</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6B950357" w14:textId="57EAAD2F">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Hasta $25</w:t>
            </w:r>
            <w:r w:rsidR="00861776">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000</w:t>
            </w:r>
            <w:r w:rsidR="00861776">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00</w:t>
            </w:r>
          </w:p>
        </w:tc>
        <w:tc>
          <w:tcPr>
            <w:tcW w:w="1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4EAE07B5" w14:textId="77777777">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30 años</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056A8233" w14:textId="454FFCBC">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3</w:t>
            </w:r>
            <w:r w:rsidR="00861776">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00%</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62119107" w14:textId="77777777">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0%</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56F5A3B7" w14:textId="77777777">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100%</w:t>
            </w:r>
          </w:p>
        </w:tc>
      </w:tr>
    </w:tbl>
    <w:p w:rsidRPr="0032511F" w:rsidR="00F364D7" w:rsidP="00BF3655" w:rsidRDefault="00F364D7" w14:paraId="3288CAFC" w14:textId="77777777">
      <w:pPr>
        <w:pStyle w:val="ListParagraph"/>
        <w:ind w:left="360"/>
        <w:jc w:val="both"/>
        <w:rPr>
          <w:rFonts w:ascii="Arial" w:hAnsi="Arial" w:cs="Arial"/>
        </w:rPr>
      </w:pPr>
    </w:p>
    <w:p w:rsidRPr="0032511F" w:rsidR="00F364D7" w:rsidP="00BF3655" w:rsidRDefault="00F364D7" w14:paraId="44DFF8B8" w14:textId="586A7DAD">
      <w:pPr>
        <w:pStyle w:val="ListParagraph"/>
        <w:numPr>
          <w:ilvl w:val="0"/>
          <w:numId w:val="2"/>
        </w:numPr>
        <w:ind w:left="360"/>
        <w:jc w:val="both"/>
        <w:rPr>
          <w:rFonts w:ascii="Arial" w:hAnsi="Arial" w:cs="Arial"/>
        </w:rPr>
      </w:pPr>
      <w:r w:rsidRPr="0032511F">
        <w:rPr>
          <w:rFonts w:ascii="Arial" w:hAnsi="Arial" w:cs="Arial"/>
        </w:rPr>
        <w:lastRenderedPageBreak/>
        <w:t>Se redujo las tasas también para el Programa Casa Mujer (dirigido a mujeres con ingresos de hasta US$1</w:t>
      </w:r>
      <w:r w:rsidR="00861776">
        <w:rPr>
          <w:rFonts w:ascii="Arial" w:hAnsi="Arial" w:cs="Arial"/>
        </w:rPr>
        <w:t>.</w:t>
      </w:r>
      <w:r w:rsidRPr="0032511F">
        <w:rPr>
          <w:rFonts w:ascii="Arial" w:hAnsi="Arial" w:cs="Arial"/>
        </w:rPr>
        <w:t>000</w:t>
      </w:r>
      <w:r w:rsidR="00861776">
        <w:rPr>
          <w:rFonts w:ascii="Arial" w:hAnsi="Arial" w:cs="Arial"/>
        </w:rPr>
        <w:t>,</w:t>
      </w:r>
      <w:r w:rsidRPr="0032511F">
        <w:rPr>
          <w:rFonts w:ascii="Arial" w:hAnsi="Arial" w:cs="Arial"/>
        </w:rPr>
        <w:t xml:space="preserve">00 y edad entre 26 a 45 años), en las líneas de vivienda nueva, usada y activos extraordinarios, quedando así: </w:t>
      </w:r>
    </w:p>
    <w:tbl>
      <w:tblPr>
        <w:tblW w:w="8080" w:type="dxa"/>
        <w:jc w:val="center"/>
        <w:tblCellMar>
          <w:left w:w="0" w:type="dxa"/>
          <w:right w:w="0" w:type="dxa"/>
        </w:tblCellMar>
        <w:tblLook w:val="0600" w:firstRow="0" w:lastRow="0" w:firstColumn="0" w:lastColumn="0" w:noHBand="1" w:noVBand="1"/>
      </w:tblPr>
      <w:tblGrid>
        <w:gridCol w:w="992"/>
        <w:gridCol w:w="2268"/>
        <w:gridCol w:w="1527"/>
        <w:gridCol w:w="1025"/>
        <w:gridCol w:w="850"/>
        <w:gridCol w:w="1418"/>
      </w:tblGrid>
      <w:tr w:rsidRPr="0032511F" w:rsidR="00F364D7" w:rsidTr="006B3A11" w14:paraId="1778DF94" w14:textId="77777777">
        <w:trPr>
          <w:trHeight w:val="283"/>
          <w:jc w:val="center"/>
        </w:trPr>
        <w:tc>
          <w:tcPr>
            <w:tcW w:w="992" w:type="dxa"/>
            <w:tcBorders>
              <w:top w:val="single" w:color="000000" w:sz="4" w:space="0"/>
              <w:left w:val="single" w:color="000000" w:sz="4" w:space="0"/>
              <w:bottom w:val="single" w:color="000000" w:sz="4" w:space="0"/>
              <w:right w:val="single" w:color="000000" w:sz="4" w:space="0"/>
            </w:tcBorders>
            <w:shd w:val="clear" w:color="auto" w:fill="323E4F" w:themeFill="text2" w:themeFillShade="BF"/>
            <w:vAlign w:val="center"/>
          </w:tcPr>
          <w:p w:rsidRPr="0032511F" w:rsidR="00F364D7" w:rsidP="00F364D7" w:rsidRDefault="00F364D7" w14:paraId="5F557625" w14:textId="77777777">
            <w:pPr>
              <w:spacing w:after="0" w:line="240" w:lineRule="auto"/>
              <w:jc w:val="center"/>
              <w:textAlignment w:val="center"/>
              <w:rPr>
                <w:rFonts w:ascii="Arial" w:hAnsi="Arial" w:eastAsia="Times New Roman" w:cs="Arial"/>
                <w:b/>
                <w:bCs/>
                <w:color w:val="FFFFFF"/>
                <w:kern w:val="24"/>
                <w:sz w:val="20"/>
                <w:szCs w:val="20"/>
                <w:lang w:val="es-ES" w:eastAsia="es-SV"/>
              </w:rPr>
            </w:pPr>
            <w:r w:rsidRPr="0032511F">
              <w:rPr>
                <w:rFonts w:ascii="Arial" w:hAnsi="Arial" w:eastAsia="Times New Roman" w:cs="Arial"/>
                <w:b/>
                <w:bCs/>
                <w:color w:val="FFFFFF"/>
                <w:kern w:val="24"/>
                <w:sz w:val="20"/>
                <w:szCs w:val="20"/>
                <w:lang w:eastAsia="es-SV"/>
              </w:rPr>
              <w:t>Sector</w:t>
            </w:r>
          </w:p>
        </w:tc>
        <w:tc>
          <w:tcPr>
            <w:tcW w:w="2268"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6CA25855"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val="es-ES" w:eastAsia="es-SV"/>
              </w:rPr>
              <w:t>Precio de venta</w:t>
            </w:r>
          </w:p>
        </w:tc>
        <w:tc>
          <w:tcPr>
            <w:tcW w:w="1527"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2B23AE7D"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Plazo hasta</w:t>
            </w:r>
          </w:p>
        </w:tc>
        <w:tc>
          <w:tcPr>
            <w:tcW w:w="1025"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12E9C3C2"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Tasa</w:t>
            </w:r>
          </w:p>
        </w:tc>
        <w:tc>
          <w:tcPr>
            <w:tcW w:w="850"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2D07B4DB"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Prima</w:t>
            </w:r>
          </w:p>
        </w:tc>
        <w:tc>
          <w:tcPr>
            <w:tcW w:w="1418"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1BB2050F"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 a financiar</w:t>
            </w:r>
          </w:p>
        </w:tc>
      </w:tr>
      <w:tr w:rsidRPr="0032511F" w:rsidR="00F364D7" w:rsidTr="008068F8" w14:paraId="2866A3A0" w14:textId="77777777">
        <w:trPr>
          <w:trHeight w:val="283"/>
          <w:jc w:val="center"/>
        </w:trPr>
        <w:tc>
          <w:tcPr>
            <w:tcW w:w="992" w:type="dxa"/>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1325DD0D" w14:textId="77777777">
            <w:pPr>
              <w:spacing w:after="0" w:line="240" w:lineRule="auto"/>
              <w:jc w:val="center"/>
              <w:textAlignment w:val="center"/>
              <w:rPr>
                <w:rFonts w:ascii="Arial" w:hAnsi="Arial" w:eastAsia="Times New Roman" w:cs="Arial"/>
                <w:color w:val="4F81BD"/>
                <w:kern w:val="24"/>
                <w:sz w:val="20"/>
                <w:szCs w:val="20"/>
                <w:lang w:eastAsia="es-SV"/>
              </w:rPr>
            </w:pPr>
            <w:r w:rsidRPr="0032511F">
              <w:rPr>
                <w:rFonts w:ascii="Arial" w:hAnsi="Arial" w:eastAsia="Times New Roman" w:cs="Arial"/>
                <w:color w:val="000000"/>
                <w:kern w:val="24"/>
                <w:sz w:val="20"/>
                <w:szCs w:val="20"/>
                <w:lang w:eastAsia="es-SV"/>
              </w:rPr>
              <w:t>Formal</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2E9DFC9D" w14:textId="602EC716">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Hasta $50</w:t>
            </w:r>
            <w:r w:rsidR="004D5794">
              <w:rPr>
                <w:rFonts w:ascii="Arial" w:hAnsi="Arial" w:eastAsia="Times New Roman" w:cs="Arial"/>
                <w:color w:val="000000"/>
                <w:kern w:val="24"/>
                <w:sz w:val="20"/>
                <w:szCs w:val="20"/>
                <w:lang w:eastAsia="es-SV"/>
              </w:rPr>
              <w:t>.</w:t>
            </w:r>
            <w:r w:rsidRPr="0032511F">
              <w:rPr>
                <w:rFonts w:ascii="Arial" w:hAnsi="Arial" w:eastAsia="Times New Roman" w:cs="Arial"/>
                <w:color w:val="000000"/>
                <w:kern w:val="24"/>
                <w:sz w:val="20"/>
                <w:szCs w:val="20"/>
                <w:lang w:eastAsia="es-SV"/>
              </w:rPr>
              <w:t>000</w:t>
            </w:r>
            <w:r w:rsidR="004D5794">
              <w:rPr>
                <w:rFonts w:ascii="Arial" w:hAnsi="Arial" w:eastAsia="Times New Roman" w:cs="Arial"/>
                <w:color w:val="000000"/>
                <w:kern w:val="24"/>
                <w:sz w:val="20"/>
                <w:szCs w:val="20"/>
                <w:lang w:eastAsia="es-SV"/>
              </w:rPr>
              <w:t>,</w:t>
            </w:r>
            <w:r w:rsidRPr="0032511F">
              <w:rPr>
                <w:rFonts w:ascii="Arial" w:hAnsi="Arial" w:eastAsia="Times New Roman" w:cs="Arial"/>
                <w:color w:val="000000"/>
                <w:kern w:val="24"/>
                <w:sz w:val="20"/>
                <w:szCs w:val="20"/>
                <w:lang w:eastAsia="es-SV"/>
              </w:rPr>
              <w:t>00</w:t>
            </w:r>
          </w:p>
        </w:tc>
        <w:tc>
          <w:tcPr>
            <w:tcW w:w="1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7DF0D20C"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 xml:space="preserve">30 años </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1AB70D59" w14:textId="5D05035A">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4</w:t>
            </w:r>
            <w:r w:rsidR="004D5794">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90%</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7B87D3E3"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2%</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24D8B363"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98%</w:t>
            </w:r>
          </w:p>
        </w:tc>
      </w:tr>
      <w:tr w:rsidRPr="0032511F" w:rsidR="00F364D7" w:rsidTr="008068F8" w14:paraId="3219D1FE" w14:textId="77777777">
        <w:trPr>
          <w:trHeight w:val="283"/>
          <w:jc w:val="center"/>
        </w:trPr>
        <w:tc>
          <w:tcPr>
            <w:tcW w:w="992" w:type="dxa"/>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049FEF9F"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Informal</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06B8469C" w14:textId="1560C063">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Hasta $38</w:t>
            </w:r>
            <w:r w:rsidR="004D5794">
              <w:rPr>
                <w:rFonts w:ascii="Arial" w:hAnsi="Arial" w:eastAsia="Times New Roman" w:cs="Arial"/>
                <w:color w:val="000000"/>
                <w:kern w:val="24"/>
                <w:sz w:val="20"/>
                <w:szCs w:val="20"/>
                <w:lang w:eastAsia="es-SV"/>
              </w:rPr>
              <w:t>.</w:t>
            </w:r>
            <w:r w:rsidRPr="0032511F">
              <w:rPr>
                <w:rFonts w:ascii="Arial" w:hAnsi="Arial" w:eastAsia="Times New Roman" w:cs="Arial"/>
                <w:color w:val="000000"/>
                <w:kern w:val="24"/>
                <w:sz w:val="20"/>
                <w:szCs w:val="20"/>
                <w:lang w:eastAsia="es-SV"/>
              </w:rPr>
              <w:t>200</w:t>
            </w:r>
            <w:r w:rsidR="004D5794">
              <w:rPr>
                <w:rFonts w:ascii="Arial" w:hAnsi="Arial" w:eastAsia="Times New Roman" w:cs="Arial"/>
                <w:color w:val="000000"/>
                <w:kern w:val="24"/>
                <w:sz w:val="20"/>
                <w:szCs w:val="20"/>
                <w:lang w:eastAsia="es-SV"/>
              </w:rPr>
              <w:t>,</w:t>
            </w:r>
            <w:r w:rsidRPr="0032511F">
              <w:rPr>
                <w:rFonts w:ascii="Arial" w:hAnsi="Arial" w:eastAsia="Times New Roman" w:cs="Arial"/>
                <w:color w:val="000000"/>
                <w:kern w:val="24"/>
                <w:sz w:val="20"/>
                <w:szCs w:val="20"/>
                <w:lang w:eastAsia="es-SV"/>
              </w:rPr>
              <w:t>00</w:t>
            </w:r>
          </w:p>
        </w:tc>
        <w:tc>
          <w:tcPr>
            <w:tcW w:w="1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667989B7"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25 años</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5FA5106A" w14:textId="7FC11604">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6</w:t>
            </w:r>
            <w:r w:rsidR="004D5794">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90%</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5A7391AA"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5%</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1EA81AD3"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95%</w:t>
            </w:r>
          </w:p>
        </w:tc>
      </w:tr>
    </w:tbl>
    <w:p w:rsidRPr="0032511F" w:rsidR="00BF3655" w:rsidP="00BF3655" w:rsidRDefault="00BF3655" w14:paraId="76AA8B11" w14:textId="3FBB072B">
      <w:pPr>
        <w:pStyle w:val="ListParagraph"/>
        <w:ind w:left="360"/>
        <w:jc w:val="both"/>
        <w:rPr>
          <w:rFonts w:ascii="Arial" w:hAnsi="Arial" w:cs="Arial"/>
        </w:rPr>
      </w:pPr>
    </w:p>
    <w:p w:rsidR="00F364D7" w:rsidP="00BF3655" w:rsidRDefault="00F364D7" w14:paraId="5C5D6D8E" w14:textId="3AB08325">
      <w:pPr>
        <w:pStyle w:val="ListParagraph"/>
        <w:numPr>
          <w:ilvl w:val="0"/>
          <w:numId w:val="2"/>
        </w:numPr>
        <w:ind w:left="360"/>
        <w:jc w:val="both"/>
        <w:rPr>
          <w:rFonts w:ascii="Arial" w:hAnsi="Arial" w:cs="Arial"/>
        </w:rPr>
      </w:pPr>
      <w:r w:rsidRPr="0032511F">
        <w:rPr>
          <w:rFonts w:ascii="Arial" w:hAnsi="Arial" w:cs="Arial"/>
        </w:rPr>
        <w:t>En el Programa Casa Joven (dirigido a personas entre 18 a 25 años), se redujeron las tasas para la vivienda de interés social y vivienda de ingresos medios de la siguiente manera:</w:t>
      </w:r>
    </w:p>
    <w:p w:rsidRPr="008068F8" w:rsidR="008068F8" w:rsidP="008068F8" w:rsidRDefault="008068F8" w14:paraId="20A3F96F" w14:textId="77777777">
      <w:pPr>
        <w:jc w:val="both"/>
        <w:rPr>
          <w:rFonts w:ascii="Arial" w:hAnsi="Arial" w:cs="Arial"/>
        </w:rPr>
      </w:pPr>
    </w:p>
    <w:tbl>
      <w:tblPr>
        <w:tblW w:w="5000" w:type="pct"/>
        <w:jc w:val="center"/>
        <w:tblCellMar>
          <w:left w:w="0" w:type="dxa"/>
          <w:right w:w="0" w:type="dxa"/>
        </w:tblCellMar>
        <w:tblLook w:val="0600" w:firstRow="0" w:lastRow="0" w:firstColumn="0" w:lastColumn="0" w:noHBand="1" w:noVBand="1"/>
      </w:tblPr>
      <w:tblGrid>
        <w:gridCol w:w="1231"/>
        <w:gridCol w:w="4505"/>
        <w:gridCol w:w="1120"/>
        <w:gridCol w:w="920"/>
        <w:gridCol w:w="1045"/>
        <w:gridCol w:w="1249"/>
      </w:tblGrid>
      <w:tr w:rsidRPr="0032511F" w:rsidR="00F364D7" w:rsidTr="006B3A11" w14:paraId="5C2257E7" w14:textId="77777777">
        <w:trPr>
          <w:trHeight w:val="283"/>
          <w:jc w:val="center"/>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rsidRPr="0032511F" w:rsidR="00F364D7" w:rsidP="00F364D7" w:rsidRDefault="00F364D7" w14:paraId="0740CDC3" w14:textId="77777777">
            <w:pPr>
              <w:spacing w:after="0" w:line="240" w:lineRule="auto"/>
              <w:jc w:val="center"/>
              <w:textAlignment w:val="center"/>
              <w:rPr>
                <w:rFonts w:ascii="Arial" w:hAnsi="Arial" w:eastAsia="Times New Roman" w:cs="Arial"/>
                <w:b/>
                <w:bCs/>
                <w:color w:val="FFFFFF"/>
                <w:kern w:val="24"/>
                <w:sz w:val="20"/>
                <w:szCs w:val="20"/>
                <w:lang w:eastAsia="es-SV"/>
              </w:rPr>
            </w:pPr>
            <w:r w:rsidRPr="0032511F">
              <w:rPr>
                <w:rFonts w:ascii="Arial" w:hAnsi="Arial" w:eastAsia="Times New Roman" w:cs="Arial"/>
                <w:b/>
                <w:bCs/>
                <w:kern w:val="24"/>
                <w:sz w:val="20"/>
                <w:szCs w:val="20"/>
                <w:lang w:eastAsia="es-SV"/>
              </w:rPr>
              <w:t>Vivienda nueva</w:t>
            </w:r>
          </w:p>
        </w:tc>
      </w:tr>
      <w:tr w:rsidRPr="0032511F" w:rsidR="00F364D7" w:rsidTr="006B3A11" w14:paraId="2D4E1EC5" w14:textId="77777777">
        <w:trPr>
          <w:trHeight w:val="283"/>
          <w:jc w:val="center"/>
        </w:trPr>
        <w:tc>
          <w:tcPr>
            <w:tcW w:w="611" w:type="pct"/>
            <w:tcBorders>
              <w:top w:val="single" w:color="000000" w:sz="4" w:space="0"/>
              <w:left w:val="single" w:color="000000" w:sz="4" w:space="0"/>
              <w:bottom w:val="single" w:color="000000" w:sz="4" w:space="0"/>
              <w:right w:val="single" w:color="000000" w:sz="4" w:space="0"/>
            </w:tcBorders>
            <w:shd w:val="clear" w:color="auto" w:fill="323E4F" w:themeFill="text2" w:themeFillShade="BF"/>
            <w:vAlign w:val="center"/>
          </w:tcPr>
          <w:p w:rsidRPr="0032511F" w:rsidR="00F364D7" w:rsidP="00F364D7" w:rsidRDefault="00F364D7" w14:paraId="2C931D40" w14:textId="77777777">
            <w:pPr>
              <w:spacing w:after="0" w:line="240" w:lineRule="auto"/>
              <w:jc w:val="center"/>
              <w:textAlignment w:val="center"/>
              <w:rPr>
                <w:rFonts w:ascii="Arial" w:hAnsi="Arial" w:eastAsia="Times New Roman" w:cs="Arial"/>
                <w:b/>
                <w:bCs/>
                <w:color w:val="FFFFFF"/>
                <w:kern w:val="24"/>
                <w:sz w:val="20"/>
                <w:szCs w:val="20"/>
                <w:lang w:val="es-ES" w:eastAsia="es-SV"/>
              </w:rPr>
            </w:pPr>
            <w:r w:rsidRPr="0032511F">
              <w:rPr>
                <w:rFonts w:ascii="Arial" w:hAnsi="Arial" w:eastAsia="Times New Roman" w:cs="Arial"/>
                <w:b/>
                <w:bCs/>
                <w:color w:val="FFFFFF"/>
                <w:kern w:val="24"/>
                <w:sz w:val="20"/>
                <w:szCs w:val="20"/>
                <w:lang w:eastAsia="es-SV"/>
              </w:rPr>
              <w:t>Sector</w:t>
            </w:r>
          </w:p>
        </w:tc>
        <w:tc>
          <w:tcPr>
            <w:tcW w:w="2237" w:type="pct"/>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22D5DC0B"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val="es-ES" w:eastAsia="es-SV"/>
              </w:rPr>
              <w:t>Precio de venta</w:t>
            </w:r>
          </w:p>
        </w:tc>
        <w:tc>
          <w:tcPr>
            <w:tcW w:w="556" w:type="pct"/>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016769E4"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Plazo hasta</w:t>
            </w:r>
          </w:p>
        </w:tc>
        <w:tc>
          <w:tcPr>
            <w:tcW w:w="457" w:type="pct"/>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775605C6"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Tasa</w:t>
            </w:r>
          </w:p>
        </w:tc>
        <w:tc>
          <w:tcPr>
            <w:tcW w:w="519" w:type="pct"/>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3A2874BE"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Prima</w:t>
            </w:r>
          </w:p>
        </w:tc>
        <w:tc>
          <w:tcPr>
            <w:tcW w:w="621" w:type="pct"/>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3D136D1F"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 a financiar</w:t>
            </w:r>
          </w:p>
        </w:tc>
      </w:tr>
      <w:tr w:rsidRPr="0032511F" w:rsidR="00F364D7" w:rsidTr="006B3A11" w14:paraId="7A3B4BB1" w14:textId="77777777">
        <w:trPr>
          <w:trHeight w:val="283"/>
          <w:jc w:val="center"/>
        </w:trPr>
        <w:tc>
          <w:tcPr>
            <w:tcW w:w="611" w:type="pct"/>
            <w:vMerge w:val="restart"/>
            <w:tcBorders>
              <w:top w:val="single" w:color="000000" w:sz="4" w:space="0"/>
              <w:left w:val="single" w:color="000000" w:sz="4" w:space="0"/>
              <w:right w:val="single" w:color="000000" w:sz="4" w:space="0"/>
            </w:tcBorders>
            <w:vAlign w:val="center"/>
          </w:tcPr>
          <w:p w:rsidRPr="0032511F" w:rsidR="00F364D7" w:rsidP="00F364D7" w:rsidRDefault="00F364D7" w14:paraId="28FF439C" w14:textId="77777777">
            <w:pPr>
              <w:spacing w:after="0" w:line="240" w:lineRule="auto"/>
              <w:jc w:val="center"/>
              <w:textAlignment w:val="center"/>
              <w:rPr>
                <w:rFonts w:ascii="Arial" w:hAnsi="Arial" w:eastAsia="Times New Roman" w:cs="Arial"/>
                <w:color w:val="4F81BD"/>
                <w:kern w:val="24"/>
                <w:sz w:val="20"/>
                <w:szCs w:val="20"/>
                <w:lang w:eastAsia="es-SV"/>
              </w:rPr>
            </w:pPr>
            <w:r w:rsidRPr="0032511F">
              <w:rPr>
                <w:rFonts w:ascii="Arial" w:hAnsi="Arial" w:eastAsia="Times New Roman" w:cs="Arial"/>
                <w:color w:val="000000"/>
                <w:kern w:val="24"/>
                <w:sz w:val="20"/>
                <w:szCs w:val="20"/>
                <w:lang w:eastAsia="es-SV"/>
              </w:rPr>
              <w:t>Formal</w:t>
            </w:r>
          </w:p>
        </w:tc>
        <w:tc>
          <w:tcPr>
            <w:tcW w:w="2237"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63D17B8E" w14:textId="047A1B59">
            <w:pPr>
              <w:spacing w:after="0" w:line="240" w:lineRule="auto"/>
              <w:jc w:val="both"/>
              <w:textAlignment w:val="center"/>
              <w:rPr>
                <w:rFonts w:ascii="Arial" w:hAnsi="Arial" w:eastAsia="Times New Roman" w:cs="Arial"/>
                <w:sz w:val="20"/>
                <w:szCs w:val="20"/>
                <w:lang w:eastAsia="es-SV"/>
              </w:rPr>
            </w:pPr>
            <w:r w:rsidRPr="0032511F">
              <w:rPr>
                <w:rFonts w:ascii="Arial" w:hAnsi="Arial" w:eastAsia="Times New Roman" w:cs="Arial"/>
                <w:color w:val="0000FF"/>
                <w:kern w:val="24"/>
                <w:sz w:val="20"/>
                <w:szCs w:val="20"/>
                <w:lang w:eastAsia="es-SV"/>
              </w:rPr>
              <w:t>Hasta $38</w:t>
            </w:r>
            <w:r w:rsidR="00DF55BE">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900</w:t>
            </w:r>
            <w:r w:rsidR="00DF55BE">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00</w:t>
            </w:r>
          </w:p>
        </w:tc>
        <w:tc>
          <w:tcPr>
            <w:tcW w:w="556" w:type="pct"/>
            <w:tcBorders>
              <w:top w:val="single" w:color="000000" w:sz="4" w:space="0"/>
              <w:left w:val="single" w:color="000000" w:sz="4" w:space="0"/>
              <w:bottom w:val="single" w:color="auto"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767DE627"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 xml:space="preserve">30 años </w:t>
            </w:r>
          </w:p>
        </w:tc>
        <w:tc>
          <w:tcPr>
            <w:tcW w:w="457"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56F351C4" w14:textId="612396C1">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5</w:t>
            </w:r>
            <w:r w:rsidR="00DF55BE">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75%</w:t>
            </w:r>
          </w:p>
        </w:tc>
        <w:tc>
          <w:tcPr>
            <w:tcW w:w="519"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4F949FBF" w14:textId="77777777">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3%</w:t>
            </w:r>
          </w:p>
        </w:tc>
        <w:tc>
          <w:tcPr>
            <w:tcW w:w="621"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13C15089" w14:textId="77777777">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97%</w:t>
            </w:r>
          </w:p>
        </w:tc>
      </w:tr>
      <w:tr w:rsidRPr="0032511F" w:rsidR="00F364D7" w:rsidTr="006B3A11" w14:paraId="25E3D81D" w14:textId="77777777">
        <w:trPr>
          <w:trHeight w:val="283"/>
          <w:jc w:val="center"/>
        </w:trPr>
        <w:tc>
          <w:tcPr>
            <w:tcW w:w="611" w:type="pct"/>
            <w:vMerge/>
            <w:tcBorders>
              <w:left w:val="single" w:color="000000" w:sz="4" w:space="0"/>
              <w:bottom w:val="single" w:color="000000" w:sz="4" w:space="0"/>
              <w:right w:val="single" w:color="000000" w:sz="4" w:space="0"/>
            </w:tcBorders>
            <w:vAlign w:val="center"/>
          </w:tcPr>
          <w:p w:rsidRPr="0032511F" w:rsidR="00F364D7" w:rsidP="00F364D7" w:rsidRDefault="00F364D7" w14:paraId="4FD3C0C8" w14:textId="77777777">
            <w:pPr>
              <w:spacing w:after="0" w:line="240" w:lineRule="auto"/>
              <w:jc w:val="center"/>
              <w:textAlignment w:val="center"/>
              <w:rPr>
                <w:rFonts w:ascii="Arial" w:hAnsi="Arial" w:eastAsia="Times New Roman" w:cs="Arial"/>
                <w:color w:val="000000"/>
                <w:kern w:val="24"/>
                <w:sz w:val="20"/>
                <w:szCs w:val="20"/>
                <w:lang w:eastAsia="es-SV"/>
              </w:rPr>
            </w:pPr>
          </w:p>
        </w:tc>
        <w:tc>
          <w:tcPr>
            <w:tcW w:w="2237" w:type="pct"/>
            <w:tcBorders>
              <w:top w:val="single" w:color="000000" w:sz="4" w:space="0"/>
              <w:left w:val="single" w:color="000000" w:sz="4" w:space="0"/>
              <w:bottom w:val="single" w:color="000000" w:sz="4" w:space="0"/>
              <w:right w:val="single" w:color="auto" w:sz="4" w:space="0"/>
            </w:tcBorders>
            <w:shd w:val="clear" w:color="auto" w:fill="auto"/>
            <w:tcMar>
              <w:top w:w="15" w:type="dxa"/>
              <w:left w:w="113" w:type="dxa"/>
              <w:bottom w:w="0" w:type="dxa"/>
              <w:right w:w="57" w:type="dxa"/>
            </w:tcMar>
            <w:vAlign w:val="center"/>
          </w:tcPr>
          <w:p w:rsidRPr="0032511F" w:rsidR="00F364D7" w:rsidP="00F364D7" w:rsidRDefault="00F364D7" w14:paraId="09979FB0" w14:textId="4F6D07DD">
            <w:pPr>
              <w:spacing w:after="0" w:line="240" w:lineRule="auto"/>
              <w:jc w:val="both"/>
              <w:textAlignment w:val="center"/>
              <w:rPr>
                <w:rFonts w:ascii="Arial" w:hAnsi="Arial" w:eastAsia="Times New Roman" w:cs="Arial"/>
                <w:color w:val="0000FF"/>
                <w:kern w:val="24"/>
                <w:sz w:val="20"/>
                <w:szCs w:val="20"/>
                <w:lang w:eastAsia="es-SV"/>
              </w:rPr>
            </w:pPr>
            <w:r w:rsidRPr="0032511F">
              <w:rPr>
                <w:rFonts w:ascii="Arial" w:hAnsi="Arial" w:eastAsia="Times New Roman" w:cs="Arial"/>
                <w:kern w:val="24"/>
                <w:sz w:val="20"/>
                <w:szCs w:val="20"/>
                <w:lang w:eastAsia="es-SV"/>
              </w:rPr>
              <w:t xml:space="preserve">Más de </w:t>
            </w:r>
            <w:r w:rsidR="00DF55BE">
              <w:rPr>
                <w:rFonts w:ascii="Arial" w:hAnsi="Arial" w:eastAsia="Times New Roman" w:cs="Arial"/>
                <w:kern w:val="24"/>
                <w:sz w:val="20"/>
                <w:szCs w:val="20"/>
                <w:lang w:eastAsia="es-SV"/>
              </w:rPr>
              <w:t>$</w:t>
            </w:r>
            <w:r w:rsidRPr="0032511F">
              <w:rPr>
                <w:rFonts w:ascii="Arial" w:hAnsi="Arial" w:eastAsia="Times New Roman" w:cs="Arial"/>
                <w:kern w:val="24"/>
                <w:sz w:val="20"/>
                <w:szCs w:val="20"/>
                <w:lang w:eastAsia="es-SV"/>
              </w:rPr>
              <w:t>38</w:t>
            </w:r>
            <w:r w:rsidR="00DF55BE">
              <w:rPr>
                <w:rFonts w:ascii="Arial" w:hAnsi="Arial" w:eastAsia="Times New Roman" w:cs="Arial"/>
                <w:kern w:val="24"/>
                <w:sz w:val="20"/>
                <w:szCs w:val="20"/>
                <w:lang w:eastAsia="es-SV"/>
              </w:rPr>
              <w:t>.</w:t>
            </w:r>
            <w:r w:rsidRPr="0032511F">
              <w:rPr>
                <w:rFonts w:ascii="Arial" w:hAnsi="Arial" w:eastAsia="Times New Roman" w:cs="Arial"/>
                <w:kern w:val="24"/>
                <w:sz w:val="20"/>
                <w:szCs w:val="20"/>
                <w:lang w:eastAsia="es-SV"/>
              </w:rPr>
              <w:t>900</w:t>
            </w:r>
            <w:r w:rsidR="00DF55BE">
              <w:rPr>
                <w:rFonts w:ascii="Arial" w:hAnsi="Arial" w:eastAsia="Times New Roman" w:cs="Arial"/>
                <w:kern w:val="24"/>
                <w:sz w:val="20"/>
                <w:szCs w:val="20"/>
                <w:lang w:eastAsia="es-SV"/>
              </w:rPr>
              <w:t>,</w:t>
            </w:r>
            <w:r w:rsidRPr="0032511F">
              <w:rPr>
                <w:rFonts w:ascii="Arial" w:hAnsi="Arial" w:eastAsia="Times New Roman" w:cs="Arial"/>
                <w:kern w:val="24"/>
                <w:sz w:val="20"/>
                <w:szCs w:val="20"/>
                <w:lang w:eastAsia="es-SV"/>
              </w:rPr>
              <w:t>00 hasta $150</w:t>
            </w:r>
            <w:r w:rsidR="00DF55BE">
              <w:rPr>
                <w:rFonts w:ascii="Arial" w:hAnsi="Arial" w:eastAsia="Times New Roman" w:cs="Arial"/>
                <w:kern w:val="24"/>
                <w:sz w:val="20"/>
                <w:szCs w:val="20"/>
                <w:lang w:eastAsia="es-SV"/>
              </w:rPr>
              <w:t>.</w:t>
            </w:r>
            <w:r w:rsidRPr="0032511F">
              <w:rPr>
                <w:rFonts w:ascii="Arial" w:hAnsi="Arial" w:eastAsia="Times New Roman" w:cs="Arial"/>
                <w:kern w:val="24"/>
                <w:sz w:val="20"/>
                <w:szCs w:val="20"/>
                <w:lang w:eastAsia="es-SV"/>
              </w:rPr>
              <w:t>000</w:t>
            </w:r>
            <w:r w:rsidR="00DF55BE">
              <w:rPr>
                <w:rFonts w:ascii="Arial" w:hAnsi="Arial" w:eastAsia="Times New Roman" w:cs="Arial"/>
                <w:kern w:val="24"/>
                <w:sz w:val="20"/>
                <w:szCs w:val="20"/>
                <w:lang w:eastAsia="es-SV"/>
              </w:rPr>
              <w:t>,</w:t>
            </w:r>
            <w:r w:rsidRPr="0032511F">
              <w:rPr>
                <w:rFonts w:ascii="Arial" w:hAnsi="Arial" w:eastAsia="Times New Roman" w:cs="Arial"/>
                <w:kern w:val="24"/>
                <w:sz w:val="20"/>
                <w:szCs w:val="20"/>
                <w:lang w:eastAsia="es-SV"/>
              </w:rPr>
              <w:t>00</w:t>
            </w:r>
          </w:p>
        </w:tc>
        <w:tc>
          <w:tcPr>
            <w:tcW w:w="556" w:type="pct"/>
            <w:tcBorders>
              <w:top w:val="single" w:color="auto" w:sz="4" w:space="0"/>
              <w:left w:val="single" w:color="auto" w:sz="4" w:space="0"/>
              <w:bottom w:val="single" w:color="auto" w:sz="4" w:space="0"/>
              <w:right w:val="single" w:color="auto" w:sz="4" w:space="0"/>
            </w:tcBorders>
            <w:shd w:val="clear" w:color="auto" w:fill="auto"/>
            <w:tcMar>
              <w:top w:w="15" w:type="dxa"/>
              <w:left w:w="113" w:type="dxa"/>
              <w:bottom w:w="0" w:type="dxa"/>
              <w:right w:w="57" w:type="dxa"/>
            </w:tcMar>
            <w:vAlign w:val="center"/>
          </w:tcPr>
          <w:p w:rsidRPr="0032511F" w:rsidR="00F364D7" w:rsidP="00F364D7" w:rsidRDefault="00F364D7" w14:paraId="18D5CD0D"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30 años</w:t>
            </w:r>
          </w:p>
        </w:tc>
        <w:tc>
          <w:tcPr>
            <w:tcW w:w="457" w:type="pct"/>
            <w:tcBorders>
              <w:top w:val="single" w:color="000000" w:sz="4" w:space="0"/>
              <w:left w:val="single" w:color="auto"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5D282258" w14:textId="2175D760">
            <w:pPr>
              <w:spacing w:after="0" w:line="240" w:lineRule="auto"/>
              <w:jc w:val="center"/>
              <w:textAlignment w:val="center"/>
              <w:rPr>
                <w:rFonts w:ascii="Arial" w:hAnsi="Arial" w:eastAsia="Times New Roman" w:cs="Arial"/>
                <w:color w:val="0000FF"/>
                <w:kern w:val="24"/>
                <w:sz w:val="20"/>
                <w:szCs w:val="20"/>
                <w:lang w:eastAsia="es-SV"/>
              </w:rPr>
            </w:pPr>
            <w:r w:rsidRPr="0032511F">
              <w:rPr>
                <w:rFonts w:ascii="Arial" w:hAnsi="Arial" w:eastAsia="Times New Roman" w:cs="Arial"/>
                <w:color w:val="0000FF"/>
                <w:kern w:val="24"/>
                <w:sz w:val="20"/>
                <w:szCs w:val="20"/>
                <w:lang w:eastAsia="es-SV"/>
              </w:rPr>
              <w:t>6</w:t>
            </w:r>
            <w:r w:rsidR="00DF55BE">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85%</w:t>
            </w:r>
          </w:p>
        </w:tc>
        <w:tc>
          <w:tcPr>
            <w:tcW w:w="519"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67BA73C4" w14:textId="77777777">
            <w:pPr>
              <w:spacing w:after="0" w:line="240" w:lineRule="auto"/>
              <w:jc w:val="center"/>
              <w:textAlignment w:val="center"/>
              <w:rPr>
                <w:rFonts w:ascii="Arial" w:hAnsi="Arial" w:eastAsia="Times New Roman" w:cs="Arial"/>
                <w:color w:val="0000FF"/>
                <w:kern w:val="24"/>
                <w:sz w:val="20"/>
                <w:szCs w:val="20"/>
                <w:lang w:eastAsia="es-SV"/>
              </w:rPr>
            </w:pPr>
            <w:r w:rsidRPr="0032511F">
              <w:rPr>
                <w:rFonts w:ascii="Arial" w:hAnsi="Arial" w:eastAsia="Times New Roman" w:cs="Arial"/>
                <w:color w:val="000000"/>
                <w:kern w:val="24"/>
                <w:sz w:val="20"/>
                <w:szCs w:val="20"/>
                <w:lang w:eastAsia="es-SV"/>
              </w:rPr>
              <w:t>5%</w:t>
            </w:r>
          </w:p>
        </w:tc>
        <w:tc>
          <w:tcPr>
            <w:tcW w:w="621"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76F81252" w14:textId="77777777">
            <w:pPr>
              <w:spacing w:after="0" w:line="240" w:lineRule="auto"/>
              <w:jc w:val="center"/>
              <w:textAlignment w:val="center"/>
              <w:rPr>
                <w:rFonts w:ascii="Arial" w:hAnsi="Arial" w:eastAsia="Times New Roman" w:cs="Arial"/>
                <w:color w:val="0000FF"/>
                <w:kern w:val="24"/>
                <w:sz w:val="20"/>
                <w:szCs w:val="20"/>
                <w:lang w:eastAsia="es-SV"/>
              </w:rPr>
            </w:pPr>
            <w:r w:rsidRPr="0032511F">
              <w:rPr>
                <w:rFonts w:ascii="Arial" w:hAnsi="Arial" w:eastAsia="Times New Roman" w:cs="Arial"/>
                <w:color w:val="000000"/>
                <w:kern w:val="24"/>
                <w:sz w:val="20"/>
                <w:szCs w:val="20"/>
                <w:lang w:eastAsia="es-SV"/>
              </w:rPr>
              <w:t>95%</w:t>
            </w:r>
          </w:p>
        </w:tc>
      </w:tr>
      <w:tr w:rsidRPr="0032511F" w:rsidR="00F364D7" w:rsidTr="006B3A11" w14:paraId="07967A45" w14:textId="77777777">
        <w:trPr>
          <w:trHeight w:val="283"/>
          <w:jc w:val="center"/>
        </w:trPr>
        <w:tc>
          <w:tcPr>
            <w:tcW w:w="611" w:type="pct"/>
            <w:tcBorders>
              <w:top w:val="single" w:color="000000" w:sz="4" w:space="0"/>
              <w:left w:val="single" w:color="000000" w:sz="4" w:space="0"/>
              <w:right w:val="single" w:color="000000" w:sz="4" w:space="0"/>
            </w:tcBorders>
            <w:vAlign w:val="center"/>
          </w:tcPr>
          <w:p w:rsidRPr="0032511F" w:rsidR="00F364D7" w:rsidP="00F364D7" w:rsidRDefault="00F364D7" w14:paraId="30E6A1FC"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Informal</w:t>
            </w:r>
          </w:p>
        </w:tc>
        <w:tc>
          <w:tcPr>
            <w:tcW w:w="2237"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1AE10509" w14:textId="30502E45">
            <w:pPr>
              <w:spacing w:after="0" w:line="240" w:lineRule="auto"/>
              <w:jc w:val="both"/>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De $0 hasta $150</w:t>
            </w:r>
            <w:r w:rsidR="00DF55BE">
              <w:rPr>
                <w:rFonts w:ascii="Arial" w:hAnsi="Arial" w:eastAsia="Times New Roman" w:cs="Arial"/>
                <w:color w:val="000000"/>
                <w:kern w:val="24"/>
                <w:sz w:val="20"/>
                <w:szCs w:val="20"/>
                <w:lang w:eastAsia="es-SV"/>
              </w:rPr>
              <w:t>.</w:t>
            </w:r>
            <w:r w:rsidRPr="0032511F">
              <w:rPr>
                <w:rFonts w:ascii="Arial" w:hAnsi="Arial" w:eastAsia="Times New Roman" w:cs="Arial"/>
                <w:color w:val="000000"/>
                <w:kern w:val="24"/>
                <w:sz w:val="20"/>
                <w:szCs w:val="20"/>
                <w:lang w:eastAsia="es-SV"/>
              </w:rPr>
              <w:t>000</w:t>
            </w:r>
            <w:r w:rsidR="00DF55BE">
              <w:rPr>
                <w:rFonts w:ascii="Arial" w:hAnsi="Arial" w:eastAsia="Times New Roman" w:cs="Arial"/>
                <w:color w:val="000000"/>
                <w:kern w:val="24"/>
                <w:sz w:val="20"/>
                <w:szCs w:val="20"/>
                <w:lang w:eastAsia="es-SV"/>
              </w:rPr>
              <w:t>,</w:t>
            </w:r>
            <w:r w:rsidRPr="0032511F">
              <w:rPr>
                <w:rFonts w:ascii="Arial" w:hAnsi="Arial" w:eastAsia="Times New Roman" w:cs="Arial"/>
                <w:color w:val="000000"/>
                <w:kern w:val="24"/>
                <w:sz w:val="20"/>
                <w:szCs w:val="20"/>
                <w:lang w:eastAsia="es-SV"/>
              </w:rPr>
              <w:t>00</w:t>
            </w:r>
          </w:p>
        </w:tc>
        <w:tc>
          <w:tcPr>
            <w:tcW w:w="556" w:type="pct"/>
            <w:tcBorders>
              <w:top w:val="single" w:color="auto" w:sz="4" w:space="0"/>
              <w:left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458ADE7F"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25 años</w:t>
            </w:r>
          </w:p>
        </w:tc>
        <w:tc>
          <w:tcPr>
            <w:tcW w:w="457"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7B8678C3" w14:textId="29A0E269">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FF"/>
                <w:kern w:val="24"/>
                <w:sz w:val="20"/>
                <w:szCs w:val="20"/>
                <w:lang w:eastAsia="es-SV"/>
              </w:rPr>
              <w:t>7</w:t>
            </w:r>
            <w:r w:rsidR="00DF55BE">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25%</w:t>
            </w:r>
          </w:p>
        </w:tc>
        <w:tc>
          <w:tcPr>
            <w:tcW w:w="519"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70D3CDBE"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5%</w:t>
            </w:r>
          </w:p>
        </w:tc>
        <w:tc>
          <w:tcPr>
            <w:tcW w:w="621"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0888EA70"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95%</w:t>
            </w:r>
          </w:p>
        </w:tc>
      </w:tr>
      <w:tr w:rsidRPr="0032511F" w:rsidR="00F364D7" w:rsidTr="006B3A11" w14:paraId="732B1B88" w14:textId="77777777">
        <w:trPr>
          <w:trHeight w:val="283"/>
          <w:jc w:val="center"/>
        </w:trPr>
        <w:tc>
          <w:tcPr>
            <w:tcW w:w="5000" w:type="pct"/>
            <w:gridSpan w:val="6"/>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32DD69A8" w14:textId="77777777">
            <w:pPr>
              <w:spacing w:after="0" w:line="240" w:lineRule="auto"/>
              <w:jc w:val="center"/>
              <w:textAlignment w:val="center"/>
              <w:rPr>
                <w:rFonts w:ascii="Arial" w:hAnsi="Arial" w:eastAsia="Times New Roman" w:cs="Arial"/>
                <w:b/>
                <w:bCs/>
                <w:color w:val="000000"/>
                <w:kern w:val="24"/>
                <w:sz w:val="20"/>
                <w:szCs w:val="20"/>
                <w:lang w:eastAsia="es-SV"/>
              </w:rPr>
            </w:pPr>
            <w:r w:rsidRPr="0032511F">
              <w:rPr>
                <w:rFonts w:ascii="Arial" w:hAnsi="Arial" w:eastAsia="Times New Roman" w:cs="Arial"/>
                <w:b/>
                <w:bCs/>
                <w:color w:val="000000"/>
                <w:kern w:val="24"/>
                <w:sz w:val="20"/>
                <w:szCs w:val="20"/>
                <w:lang w:eastAsia="es-SV"/>
              </w:rPr>
              <w:t>Vivienda usada</w:t>
            </w:r>
          </w:p>
        </w:tc>
      </w:tr>
      <w:tr w:rsidRPr="0032511F" w:rsidR="00F364D7" w:rsidTr="006B3A11" w14:paraId="5A2B5689" w14:textId="77777777">
        <w:trPr>
          <w:trHeight w:val="283"/>
          <w:jc w:val="center"/>
        </w:trPr>
        <w:tc>
          <w:tcPr>
            <w:tcW w:w="611" w:type="pct"/>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57CC37E0"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Formal</w:t>
            </w:r>
          </w:p>
        </w:tc>
        <w:tc>
          <w:tcPr>
            <w:tcW w:w="2237"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508875CC" w14:textId="081B0561">
            <w:pPr>
              <w:spacing w:after="0" w:line="240" w:lineRule="auto"/>
              <w:jc w:val="both"/>
              <w:textAlignment w:val="center"/>
              <w:rPr>
                <w:rFonts w:ascii="Arial" w:hAnsi="Arial" w:eastAsia="Times New Roman" w:cs="Arial"/>
                <w:color w:val="0000FF"/>
                <w:kern w:val="24"/>
                <w:sz w:val="20"/>
                <w:szCs w:val="20"/>
                <w:lang w:eastAsia="es-SV"/>
              </w:rPr>
            </w:pPr>
            <w:r w:rsidRPr="0032511F">
              <w:rPr>
                <w:rFonts w:ascii="Arial" w:hAnsi="Arial" w:eastAsia="Times New Roman" w:cs="Arial"/>
                <w:color w:val="0000FF"/>
                <w:kern w:val="24"/>
                <w:sz w:val="20"/>
                <w:szCs w:val="20"/>
                <w:lang w:eastAsia="es-SV"/>
              </w:rPr>
              <w:t>Hasta $38</w:t>
            </w:r>
            <w:r w:rsidR="00DF55BE">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900</w:t>
            </w:r>
            <w:r w:rsidR="00DF55BE">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00</w:t>
            </w:r>
          </w:p>
        </w:tc>
        <w:tc>
          <w:tcPr>
            <w:tcW w:w="556"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1E1C02C1"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30 años</w:t>
            </w:r>
          </w:p>
        </w:tc>
        <w:tc>
          <w:tcPr>
            <w:tcW w:w="457"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33A27251" w14:textId="0A589198">
            <w:pPr>
              <w:spacing w:after="0" w:line="240" w:lineRule="auto"/>
              <w:jc w:val="center"/>
              <w:textAlignment w:val="center"/>
              <w:rPr>
                <w:rFonts w:ascii="Arial" w:hAnsi="Arial" w:eastAsia="Times New Roman" w:cs="Arial"/>
                <w:color w:val="0000FF"/>
                <w:kern w:val="24"/>
                <w:sz w:val="20"/>
                <w:szCs w:val="20"/>
                <w:lang w:eastAsia="es-SV"/>
              </w:rPr>
            </w:pPr>
            <w:r w:rsidRPr="0032511F">
              <w:rPr>
                <w:rFonts w:ascii="Arial" w:hAnsi="Arial" w:eastAsia="Times New Roman" w:cs="Arial"/>
                <w:color w:val="0000FF"/>
                <w:kern w:val="24"/>
                <w:sz w:val="20"/>
                <w:szCs w:val="20"/>
                <w:lang w:eastAsia="es-SV"/>
              </w:rPr>
              <w:t>6</w:t>
            </w:r>
            <w:r w:rsidR="00DF55BE">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90%</w:t>
            </w:r>
          </w:p>
        </w:tc>
        <w:tc>
          <w:tcPr>
            <w:tcW w:w="519"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7A085CD9"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3%</w:t>
            </w:r>
          </w:p>
        </w:tc>
        <w:tc>
          <w:tcPr>
            <w:tcW w:w="621"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2DDEDF5A"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97%</w:t>
            </w:r>
          </w:p>
        </w:tc>
      </w:tr>
      <w:tr w:rsidRPr="0032511F" w:rsidR="00F364D7" w:rsidTr="006B3A11" w14:paraId="1B328777" w14:textId="77777777">
        <w:trPr>
          <w:trHeight w:val="283"/>
          <w:jc w:val="center"/>
        </w:trPr>
        <w:tc>
          <w:tcPr>
            <w:tcW w:w="611" w:type="pct"/>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4BA3B39D"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Formal</w:t>
            </w:r>
          </w:p>
        </w:tc>
        <w:tc>
          <w:tcPr>
            <w:tcW w:w="2237"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622E72D0" w14:textId="5D68CE09">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kern w:val="24"/>
                <w:sz w:val="20"/>
                <w:szCs w:val="20"/>
                <w:lang w:eastAsia="es-SV"/>
              </w:rPr>
              <w:t xml:space="preserve">Más de </w:t>
            </w:r>
            <w:r w:rsidR="00DF55BE">
              <w:rPr>
                <w:rFonts w:ascii="Arial" w:hAnsi="Arial" w:eastAsia="Times New Roman" w:cs="Arial"/>
                <w:kern w:val="24"/>
                <w:sz w:val="20"/>
                <w:szCs w:val="20"/>
                <w:lang w:eastAsia="es-SV"/>
              </w:rPr>
              <w:t>$</w:t>
            </w:r>
            <w:r w:rsidRPr="0032511F">
              <w:rPr>
                <w:rFonts w:ascii="Arial" w:hAnsi="Arial" w:eastAsia="Times New Roman" w:cs="Arial"/>
                <w:kern w:val="24"/>
                <w:sz w:val="20"/>
                <w:szCs w:val="20"/>
                <w:lang w:eastAsia="es-SV"/>
              </w:rPr>
              <w:t>38</w:t>
            </w:r>
            <w:r w:rsidR="00DF55BE">
              <w:rPr>
                <w:rFonts w:ascii="Arial" w:hAnsi="Arial" w:eastAsia="Times New Roman" w:cs="Arial"/>
                <w:kern w:val="24"/>
                <w:sz w:val="20"/>
                <w:szCs w:val="20"/>
                <w:lang w:eastAsia="es-SV"/>
              </w:rPr>
              <w:t>.</w:t>
            </w:r>
            <w:r w:rsidRPr="0032511F">
              <w:rPr>
                <w:rFonts w:ascii="Arial" w:hAnsi="Arial" w:eastAsia="Times New Roman" w:cs="Arial"/>
                <w:kern w:val="24"/>
                <w:sz w:val="20"/>
                <w:szCs w:val="20"/>
                <w:lang w:eastAsia="es-SV"/>
              </w:rPr>
              <w:t>900</w:t>
            </w:r>
            <w:r w:rsidR="00DF55BE">
              <w:rPr>
                <w:rFonts w:ascii="Arial" w:hAnsi="Arial" w:eastAsia="Times New Roman" w:cs="Arial"/>
                <w:kern w:val="24"/>
                <w:sz w:val="20"/>
                <w:szCs w:val="20"/>
                <w:lang w:eastAsia="es-SV"/>
              </w:rPr>
              <w:t>,</w:t>
            </w:r>
            <w:r w:rsidRPr="0032511F">
              <w:rPr>
                <w:rFonts w:ascii="Arial" w:hAnsi="Arial" w:eastAsia="Times New Roman" w:cs="Arial"/>
                <w:kern w:val="24"/>
                <w:sz w:val="20"/>
                <w:szCs w:val="20"/>
                <w:lang w:eastAsia="es-SV"/>
              </w:rPr>
              <w:t>00 hasta $150</w:t>
            </w:r>
            <w:r w:rsidR="00DF55BE">
              <w:rPr>
                <w:rFonts w:ascii="Arial" w:hAnsi="Arial" w:eastAsia="Times New Roman" w:cs="Arial"/>
                <w:kern w:val="24"/>
                <w:sz w:val="20"/>
                <w:szCs w:val="20"/>
                <w:lang w:eastAsia="es-SV"/>
              </w:rPr>
              <w:t>.</w:t>
            </w:r>
            <w:r w:rsidRPr="0032511F">
              <w:rPr>
                <w:rFonts w:ascii="Arial" w:hAnsi="Arial" w:eastAsia="Times New Roman" w:cs="Arial"/>
                <w:kern w:val="24"/>
                <w:sz w:val="20"/>
                <w:szCs w:val="20"/>
                <w:lang w:eastAsia="es-SV"/>
              </w:rPr>
              <w:t>000</w:t>
            </w:r>
            <w:r w:rsidR="00DF55BE">
              <w:rPr>
                <w:rFonts w:ascii="Arial" w:hAnsi="Arial" w:eastAsia="Times New Roman" w:cs="Arial"/>
                <w:kern w:val="24"/>
                <w:sz w:val="20"/>
                <w:szCs w:val="20"/>
                <w:lang w:eastAsia="es-SV"/>
              </w:rPr>
              <w:t>,</w:t>
            </w:r>
            <w:r w:rsidRPr="0032511F">
              <w:rPr>
                <w:rFonts w:ascii="Arial" w:hAnsi="Arial" w:eastAsia="Times New Roman" w:cs="Arial"/>
                <w:kern w:val="24"/>
                <w:sz w:val="20"/>
                <w:szCs w:val="20"/>
                <w:lang w:eastAsia="es-SV"/>
              </w:rPr>
              <w:t>00</w:t>
            </w:r>
          </w:p>
        </w:tc>
        <w:tc>
          <w:tcPr>
            <w:tcW w:w="556"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2AF77B2B"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30 años</w:t>
            </w:r>
          </w:p>
        </w:tc>
        <w:tc>
          <w:tcPr>
            <w:tcW w:w="457"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733CDFC8" w14:textId="6EDCF0E4">
            <w:pPr>
              <w:spacing w:after="0" w:line="240" w:lineRule="auto"/>
              <w:jc w:val="center"/>
              <w:textAlignment w:val="center"/>
              <w:rPr>
                <w:rFonts w:ascii="Arial" w:hAnsi="Arial" w:eastAsia="Times New Roman" w:cs="Arial"/>
                <w:color w:val="0000FF"/>
                <w:kern w:val="24"/>
                <w:sz w:val="20"/>
                <w:szCs w:val="20"/>
                <w:lang w:eastAsia="es-SV"/>
              </w:rPr>
            </w:pPr>
            <w:r w:rsidRPr="0032511F">
              <w:rPr>
                <w:rFonts w:ascii="Arial" w:hAnsi="Arial" w:eastAsia="Times New Roman" w:cs="Arial"/>
                <w:color w:val="0000FF"/>
                <w:kern w:val="24"/>
                <w:sz w:val="20"/>
                <w:szCs w:val="20"/>
                <w:lang w:eastAsia="es-SV"/>
              </w:rPr>
              <w:t>6</w:t>
            </w:r>
            <w:r w:rsidR="00DF55BE">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90%</w:t>
            </w:r>
          </w:p>
        </w:tc>
        <w:tc>
          <w:tcPr>
            <w:tcW w:w="519"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01620095"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5%</w:t>
            </w:r>
          </w:p>
        </w:tc>
        <w:tc>
          <w:tcPr>
            <w:tcW w:w="621"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27BD1099"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95%</w:t>
            </w:r>
          </w:p>
        </w:tc>
      </w:tr>
      <w:tr w:rsidRPr="0032511F" w:rsidR="00F364D7" w:rsidTr="006B3A11" w14:paraId="1007B031" w14:textId="77777777">
        <w:trPr>
          <w:trHeight w:val="283"/>
          <w:jc w:val="center"/>
        </w:trPr>
        <w:tc>
          <w:tcPr>
            <w:tcW w:w="611" w:type="pct"/>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7C83A2F3"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Informal</w:t>
            </w:r>
          </w:p>
        </w:tc>
        <w:tc>
          <w:tcPr>
            <w:tcW w:w="2237"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610F4E1B" w14:textId="16D4D156">
            <w:pPr>
              <w:spacing w:after="0" w:line="240" w:lineRule="auto"/>
              <w:jc w:val="both"/>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De $0 hasta $150</w:t>
            </w:r>
            <w:r w:rsidR="00DF55BE">
              <w:rPr>
                <w:rFonts w:ascii="Arial" w:hAnsi="Arial" w:eastAsia="Times New Roman" w:cs="Arial"/>
                <w:color w:val="000000"/>
                <w:kern w:val="24"/>
                <w:sz w:val="20"/>
                <w:szCs w:val="20"/>
                <w:lang w:eastAsia="es-SV"/>
              </w:rPr>
              <w:t>.</w:t>
            </w:r>
            <w:r w:rsidRPr="0032511F">
              <w:rPr>
                <w:rFonts w:ascii="Arial" w:hAnsi="Arial" w:eastAsia="Times New Roman" w:cs="Arial"/>
                <w:color w:val="000000"/>
                <w:kern w:val="24"/>
                <w:sz w:val="20"/>
                <w:szCs w:val="20"/>
                <w:lang w:eastAsia="es-SV"/>
              </w:rPr>
              <w:t>000</w:t>
            </w:r>
            <w:r w:rsidR="00DF55BE">
              <w:rPr>
                <w:rFonts w:ascii="Arial" w:hAnsi="Arial" w:eastAsia="Times New Roman" w:cs="Arial"/>
                <w:color w:val="000000"/>
                <w:kern w:val="24"/>
                <w:sz w:val="20"/>
                <w:szCs w:val="20"/>
                <w:lang w:eastAsia="es-SV"/>
              </w:rPr>
              <w:t>,</w:t>
            </w:r>
            <w:r w:rsidRPr="0032511F">
              <w:rPr>
                <w:rFonts w:ascii="Arial" w:hAnsi="Arial" w:eastAsia="Times New Roman" w:cs="Arial"/>
                <w:color w:val="000000"/>
                <w:kern w:val="24"/>
                <w:sz w:val="20"/>
                <w:szCs w:val="20"/>
                <w:lang w:eastAsia="es-SV"/>
              </w:rPr>
              <w:t>00</w:t>
            </w:r>
          </w:p>
        </w:tc>
        <w:tc>
          <w:tcPr>
            <w:tcW w:w="556"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233453C7"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25 años</w:t>
            </w:r>
          </w:p>
        </w:tc>
        <w:tc>
          <w:tcPr>
            <w:tcW w:w="457"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297EB756" w14:textId="326C5F7B">
            <w:pPr>
              <w:spacing w:after="0" w:line="240" w:lineRule="auto"/>
              <w:jc w:val="center"/>
              <w:textAlignment w:val="center"/>
              <w:rPr>
                <w:rFonts w:ascii="Arial" w:hAnsi="Arial" w:eastAsia="Times New Roman" w:cs="Arial"/>
                <w:color w:val="0000FF"/>
                <w:kern w:val="24"/>
                <w:sz w:val="20"/>
                <w:szCs w:val="20"/>
                <w:lang w:eastAsia="es-SV"/>
              </w:rPr>
            </w:pPr>
            <w:r w:rsidRPr="0032511F">
              <w:rPr>
                <w:rFonts w:ascii="Arial" w:hAnsi="Arial" w:eastAsia="Times New Roman" w:cs="Arial"/>
                <w:color w:val="0000FF"/>
                <w:kern w:val="24"/>
                <w:sz w:val="20"/>
                <w:szCs w:val="20"/>
                <w:lang w:eastAsia="es-SV"/>
              </w:rPr>
              <w:t>8</w:t>
            </w:r>
            <w:r w:rsidR="00DF55BE">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85%</w:t>
            </w:r>
          </w:p>
        </w:tc>
        <w:tc>
          <w:tcPr>
            <w:tcW w:w="519"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7D4C2100"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5%</w:t>
            </w:r>
          </w:p>
        </w:tc>
        <w:tc>
          <w:tcPr>
            <w:tcW w:w="621" w:type="pct"/>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6C9AF721"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95%</w:t>
            </w:r>
          </w:p>
        </w:tc>
      </w:tr>
    </w:tbl>
    <w:p w:rsidRPr="0032511F" w:rsidR="00F364D7" w:rsidP="00BF3655" w:rsidRDefault="00F364D7" w14:paraId="11FEFD61" w14:textId="77777777">
      <w:pPr>
        <w:pStyle w:val="ListParagraph"/>
        <w:ind w:left="360"/>
        <w:jc w:val="both"/>
        <w:rPr>
          <w:rFonts w:ascii="Arial" w:hAnsi="Arial" w:cs="Arial"/>
        </w:rPr>
      </w:pPr>
    </w:p>
    <w:p w:rsidRPr="0032511F" w:rsidR="00F364D7" w:rsidP="00BF3655" w:rsidRDefault="00F364D7" w14:paraId="7E4B20D7" w14:textId="77777777">
      <w:pPr>
        <w:pStyle w:val="ListParagraph"/>
        <w:numPr>
          <w:ilvl w:val="0"/>
          <w:numId w:val="2"/>
        </w:numPr>
        <w:ind w:left="360"/>
        <w:jc w:val="both"/>
        <w:rPr>
          <w:rFonts w:ascii="Arial" w:hAnsi="Arial" w:cs="Arial"/>
        </w:rPr>
      </w:pPr>
      <w:r w:rsidRPr="0032511F">
        <w:rPr>
          <w:rFonts w:ascii="Arial" w:hAnsi="Arial" w:cs="Arial"/>
        </w:rPr>
        <w:t>Mejora integral de las condiciones de la política crediticia para la vivienda de interés social, reduciendo las tasas de interés y primas para las líneas de vivienda nueva, usada, lote y RAM (reparación, ampliación y mejora). Como líneas principales la vivienda nueva y vivienda usada de la política general quedo de la siguiente forma:</w:t>
      </w:r>
    </w:p>
    <w:tbl>
      <w:tblPr>
        <w:tblW w:w="8080" w:type="dxa"/>
        <w:jc w:val="center"/>
        <w:tblCellMar>
          <w:left w:w="0" w:type="dxa"/>
          <w:right w:w="0" w:type="dxa"/>
        </w:tblCellMar>
        <w:tblLook w:val="0600" w:firstRow="0" w:lastRow="0" w:firstColumn="0" w:lastColumn="0" w:noHBand="1" w:noVBand="1"/>
      </w:tblPr>
      <w:tblGrid>
        <w:gridCol w:w="992"/>
        <w:gridCol w:w="2268"/>
        <w:gridCol w:w="1527"/>
        <w:gridCol w:w="1025"/>
        <w:gridCol w:w="850"/>
        <w:gridCol w:w="1418"/>
      </w:tblGrid>
      <w:tr w:rsidRPr="0032511F" w:rsidR="00F364D7" w:rsidTr="008068F8" w14:paraId="305561BE" w14:textId="77777777">
        <w:trPr>
          <w:trHeight w:val="283"/>
          <w:jc w:val="center"/>
        </w:trPr>
        <w:tc>
          <w:tcPr>
            <w:tcW w:w="80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rsidRPr="0032511F" w:rsidR="00F364D7" w:rsidP="00F364D7" w:rsidRDefault="00F364D7" w14:paraId="2337D790" w14:textId="77777777">
            <w:pPr>
              <w:spacing w:after="0" w:line="240" w:lineRule="auto"/>
              <w:jc w:val="center"/>
              <w:textAlignment w:val="center"/>
              <w:rPr>
                <w:rFonts w:ascii="Arial" w:hAnsi="Arial" w:eastAsia="Times New Roman" w:cs="Arial"/>
                <w:b/>
                <w:bCs/>
                <w:color w:val="FFFFFF"/>
                <w:kern w:val="24"/>
                <w:sz w:val="20"/>
                <w:szCs w:val="20"/>
                <w:lang w:eastAsia="es-SV"/>
              </w:rPr>
            </w:pPr>
            <w:r w:rsidRPr="0032511F">
              <w:rPr>
                <w:rFonts w:ascii="Arial" w:hAnsi="Arial" w:eastAsia="Times New Roman" w:cs="Arial"/>
                <w:b/>
                <w:bCs/>
                <w:kern w:val="24"/>
                <w:sz w:val="20"/>
                <w:szCs w:val="20"/>
                <w:lang w:eastAsia="es-SV"/>
              </w:rPr>
              <w:t>Vivienda nueva</w:t>
            </w:r>
          </w:p>
        </w:tc>
      </w:tr>
      <w:tr w:rsidRPr="0032511F" w:rsidR="00F364D7" w:rsidTr="006B3A11" w14:paraId="552AC975" w14:textId="77777777">
        <w:trPr>
          <w:trHeight w:val="283"/>
          <w:jc w:val="center"/>
        </w:trPr>
        <w:tc>
          <w:tcPr>
            <w:tcW w:w="992" w:type="dxa"/>
            <w:tcBorders>
              <w:top w:val="single" w:color="000000" w:sz="4" w:space="0"/>
              <w:left w:val="single" w:color="000000" w:sz="4" w:space="0"/>
              <w:bottom w:val="single" w:color="000000" w:sz="4" w:space="0"/>
              <w:right w:val="single" w:color="000000" w:sz="4" w:space="0"/>
            </w:tcBorders>
            <w:shd w:val="clear" w:color="auto" w:fill="323E4F" w:themeFill="text2" w:themeFillShade="BF"/>
            <w:vAlign w:val="center"/>
          </w:tcPr>
          <w:p w:rsidRPr="0032511F" w:rsidR="00F364D7" w:rsidP="00F364D7" w:rsidRDefault="00F364D7" w14:paraId="569372DD" w14:textId="77777777">
            <w:pPr>
              <w:spacing w:after="0" w:line="240" w:lineRule="auto"/>
              <w:jc w:val="center"/>
              <w:textAlignment w:val="center"/>
              <w:rPr>
                <w:rFonts w:ascii="Arial" w:hAnsi="Arial" w:eastAsia="Times New Roman" w:cs="Arial"/>
                <w:b/>
                <w:bCs/>
                <w:color w:val="FFFFFF"/>
                <w:kern w:val="24"/>
                <w:sz w:val="20"/>
                <w:szCs w:val="20"/>
                <w:lang w:val="es-ES" w:eastAsia="es-SV"/>
              </w:rPr>
            </w:pPr>
            <w:r w:rsidRPr="0032511F">
              <w:rPr>
                <w:rFonts w:ascii="Arial" w:hAnsi="Arial" w:eastAsia="Times New Roman" w:cs="Arial"/>
                <w:b/>
                <w:bCs/>
                <w:color w:val="FFFFFF"/>
                <w:kern w:val="24"/>
                <w:sz w:val="20"/>
                <w:szCs w:val="20"/>
                <w:lang w:eastAsia="es-SV"/>
              </w:rPr>
              <w:t>Sector</w:t>
            </w:r>
          </w:p>
        </w:tc>
        <w:tc>
          <w:tcPr>
            <w:tcW w:w="2268"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71AA7501"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val="es-ES" w:eastAsia="es-SV"/>
              </w:rPr>
              <w:t>Precio de venta</w:t>
            </w:r>
          </w:p>
        </w:tc>
        <w:tc>
          <w:tcPr>
            <w:tcW w:w="1527"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335796B5"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Plazo hasta</w:t>
            </w:r>
          </w:p>
        </w:tc>
        <w:tc>
          <w:tcPr>
            <w:tcW w:w="1025"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423D7499"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Tasa</w:t>
            </w:r>
          </w:p>
        </w:tc>
        <w:tc>
          <w:tcPr>
            <w:tcW w:w="850"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4AAED910"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Prima</w:t>
            </w:r>
          </w:p>
        </w:tc>
        <w:tc>
          <w:tcPr>
            <w:tcW w:w="1418" w:type="dxa"/>
            <w:tcBorders>
              <w:top w:val="single" w:color="000000" w:sz="4" w:space="0"/>
              <w:left w:val="single" w:color="000000" w:sz="4" w:space="0"/>
              <w:bottom w:val="single" w:color="000000" w:sz="4" w:space="0"/>
              <w:right w:val="single" w:color="000000" w:sz="4" w:space="0"/>
            </w:tcBorders>
            <w:shd w:val="clear" w:color="auto" w:fill="323E4F" w:themeFill="text2" w:themeFillShade="BF"/>
            <w:tcMar>
              <w:top w:w="15" w:type="dxa"/>
              <w:left w:w="113" w:type="dxa"/>
              <w:bottom w:w="0" w:type="dxa"/>
              <w:right w:w="57" w:type="dxa"/>
            </w:tcMar>
            <w:vAlign w:val="center"/>
            <w:hideMark/>
          </w:tcPr>
          <w:p w:rsidRPr="0032511F" w:rsidR="00F364D7" w:rsidP="00F364D7" w:rsidRDefault="00F364D7" w14:paraId="30CA1F98"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b/>
                <w:bCs/>
                <w:color w:val="FFFFFF"/>
                <w:kern w:val="24"/>
                <w:sz w:val="20"/>
                <w:szCs w:val="20"/>
                <w:lang w:eastAsia="es-SV"/>
              </w:rPr>
              <w:t>% a financiar</w:t>
            </w:r>
          </w:p>
        </w:tc>
      </w:tr>
      <w:tr w:rsidRPr="0032511F" w:rsidR="00F364D7" w:rsidTr="008068F8" w14:paraId="6A98B7EF" w14:textId="77777777">
        <w:trPr>
          <w:trHeight w:val="283"/>
          <w:jc w:val="center"/>
        </w:trPr>
        <w:tc>
          <w:tcPr>
            <w:tcW w:w="992" w:type="dxa"/>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657F7308" w14:textId="77777777">
            <w:pPr>
              <w:spacing w:after="0" w:line="240" w:lineRule="auto"/>
              <w:jc w:val="center"/>
              <w:textAlignment w:val="center"/>
              <w:rPr>
                <w:rFonts w:ascii="Arial" w:hAnsi="Arial" w:eastAsia="Times New Roman" w:cs="Arial"/>
                <w:color w:val="4F81BD"/>
                <w:kern w:val="24"/>
                <w:sz w:val="20"/>
                <w:szCs w:val="20"/>
                <w:lang w:eastAsia="es-SV"/>
              </w:rPr>
            </w:pPr>
            <w:r w:rsidRPr="0032511F">
              <w:rPr>
                <w:rFonts w:ascii="Arial" w:hAnsi="Arial" w:eastAsia="Times New Roman" w:cs="Arial"/>
                <w:color w:val="000000"/>
                <w:kern w:val="24"/>
                <w:sz w:val="20"/>
                <w:szCs w:val="20"/>
                <w:lang w:eastAsia="es-SV"/>
              </w:rPr>
              <w:t>Formal</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656CD877" w14:textId="1D2584C6">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Hasta $38</w:t>
            </w:r>
            <w:r w:rsidR="00D10780">
              <w:rPr>
                <w:rFonts w:ascii="Arial" w:hAnsi="Arial" w:eastAsia="Times New Roman" w:cs="Arial"/>
                <w:color w:val="000000"/>
                <w:kern w:val="24"/>
                <w:sz w:val="20"/>
                <w:szCs w:val="20"/>
                <w:lang w:eastAsia="es-SV"/>
              </w:rPr>
              <w:t>.</w:t>
            </w:r>
            <w:r w:rsidRPr="0032511F">
              <w:rPr>
                <w:rFonts w:ascii="Arial" w:hAnsi="Arial" w:eastAsia="Times New Roman" w:cs="Arial"/>
                <w:color w:val="000000"/>
                <w:kern w:val="24"/>
                <w:sz w:val="20"/>
                <w:szCs w:val="20"/>
                <w:lang w:eastAsia="es-SV"/>
              </w:rPr>
              <w:t>900</w:t>
            </w:r>
            <w:r w:rsidR="00D10780">
              <w:rPr>
                <w:rFonts w:ascii="Arial" w:hAnsi="Arial" w:eastAsia="Times New Roman" w:cs="Arial"/>
                <w:color w:val="000000"/>
                <w:kern w:val="24"/>
                <w:sz w:val="20"/>
                <w:szCs w:val="20"/>
                <w:lang w:eastAsia="es-SV"/>
              </w:rPr>
              <w:t>,</w:t>
            </w:r>
            <w:r w:rsidRPr="0032511F">
              <w:rPr>
                <w:rFonts w:ascii="Arial" w:hAnsi="Arial" w:eastAsia="Times New Roman" w:cs="Arial"/>
                <w:color w:val="000000"/>
                <w:kern w:val="24"/>
                <w:sz w:val="20"/>
                <w:szCs w:val="20"/>
                <w:lang w:eastAsia="es-SV"/>
              </w:rPr>
              <w:t>00</w:t>
            </w:r>
          </w:p>
        </w:tc>
        <w:tc>
          <w:tcPr>
            <w:tcW w:w="1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1BB92FEA"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25 años</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2A6FDFF4" w14:textId="24A357DB">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5</w:t>
            </w:r>
            <w:r w:rsidR="00D10780">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85%</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20EF531B" w14:textId="77777777">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2%</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185406E2" w14:textId="77777777">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eastAsia="Times New Roman" w:cs="Arial"/>
                <w:color w:val="0000FF"/>
                <w:kern w:val="24"/>
                <w:sz w:val="20"/>
                <w:szCs w:val="20"/>
                <w:lang w:eastAsia="es-SV"/>
              </w:rPr>
              <w:t>98%</w:t>
            </w:r>
          </w:p>
        </w:tc>
      </w:tr>
      <w:tr w:rsidRPr="0032511F" w:rsidR="00F364D7" w:rsidTr="008068F8" w14:paraId="57F881C2" w14:textId="77777777">
        <w:trPr>
          <w:trHeight w:val="283"/>
          <w:jc w:val="center"/>
        </w:trPr>
        <w:tc>
          <w:tcPr>
            <w:tcW w:w="992" w:type="dxa"/>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7FD52FA0"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Informal</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30910B3B" w14:textId="34BF41E8">
            <w:pPr>
              <w:spacing w:after="0" w:line="240" w:lineRule="auto"/>
              <w:jc w:val="center"/>
              <w:textAlignment w:val="center"/>
              <w:rPr>
                <w:rFonts w:ascii="Arial" w:hAnsi="Arial" w:eastAsia="Times New Roman" w:cs="Arial"/>
                <w:sz w:val="20"/>
                <w:szCs w:val="20"/>
                <w:lang w:eastAsia="es-SV"/>
              </w:rPr>
            </w:pPr>
            <w:r w:rsidRPr="0032511F">
              <w:rPr>
                <w:rFonts w:ascii="Arial" w:hAnsi="Arial" w:cs="Arial"/>
                <w:sz w:val="20"/>
                <w:szCs w:val="20"/>
              </w:rPr>
              <w:t>Hasta $38</w:t>
            </w:r>
            <w:r w:rsidR="00D10780">
              <w:rPr>
                <w:rFonts w:ascii="Arial" w:hAnsi="Arial" w:cs="Arial"/>
                <w:sz w:val="20"/>
                <w:szCs w:val="20"/>
              </w:rPr>
              <w:t>.</w:t>
            </w:r>
            <w:r w:rsidRPr="0032511F">
              <w:rPr>
                <w:rFonts w:ascii="Arial" w:hAnsi="Arial" w:cs="Arial"/>
                <w:sz w:val="20"/>
                <w:szCs w:val="20"/>
              </w:rPr>
              <w:t>900</w:t>
            </w:r>
            <w:r w:rsidR="00D10780">
              <w:rPr>
                <w:rFonts w:ascii="Arial" w:hAnsi="Arial" w:cs="Arial"/>
                <w:sz w:val="20"/>
                <w:szCs w:val="20"/>
              </w:rPr>
              <w:t>,</w:t>
            </w:r>
            <w:r w:rsidRPr="0032511F">
              <w:rPr>
                <w:rFonts w:ascii="Arial" w:hAnsi="Arial" w:cs="Arial"/>
                <w:sz w:val="20"/>
                <w:szCs w:val="20"/>
              </w:rPr>
              <w:t>00</w:t>
            </w:r>
          </w:p>
        </w:tc>
        <w:tc>
          <w:tcPr>
            <w:tcW w:w="1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4768A4E2"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sz w:val="20"/>
                <w:szCs w:val="20"/>
                <w:lang w:eastAsia="es-SV"/>
              </w:rPr>
              <w:t>25 años</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148A52C3" w14:textId="036AACF1">
            <w:pPr>
              <w:spacing w:after="0" w:line="240" w:lineRule="auto"/>
              <w:jc w:val="center"/>
              <w:textAlignment w:val="center"/>
              <w:rPr>
                <w:rFonts w:ascii="Arial" w:hAnsi="Arial" w:eastAsia="Times New Roman" w:cs="Arial"/>
                <w:color w:val="0000FF"/>
                <w:sz w:val="20"/>
                <w:szCs w:val="20"/>
                <w:lang w:eastAsia="es-SV"/>
              </w:rPr>
            </w:pPr>
            <w:r w:rsidRPr="0032511F">
              <w:rPr>
                <w:rFonts w:ascii="Arial" w:hAnsi="Arial" w:cs="Arial"/>
                <w:color w:val="0000FF"/>
                <w:sz w:val="20"/>
                <w:szCs w:val="20"/>
              </w:rPr>
              <w:t>7</w:t>
            </w:r>
            <w:r w:rsidR="00D10780">
              <w:rPr>
                <w:rFonts w:ascii="Arial" w:hAnsi="Arial" w:cs="Arial"/>
                <w:color w:val="0000FF"/>
                <w:sz w:val="20"/>
                <w:szCs w:val="20"/>
              </w:rPr>
              <w:t>,</w:t>
            </w:r>
            <w:r w:rsidRPr="0032511F">
              <w:rPr>
                <w:rFonts w:ascii="Arial" w:hAnsi="Arial" w:cs="Arial"/>
                <w:color w:val="0000FF"/>
                <w:sz w:val="20"/>
                <w:szCs w:val="20"/>
              </w:rPr>
              <w:t>50%</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1995C275"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cs="Arial"/>
                <w:sz w:val="20"/>
                <w:szCs w:val="20"/>
              </w:rPr>
              <w:t>10%</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hideMark/>
          </w:tcPr>
          <w:p w:rsidRPr="0032511F" w:rsidR="00F364D7" w:rsidP="00F364D7" w:rsidRDefault="00F364D7" w14:paraId="2151BE26"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cs="Arial"/>
                <w:sz w:val="20"/>
                <w:szCs w:val="20"/>
              </w:rPr>
              <w:t>90%</w:t>
            </w:r>
          </w:p>
        </w:tc>
      </w:tr>
      <w:tr w:rsidRPr="0032511F" w:rsidR="00F364D7" w:rsidTr="008068F8" w14:paraId="7C51079A" w14:textId="77777777">
        <w:trPr>
          <w:trHeight w:val="283"/>
          <w:jc w:val="center"/>
        </w:trPr>
        <w:tc>
          <w:tcPr>
            <w:tcW w:w="8080" w:type="dxa"/>
            <w:gridSpan w:val="6"/>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7396D407" w14:textId="77777777">
            <w:pPr>
              <w:spacing w:after="0" w:line="240" w:lineRule="auto"/>
              <w:jc w:val="center"/>
              <w:textAlignment w:val="center"/>
              <w:rPr>
                <w:rFonts w:ascii="Arial" w:hAnsi="Arial" w:cs="Arial"/>
                <w:sz w:val="20"/>
                <w:szCs w:val="20"/>
              </w:rPr>
            </w:pPr>
            <w:r w:rsidRPr="0032511F">
              <w:rPr>
                <w:rFonts w:ascii="Arial" w:hAnsi="Arial" w:eastAsia="Times New Roman" w:cs="Arial"/>
                <w:b/>
                <w:bCs/>
                <w:color w:val="000000"/>
                <w:kern w:val="24"/>
                <w:sz w:val="20"/>
                <w:szCs w:val="20"/>
                <w:lang w:eastAsia="es-SV"/>
              </w:rPr>
              <w:t>Vivienda usada</w:t>
            </w:r>
          </w:p>
        </w:tc>
      </w:tr>
      <w:tr w:rsidRPr="0032511F" w:rsidR="00F364D7" w:rsidTr="008068F8" w14:paraId="05441885" w14:textId="77777777">
        <w:trPr>
          <w:trHeight w:val="283"/>
          <w:jc w:val="center"/>
        </w:trPr>
        <w:tc>
          <w:tcPr>
            <w:tcW w:w="992" w:type="dxa"/>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4B9D90E9"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Formal</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76CD1F1F" w14:textId="43A0DBB5">
            <w:pPr>
              <w:spacing w:after="0" w:line="240" w:lineRule="auto"/>
              <w:jc w:val="center"/>
              <w:textAlignment w:val="center"/>
              <w:rPr>
                <w:rFonts w:ascii="Arial" w:hAnsi="Arial" w:cs="Arial"/>
                <w:sz w:val="20"/>
                <w:szCs w:val="20"/>
              </w:rPr>
            </w:pPr>
            <w:r w:rsidRPr="0032511F">
              <w:rPr>
                <w:rFonts w:ascii="Arial" w:hAnsi="Arial" w:eastAsia="Times New Roman" w:cs="Arial"/>
                <w:color w:val="000000"/>
                <w:kern w:val="24"/>
                <w:sz w:val="20"/>
                <w:szCs w:val="20"/>
                <w:lang w:eastAsia="es-SV"/>
              </w:rPr>
              <w:t>Hasta $38</w:t>
            </w:r>
            <w:r w:rsidR="00D10780">
              <w:rPr>
                <w:rFonts w:ascii="Arial" w:hAnsi="Arial" w:eastAsia="Times New Roman" w:cs="Arial"/>
                <w:color w:val="000000"/>
                <w:kern w:val="24"/>
                <w:sz w:val="20"/>
                <w:szCs w:val="20"/>
                <w:lang w:eastAsia="es-SV"/>
              </w:rPr>
              <w:t>.</w:t>
            </w:r>
            <w:r w:rsidRPr="0032511F">
              <w:rPr>
                <w:rFonts w:ascii="Arial" w:hAnsi="Arial" w:eastAsia="Times New Roman" w:cs="Arial"/>
                <w:color w:val="000000"/>
                <w:kern w:val="24"/>
                <w:sz w:val="20"/>
                <w:szCs w:val="20"/>
                <w:lang w:eastAsia="es-SV"/>
              </w:rPr>
              <w:t>900</w:t>
            </w:r>
            <w:r w:rsidR="00D10780">
              <w:rPr>
                <w:rFonts w:ascii="Arial" w:hAnsi="Arial" w:eastAsia="Times New Roman" w:cs="Arial"/>
                <w:color w:val="000000"/>
                <w:kern w:val="24"/>
                <w:sz w:val="20"/>
                <w:szCs w:val="20"/>
                <w:lang w:eastAsia="es-SV"/>
              </w:rPr>
              <w:t>,</w:t>
            </w:r>
            <w:r w:rsidRPr="0032511F">
              <w:rPr>
                <w:rFonts w:ascii="Arial" w:hAnsi="Arial" w:eastAsia="Times New Roman" w:cs="Arial"/>
                <w:color w:val="000000"/>
                <w:kern w:val="24"/>
                <w:sz w:val="20"/>
                <w:szCs w:val="20"/>
                <w:lang w:eastAsia="es-SV"/>
              </w:rPr>
              <w:t>00</w:t>
            </w:r>
          </w:p>
        </w:tc>
        <w:tc>
          <w:tcPr>
            <w:tcW w:w="1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362FD85B"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eastAsia="Times New Roman" w:cs="Arial"/>
                <w:color w:val="000000"/>
                <w:kern w:val="24"/>
                <w:sz w:val="20"/>
                <w:szCs w:val="20"/>
                <w:lang w:eastAsia="es-SV"/>
              </w:rPr>
              <w:t>25 años</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648BEAB5" w14:textId="46E80169">
            <w:pPr>
              <w:spacing w:after="0" w:line="240" w:lineRule="auto"/>
              <w:jc w:val="center"/>
              <w:textAlignment w:val="center"/>
              <w:rPr>
                <w:rFonts w:ascii="Arial" w:hAnsi="Arial" w:cs="Arial"/>
                <w:color w:val="0000FF"/>
                <w:sz w:val="20"/>
                <w:szCs w:val="20"/>
              </w:rPr>
            </w:pPr>
            <w:r w:rsidRPr="0032511F">
              <w:rPr>
                <w:rFonts w:ascii="Arial" w:hAnsi="Arial" w:eastAsia="Times New Roman" w:cs="Arial"/>
                <w:color w:val="0000FF"/>
                <w:kern w:val="24"/>
                <w:sz w:val="20"/>
                <w:szCs w:val="20"/>
                <w:lang w:eastAsia="es-SV"/>
              </w:rPr>
              <w:t>7</w:t>
            </w:r>
            <w:r w:rsidR="00D10780">
              <w:rPr>
                <w:rFonts w:ascii="Arial" w:hAnsi="Arial" w:eastAsia="Times New Roman" w:cs="Arial"/>
                <w:color w:val="0000FF"/>
                <w:kern w:val="24"/>
                <w:sz w:val="20"/>
                <w:szCs w:val="20"/>
                <w:lang w:eastAsia="es-SV"/>
              </w:rPr>
              <w:t>,</w:t>
            </w:r>
            <w:r w:rsidRPr="0032511F">
              <w:rPr>
                <w:rFonts w:ascii="Arial" w:hAnsi="Arial" w:eastAsia="Times New Roman" w:cs="Arial"/>
                <w:color w:val="0000FF"/>
                <w:kern w:val="24"/>
                <w:sz w:val="20"/>
                <w:szCs w:val="20"/>
                <w:lang w:eastAsia="es-SV"/>
              </w:rPr>
              <w:t>50%</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66B7FED0" w14:textId="77777777">
            <w:pPr>
              <w:spacing w:after="0" w:line="240" w:lineRule="auto"/>
              <w:jc w:val="center"/>
              <w:textAlignment w:val="center"/>
              <w:rPr>
                <w:rFonts w:ascii="Arial" w:hAnsi="Arial" w:cs="Arial"/>
                <w:color w:val="0000FF"/>
                <w:sz w:val="20"/>
                <w:szCs w:val="20"/>
              </w:rPr>
            </w:pPr>
            <w:r w:rsidRPr="0032511F">
              <w:rPr>
                <w:rFonts w:ascii="Arial" w:hAnsi="Arial" w:eastAsia="Times New Roman" w:cs="Arial"/>
                <w:color w:val="0000FF"/>
                <w:kern w:val="24"/>
                <w:sz w:val="20"/>
                <w:szCs w:val="20"/>
                <w:lang w:eastAsia="es-SV"/>
              </w:rPr>
              <w:t>8%</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3BB76255" w14:textId="77777777">
            <w:pPr>
              <w:spacing w:after="0" w:line="240" w:lineRule="auto"/>
              <w:jc w:val="center"/>
              <w:textAlignment w:val="center"/>
              <w:rPr>
                <w:rFonts w:ascii="Arial" w:hAnsi="Arial" w:cs="Arial"/>
                <w:color w:val="0000FF"/>
                <w:sz w:val="20"/>
                <w:szCs w:val="20"/>
              </w:rPr>
            </w:pPr>
            <w:r w:rsidRPr="0032511F">
              <w:rPr>
                <w:rFonts w:ascii="Arial" w:hAnsi="Arial" w:eastAsia="Times New Roman" w:cs="Arial"/>
                <w:color w:val="0000FF"/>
                <w:kern w:val="24"/>
                <w:sz w:val="20"/>
                <w:szCs w:val="20"/>
                <w:lang w:eastAsia="es-SV"/>
              </w:rPr>
              <w:t>92%</w:t>
            </w:r>
          </w:p>
        </w:tc>
      </w:tr>
      <w:tr w:rsidRPr="0032511F" w:rsidR="00F364D7" w:rsidTr="008068F8" w14:paraId="72C9C656" w14:textId="77777777">
        <w:trPr>
          <w:trHeight w:val="283"/>
          <w:jc w:val="center"/>
        </w:trPr>
        <w:tc>
          <w:tcPr>
            <w:tcW w:w="992" w:type="dxa"/>
            <w:tcBorders>
              <w:top w:val="single" w:color="000000" w:sz="4" w:space="0"/>
              <w:left w:val="single" w:color="000000" w:sz="4" w:space="0"/>
              <w:bottom w:val="single" w:color="000000" w:sz="4" w:space="0"/>
              <w:right w:val="single" w:color="000000" w:sz="4" w:space="0"/>
            </w:tcBorders>
            <w:vAlign w:val="center"/>
          </w:tcPr>
          <w:p w:rsidRPr="0032511F" w:rsidR="00F364D7" w:rsidP="00F364D7" w:rsidRDefault="00F364D7" w14:paraId="206D5E4A" w14:textId="77777777">
            <w:pPr>
              <w:spacing w:after="0" w:line="240" w:lineRule="auto"/>
              <w:jc w:val="center"/>
              <w:textAlignment w:val="center"/>
              <w:rPr>
                <w:rFonts w:ascii="Arial" w:hAnsi="Arial" w:eastAsia="Times New Roman" w:cs="Arial"/>
                <w:color w:val="000000"/>
                <w:kern w:val="24"/>
                <w:sz w:val="20"/>
                <w:szCs w:val="20"/>
                <w:lang w:eastAsia="es-SV"/>
              </w:rPr>
            </w:pPr>
            <w:r w:rsidRPr="0032511F">
              <w:rPr>
                <w:rFonts w:ascii="Arial" w:hAnsi="Arial" w:eastAsia="Times New Roman" w:cs="Arial"/>
                <w:color w:val="000000"/>
                <w:kern w:val="24"/>
                <w:sz w:val="20"/>
                <w:szCs w:val="20"/>
                <w:lang w:eastAsia="es-SV"/>
              </w:rPr>
              <w:t>Informal</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1EC70AA9" w14:textId="39DE76BC">
            <w:pPr>
              <w:spacing w:after="0" w:line="240" w:lineRule="auto"/>
              <w:jc w:val="center"/>
              <w:textAlignment w:val="center"/>
              <w:rPr>
                <w:rFonts w:ascii="Arial" w:hAnsi="Arial" w:cs="Arial"/>
                <w:sz w:val="20"/>
                <w:szCs w:val="20"/>
              </w:rPr>
            </w:pPr>
            <w:r w:rsidRPr="0032511F">
              <w:rPr>
                <w:rFonts w:ascii="Arial" w:hAnsi="Arial" w:cs="Arial"/>
                <w:sz w:val="20"/>
                <w:szCs w:val="20"/>
              </w:rPr>
              <w:t>Hasta $38</w:t>
            </w:r>
            <w:r w:rsidR="00D10780">
              <w:rPr>
                <w:rFonts w:ascii="Arial" w:hAnsi="Arial" w:cs="Arial"/>
                <w:sz w:val="20"/>
                <w:szCs w:val="20"/>
              </w:rPr>
              <w:t>.</w:t>
            </w:r>
            <w:r w:rsidRPr="0032511F">
              <w:rPr>
                <w:rFonts w:ascii="Arial" w:hAnsi="Arial" w:cs="Arial"/>
                <w:sz w:val="20"/>
                <w:szCs w:val="20"/>
              </w:rPr>
              <w:t>900</w:t>
            </w:r>
            <w:r w:rsidR="00D10780">
              <w:rPr>
                <w:rFonts w:ascii="Arial" w:hAnsi="Arial" w:cs="Arial"/>
                <w:sz w:val="20"/>
                <w:szCs w:val="20"/>
              </w:rPr>
              <w:t>,</w:t>
            </w:r>
            <w:r w:rsidRPr="0032511F">
              <w:rPr>
                <w:rFonts w:ascii="Arial" w:hAnsi="Arial" w:cs="Arial"/>
                <w:sz w:val="20"/>
                <w:szCs w:val="20"/>
              </w:rPr>
              <w:t>00</w:t>
            </w:r>
          </w:p>
        </w:tc>
        <w:tc>
          <w:tcPr>
            <w:tcW w:w="1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54F0BDB3" w14:textId="77777777">
            <w:pPr>
              <w:spacing w:after="0" w:line="240" w:lineRule="auto"/>
              <w:jc w:val="center"/>
              <w:textAlignment w:val="center"/>
              <w:rPr>
                <w:rFonts w:ascii="Arial" w:hAnsi="Arial" w:eastAsia="Times New Roman" w:cs="Arial"/>
                <w:sz w:val="20"/>
                <w:szCs w:val="20"/>
                <w:lang w:eastAsia="es-SV"/>
              </w:rPr>
            </w:pPr>
            <w:r w:rsidRPr="0032511F">
              <w:rPr>
                <w:rFonts w:ascii="Arial" w:hAnsi="Arial" w:cs="Arial"/>
                <w:sz w:val="20"/>
                <w:szCs w:val="20"/>
              </w:rPr>
              <w:t>15 años</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32AA60BB" w14:textId="69923CF2">
            <w:pPr>
              <w:spacing w:after="0" w:line="240" w:lineRule="auto"/>
              <w:jc w:val="center"/>
              <w:textAlignment w:val="center"/>
              <w:rPr>
                <w:rFonts w:ascii="Arial" w:hAnsi="Arial" w:cs="Arial"/>
                <w:color w:val="4472C4" w:themeColor="accent1"/>
                <w:sz w:val="20"/>
                <w:szCs w:val="20"/>
              </w:rPr>
            </w:pPr>
            <w:r w:rsidRPr="0032511F">
              <w:rPr>
                <w:rFonts w:ascii="Arial" w:hAnsi="Arial" w:cs="Arial"/>
                <w:color w:val="0000FF"/>
                <w:sz w:val="20"/>
                <w:szCs w:val="20"/>
              </w:rPr>
              <w:t>9</w:t>
            </w:r>
            <w:r w:rsidR="00D10780">
              <w:rPr>
                <w:rFonts w:ascii="Arial" w:hAnsi="Arial" w:cs="Arial"/>
                <w:color w:val="0000FF"/>
                <w:sz w:val="20"/>
                <w:szCs w:val="20"/>
              </w:rPr>
              <w:t>,</w:t>
            </w:r>
            <w:r w:rsidRPr="0032511F">
              <w:rPr>
                <w:rFonts w:ascii="Arial" w:hAnsi="Arial" w:cs="Arial"/>
                <w:color w:val="0000FF"/>
                <w:sz w:val="20"/>
                <w:szCs w:val="20"/>
              </w:rPr>
              <w:t>99%</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4D4DC491" w14:textId="77777777">
            <w:pPr>
              <w:spacing w:after="0" w:line="240" w:lineRule="auto"/>
              <w:jc w:val="center"/>
              <w:textAlignment w:val="center"/>
              <w:rPr>
                <w:rFonts w:ascii="Arial" w:hAnsi="Arial" w:cs="Arial"/>
                <w:sz w:val="20"/>
                <w:szCs w:val="20"/>
              </w:rPr>
            </w:pPr>
            <w:r w:rsidRPr="0032511F">
              <w:rPr>
                <w:rFonts w:ascii="Arial" w:hAnsi="Arial" w:cs="Arial"/>
                <w:sz w:val="20"/>
                <w:szCs w:val="20"/>
              </w:rPr>
              <w:t>10%</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13" w:type="dxa"/>
              <w:bottom w:w="0" w:type="dxa"/>
              <w:right w:w="57" w:type="dxa"/>
            </w:tcMar>
            <w:vAlign w:val="center"/>
          </w:tcPr>
          <w:p w:rsidRPr="0032511F" w:rsidR="00F364D7" w:rsidP="00F364D7" w:rsidRDefault="00F364D7" w14:paraId="3B7AD853" w14:textId="77777777">
            <w:pPr>
              <w:spacing w:after="0" w:line="240" w:lineRule="auto"/>
              <w:jc w:val="center"/>
              <w:textAlignment w:val="center"/>
              <w:rPr>
                <w:rFonts w:ascii="Arial" w:hAnsi="Arial" w:cs="Arial"/>
                <w:sz w:val="20"/>
                <w:szCs w:val="20"/>
              </w:rPr>
            </w:pPr>
            <w:r w:rsidRPr="0032511F">
              <w:rPr>
                <w:rFonts w:ascii="Arial" w:hAnsi="Arial" w:cs="Arial"/>
                <w:sz w:val="20"/>
                <w:szCs w:val="20"/>
              </w:rPr>
              <w:t>90%</w:t>
            </w:r>
          </w:p>
        </w:tc>
      </w:tr>
    </w:tbl>
    <w:p w:rsidRPr="0032511F" w:rsidR="00B324B2" w:rsidP="00BF3655" w:rsidRDefault="00B324B2" w14:paraId="699B1059" w14:textId="3E472BCC">
      <w:pPr>
        <w:pStyle w:val="ListParagraph"/>
        <w:spacing w:after="0" w:line="276" w:lineRule="auto"/>
        <w:ind w:left="0"/>
        <w:jc w:val="both"/>
        <w:rPr>
          <w:rFonts w:ascii="Arial" w:hAnsi="Arial" w:cs="Arial"/>
        </w:rPr>
      </w:pPr>
    </w:p>
    <w:p w:rsidRPr="0032511F" w:rsidR="004479F1" w:rsidP="004479F1" w:rsidRDefault="00D46F29" w14:paraId="14434E3B" w14:textId="74A348D2">
      <w:pPr>
        <w:pStyle w:val="ListParagraph"/>
        <w:spacing w:after="0" w:line="276" w:lineRule="auto"/>
        <w:ind w:left="0"/>
        <w:jc w:val="both"/>
        <w:rPr>
          <w:rFonts w:ascii="Arial" w:hAnsi="Arial" w:cs="Arial"/>
        </w:rPr>
      </w:pPr>
      <w:r w:rsidRPr="0032511F">
        <w:rPr>
          <w:rFonts w:ascii="Arial" w:hAnsi="Arial" w:cs="Arial"/>
        </w:rPr>
        <w:t>Las reformas han dado</w:t>
      </w:r>
      <w:r w:rsidRPr="0032511F" w:rsidR="00807546">
        <w:rPr>
          <w:rFonts w:ascii="Arial" w:hAnsi="Arial" w:cs="Arial"/>
        </w:rPr>
        <w:t xml:space="preserve"> un</w:t>
      </w:r>
      <w:r w:rsidRPr="0032511F">
        <w:rPr>
          <w:rFonts w:ascii="Arial" w:hAnsi="Arial" w:cs="Arial"/>
        </w:rPr>
        <w:t xml:space="preserve"> resultado</w:t>
      </w:r>
      <w:r w:rsidRPr="0032511F" w:rsidR="00807546">
        <w:rPr>
          <w:rFonts w:ascii="Arial" w:hAnsi="Arial" w:cs="Arial"/>
        </w:rPr>
        <w:t xml:space="preserve"> positivo</w:t>
      </w:r>
      <w:r w:rsidRPr="0032511F" w:rsidR="003B1459">
        <w:rPr>
          <w:rFonts w:ascii="Arial" w:hAnsi="Arial" w:cs="Arial"/>
        </w:rPr>
        <w:t xml:space="preserve">, esto es evidenciable </w:t>
      </w:r>
      <w:r w:rsidRPr="0032511F">
        <w:rPr>
          <w:rFonts w:ascii="Arial" w:hAnsi="Arial" w:cs="Arial"/>
        </w:rPr>
        <w:t>en términos de</w:t>
      </w:r>
      <w:r w:rsidRPr="0032511F" w:rsidR="003B1459">
        <w:rPr>
          <w:rFonts w:ascii="Arial" w:hAnsi="Arial" w:cs="Arial"/>
        </w:rPr>
        <w:t xml:space="preserve">l </w:t>
      </w:r>
      <w:r w:rsidRPr="0032511F">
        <w:rPr>
          <w:rFonts w:ascii="Arial" w:hAnsi="Arial" w:cs="Arial"/>
        </w:rPr>
        <w:t xml:space="preserve">incremento en la demanda de créditos, se puede observar en la siguiente tabla que en los últimos 12 meses </w:t>
      </w:r>
      <w:r w:rsidRPr="0032511F" w:rsidR="003B1459">
        <w:rPr>
          <w:rFonts w:ascii="Arial" w:hAnsi="Arial" w:cs="Arial"/>
        </w:rPr>
        <w:t>con datos del S</w:t>
      </w:r>
      <w:r w:rsidRPr="0032511F" w:rsidR="004479F1">
        <w:rPr>
          <w:rFonts w:ascii="Arial" w:hAnsi="Arial" w:cs="Arial"/>
        </w:rPr>
        <w:t>istema de Simulación de Crédito del FSV</w:t>
      </w:r>
      <w:r w:rsidRPr="0032511F" w:rsidR="00DD6D07">
        <w:rPr>
          <w:rFonts w:ascii="Arial" w:hAnsi="Arial" w:cs="Arial"/>
        </w:rPr>
        <w:t xml:space="preserve"> que es la</w:t>
      </w:r>
      <w:r w:rsidRPr="0032511F" w:rsidR="003B1459">
        <w:rPr>
          <w:rFonts w:ascii="Arial" w:hAnsi="Arial" w:cs="Arial"/>
        </w:rPr>
        <w:t xml:space="preserve"> herramienta </w:t>
      </w:r>
      <w:r w:rsidRPr="0032511F" w:rsidR="004479F1">
        <w:rPr>
          <w:rFonts w:ascii="Arial" w:hAnsi="Arial" w:cs="Arial"/>
        </w:rPr>
        <w:t xml:space="preserve">para precalificación </w:t>
      </w:r>
      <w:r w:rsidRPr="0032511F" w:rsidR="003B1459">
        <w:rPr>
          <w:rFonts w:ascii="Arial" w:hAnsi="Arial" w:cs="Arial"/>
        </w:rPr>
        <w:t>que</w:t>
      </w:r>
      <w:r w:rsidRPr="0032511F" w:rsidR="004479F1">
        <w:rPr>
          <w:rFonts w:ascii="Arial" w:hAnsi="Arial" w:cs="Arial"/>
        </w:rPr>
        <w:t xml:space="preserve"> le permite al cliente o interesado conocer inmediatamente la factibilidad de aplicar a financiamiento para una solución habitacional con la Institución.</w:t>
      </w:r>
      <w:r w:rsidRPr="0032511F" w:rsidR="00F03D75">
        <w:rPr>
          <w:rFonts w:ascii="Arial" w:hAnsi="Arial" w:cs="Arial"/>
        </w:rPr>
        <w:t xml:space="preserve"> </w:t>
      </w:r>
      <w:r w:rsidRPr="0032511F" w:rsidR="004479F1">
        <w:rPr>
          <w:rFonts w:ascii="Arial" w:hAnsi="Arial" w:cs="Arial"/>
        </w:rPr>
        <w:t>Asimismo, se utiliza como un insumo para el Fondo, los constructores o investigadores del tema de vivienda, para que puedan conocer y medir la intención de compra de los clientes potenciales que han proporcionado sus datos al FSV, mediante estadísticas generales. La información es dinámica, incrementándose cada vez que un cliente se precalifica y reduciéndose cuando tramita un crédito o ha transcurrido un año de haber sido creada la precalificación.</w:t>
      </w:r>
    </w:p>
    <w:p w:rsidRPr="0032511F" w:rsidR="00F46736" w:rsidP="004479F1" w:rsidRDefault="00F46736" w14:paraId="7330BE47" w14:textId="77777777">
      <w:pPr>
        <w:pStyle w:val="ListParagraph"/>
        <w:spacing w:after="0" w:line="276" w:lineRule="auto"/>
        <w:ind w:left="0"/>
        <w:jc w:val="both"/>
        <w:rPr>
          <w:rFonts w:ascii="Arial" w:hAnsi="Arial" w:cs="Arial"/>
        </w:rPr>
      </w:pPr>
    </w:p>
    <w:tbl>
      <w:tblPr>
        <w:tblW w:w="87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838"/>
        <w:gridCol w:w="1153"/>
        <w:gridCol w:w="1257"/>
        <w:gridCol w:w="1276"/>
        <w:gridCol w:w="1472"/>
        <w:gridCol w:w="1762"/>
        <w:gridCol w:w="8"/>
      </w:tblGrid>
      <w:tr w:rsidRPr="0032511F" w:rsidR="004479F1" w:rsidTr="006B3A11" w14:paraId="323B82FC" w14:textId="77777777">
        <w:trPr>
          <w:gridAfter w:val="1"/>
          <w:wAfter w:w="8" w:type="dxa"/>
          <w:trHeight w:val="600"/>
          <w:tblHeader/>
          <w:jc w:val="center"/>
        </w:trPr>
        <w:tc>
          <w:tcPr>
            <w:tcW w:w="1838" w:type="dxa"/>
            <w:shd w:val="clear" w:color="auto" w:fill="323E4F" w:themeFill="text2" w:themeFillShade="BF"/>
            <w:vAlign w:val="center"/>
            <w:hideMark/>
          </w:tcPr>
          <w:p w:rsidRPr="0032511F" w:rsidR="004479F1" w:rsidP="004479F1" w:rsidRDefault="004479F1" w14:paraId="1BCEEB47" w14:textId="4B329955">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lastRenderedPageBreak/>
              <w:t>Ingreso mensual por Salario mínimo (SM)</w:t>
            </w:r>
          </w:p>
        </w:tc>
        <w:tc>
          <w:tcPr>
            <w:tcW w:w="1153" w:type="dxa"/>
            <w:shd w:val="clear" w:color="auto" w:fill="323E4F" w:themeFill="text2" w:themeFillShade="BF"/>
            <w:vAlign w:val="center"/>
            <w:hideMark/>
          </w:tcPr>
          <w:p w:rsidRPr="0032511F" w:rsidR="004479F1" w:rsidP="004479F1" w:rsidRDefault="004479F1" w14:paraId="6C24D3F0"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Aplicantes</w:t>
            </w:r>
          </w:p>
        </w:tc>
        <w:tc>
          <w:tcPr>
            <w:tcW w:w="1257" w:type="dxa"/>
            <w:tcBorders>
              <w:bottom w:val="single" w:color="auto" w:sz="4" w:space="0"/>
            </w:tcBorders>
            <w:shd w:val="clear" w:color="auto" w:fill="323E4F" w:themeFill="text2" w:themeFillShade="BF"/>
            <w:vAlign w:val="center"/>
          </w:tcPr>
          <w:p w:rsidRPr="0032511F" w:rsidR="004479F1" w:rsidP="004479F1" w:rsidRDefault="004479F1" w14:paraId="56AF2C76" w14:textId="2C14FF15">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 relativo</w:t>
            </w:r>
          </w:p>
        </w:tc>
        <w:tc>
          <w:tcPr>
            <w:tcW w:w="1276" w:type="dxa"/>
            <w:tcBorders>
              <w:bottom w:val="single" w:color="auto" w:sz="4" w:space="0"/>
            </w:tcBorders>
            <w:shd w:val="clear" w:color="auto" w:fill="323E4F" w:themeFill="text2" w:themeFillShade="BF"/>
            <w:vAlign w:val="center"/>
          </w:tcPr>
          <w:p w:rsidRPr="0032511F" w:rsidR="004479F1" w:rsidP="004479F1" w:rsidRDefault="004479F1" w14:paraId="3B25BC02" w14:textId="26184E3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 acumulado</w:t>
            </w:r>
          </w:p>
        </w:tc>
        <w:tc>
          <w:tcPr>
            <w:tcW w:w="1472" w:type="dxa"/>
            <w:shd w:val="clear" w:color="auto" w:fill="323E4F" w:themeFill="text2" w:themeFillShade="BF"/>
            <w:vAlign w:val="center"/>
            <w:hideMark/>
          </w:tcPr>
          <w:p w:rsidRPr="0032511F" w:rsidR="004479F1" w:rsidP="004479F1" w:rsidRDefault="004479F1" w14:paraId="5BE39386" w14:textId="1FBD45A6">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Créditos Promedio</w:t>
            </w:r>
          </w:p>
        </w:tc>
        <w:tc>
          <w:tcPr>
            <w:tcW w:w="1762" w:type="dxa"/>
            <w:shd w:val="clear" w:color="auto" w:fill="323E4F" w:themeFill="text2" w:themeFillShade="BF"/>
            <w:vAlign w:val="center"/>
            <w:hideMark/>
          </w:tcPr>
          <w:p w:rsidRPr="0032511F" w:rsidR="004479F1" w:rsidP="004479F1" w:rsidRDefault="004479F1" w14:paraId="449F66E7"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Monto total</w:t>
            </w:r>
          </w:p>
        </w:tc>
      </w:tr>
      <w:tr w:rsidRPr="0032511F" w:rsidR="004479F1" w:rsidTr="008068F8" w14:paraId="49C59611" w14:textId="77777777">
        <w:trPr>
          <w:gridAfter w:val="1"/>
          <w:wAfter w:w="8" w:type="dxa"/>
          <w:trHeight w:val="300"/>
          <w:tblHeader/>
          <w:jc w:val="center"/>
        </w:trPr>
        <w:tc>
          <w:tcPr>
            <w:tcW w:w="1838" w:type="dxa"/>
            <w:shd w:val="clear" w:color="auto" w:fill="auto"/>
            <w:vAlign w:val="center"/>
            <w:hideMark/>
          </w:tcPr>
          <w:p w:rsidRPr="0032511F" w:rsidR="004479F1" w:rsidP="004479F1" w:rsidRDefault="004479F1" w14:paraId="301CD9EF" w14:textId="3B261C5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Hasta 1 SM</w:t>
            </w:r>
          </w:p>
        </w:tc>
        <w:tc>
          <w:tcPr>
            <w:tcW w:w="1153" w:type="dxa"/>
            <w:shd w:val="clear" w:color="auto" w:fill="auto"/>
            <w:vAlign w:val="center"/>
            <w:hideMark/>
          </w:tcPr>
          <w:p w:rsidRPr="0032511F" w:rsidR="004479F1" w:rsidP="004479F1" w:rsidRDefault="004479F1" w14:paraId="5DE17E3D" w14:textId="767B2383">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4</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463</w:t>
            </w:r>
          </w:p>
        </w:tc>
        <w:tc>
          <w:tcPr>
            <w:tcW w:w="1257" w:type="dxa"/>
            <w:tcBorders>
              <w:top w:val="single" w:color="auto" w:sz="4" w:space="0"/>
              <w:left w:val="nil"/>
              <w:bottom w:val="single" w:color="auto" w:sz="4" w:space="0"/>
              <w:right w:val="single" w:color="auto" w:sz="4" w:space="0"/>
            </w:tcBorders>
            <w:shd w:val="clear" w:color="auto" w:fill="auto"/>
            <w:vAlign w:val="bottom"/>
          </w:tcPr>
          <w:p w:rsidRPr="0032511F" w:rsidR="004479F1" w:rsidP="004479F1" w:rsidRDefault="004479F1" w14:paraId="35D67585" w14:textId="68E52C12">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14</w:t>
            </w:r>
            <w:r w:rsidR="006A08A7">
              <w:rPr>
                <w:rFonts w:ascii="Arial" w:hAnsi="Arial" w:cs="Arial"/>
                <w:color w:val="000000"/>
                <w:sz w:val="20"/>
                <w:szCs w:val="20"/>
              </w:rPr>
              <w:t>,</w:t>
            </w:r>
            <w:r w:rsidRPr="0032511F">
              <w:rPr>
                <w:rFonts w:ascii="Arial" w:hAnsi="Arial" w:cs="Arial"/>
                <w:color w:val="000000"/>
                <w:sz w:val="20"/>
                <w:szCs w:val="20"/>
              </w:rPr>
              <w:t>6%</w:t>
            </w:r>
          </w:p>
        </w:tc>
        <w:tc>
          <w:tcPr>
            <w:tcW w:w="1276" w:type="dxa"/>
            <w:tcBorders>
              <w:top w:val="single" w:color="auto" w:sz="4" w:space="0"/>
              <w:left w:val="single" w:color="auto" w:sz="4" w:space="0"/>
              <w:bottom w:val="single" w:color="auto" w:sz="4" w:space="0"/>
              <w:right w:val="nil"/>
            </w:tcBorders>
            <w:shd w:val="clear" w:color="auto" w:fill="auto"/>
            <w:vAlign w:val="bottom"/>
          </w:tcPr>
          <w:p w:rsidRPr="0032511F" w:rsidR="004479F1" w:rsidP="004479F1" w:rsidRDefault="004479F1" w14:paraId="7386D002" w14:textId="18D136E0">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14</w:t>
            </w:r>
            <w:r w:rsidR="006A08A7">
              <w:rPr>
                <w:rFonts w:ascii="Arial" w:hAnsi="Arial" w:cs="Arial"/>
                <w:color w:val="000000"/>
                <w:sz w:val="20"/>
                <w:szCs w:val="20"/>
              </w:rPr>
              <w:t>,</w:t>
            </w:r>
            <w:r w:rsidRPr="0032511F">
              <w:rPr>
                <w:rFonts w:ascii="Arial" w:hAnsi="Arial" w:cs="Arial"/>
                <w:color w:val="000000"/>
                <w:sz w:val="20"/>
                <w:szCs w:val="20"/>
              </w:rPr>
              <w:t>6%</w:t>
            </w:r>
          </w:p>
        </w:tc>
        <w:tc>
          <w:tcPr>
            <w:tcW w:w="1472" w:type="dxa"/>
            <w:shd w:val="clear" w:color="auto" w:fill="auto"/>
            <w:vAlign w:val="center"/>
            <w:hideMark/>
          </w:tcPr>
          <w:p w:rsidRPr="0032511F" w:rsidR="004479F1" w:rsidP="004479F1" w:rsidRDefault="004479F1" w14:paraId="2EB4D0E3" w14:textId="31F27ABE">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$11</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841</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29</w:t>
            </w:r>
          </w:p>
        </w:tc>
        <w:tc>
          <w:tcPr>
            <w:tcW w:w="1762" w:type="dxa"/>
            <w:shd w:val="clear" w:color="auto" w:fill="auto"/>
            <w:vAlign w:val="center"/>
            <w:hideMark/>
          </w:tcPr>
          <w:p w:rsidRPr="0032511F" w:rsidR="004479F1" w:rsidP="004479F1" w:rsidRDefault="004479F1" w14:paraId="69BE6F6D" w14:textId="357C352D">
            <w:pPr>
              <w:spacing w:after="0" w:line="240" w:lineRule="auto"/>
              <w:jc w:val="right"/>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$52</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847</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688</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83</w:t>
            </w:r>
          </w:p>
        </w:tc>
      </w:tr>
      <w:tr w:rsidRPr="0032511F" w:rsidR="004479F1" w:rsidTr="008068F8" w14:paraId="65CE2FEB" w14:textId="77777777">
        <w:trPr>
          <w:gridAfter w:val="1"/>
          <w:wAfter w:w="8" w:type="dxa"/>
          <w:trHeight w:val="300"/>
          <w:tblHeader/>
          <w:jc w:val="center"/>
        </w:trPr>
        <w:tc>
          <w:tcPr>
            <w:tcW w:w="1838" w:type="dxa"/>
            <w:shd w:val="clear" w:color="auto" w:fill="auto"/>
            <w:vAlign w:val="center"/>
            <w:hideMark/>
          </w:tcPr>
          <w:p w:rsidRPr="0032511F" w:rsidR="004479F1" w:rsidP="004479F1" w:rsidRDefault="004479F1" w14:paraId="3C1AF27A" w14:textId="24AF22C0">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De 1 a 2 SM</w:t>
            </w:r>
          </w:p>
        </w:tc>
        <w:tc>
          <w:tcPr>
            <w:tcW w:w="1153" w:type="dxa"/>
            <w:shd w:val="clear" w:color="auto" w:fill="auto"/>
            <w:vAlign w:val="center"/>
            <w:hideMark/>
          </w:tcPr>
          <w:p w:rsidRPr="0032511F" w:rsidR="004479F1" w:rsidP="004479F1" w:rsidRDefault="004479F1" w14:paraId="70D5062A" w14:textId="5ABBF221">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14</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295</w:t>
            </w:r>
          </w:p>
        </w:tc>
        <w:tc>
          <w:tcPr>
            <w:tcW w:w="1257" w:type="dxa"/>
            <w:tcBorders>
              <w:top w:val="single" w:color="auto" w:sz="4" w:space="0"/>
              <w:left w:val="nil"/>
              <w:bottom w:val="single" w:color="auto" w:sz="4" w:space="0"/>
              <w:right w:val="single" w:color="auto" w:sz="4" w:space="0"/>
            </w:tcBorders>
            <w:shd w:val="clear" w:color="auto" w:fill="auto"/>
            <w:vAlign w:val="bottom"/>
          </w:tcPr>
          <w:p w:rsidRPr="0032511F" w:rsidR="004479F1" w:rsidP="004479F1" w:rsidRDefault="004479F1" w14:paraId="3723C414" w14:textId="23199EB3">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46</w:t>
            </w:r>
            <w:r w:rsidR="006A08A7">
              <w:rPr>
                <w:rFonts w:ascii="Arial" w:hAnsi="Arial" w:cs="Arial"/>
                <w:color w:val="000000"/>
                <w:sz w:val="20"/>
                <w:szCs w:val="20"/>
              </w:rPr>
              <w:t>,</w:t>
            </w:r>
            <w:r w:rsidRPr="0032511F">
              <w:rPr>
                <w:rFonts w:ascii="Arial" w:hAnsi="Arial" w:cs="Arial"/>
                <w:color w:val="000000"/>
                <w:sz w:val="20"/>
                <w:szCs w:val="20"/>
              </w:rPr>
              <w:t>8%</w:t>
            </w:r>
          </w:p>
        </w:tc>
        <w:tc>
          <w:tcPr>
            <w:tcW w:w="1276" w:type="dxa"/>
            <w:tcBorders>
              <w:top w:val="single" w:color="auto" w:sz="4" w:space="0"/>
              <w:left w:val="single" w:color="auto" w:sz="4" w:space="0"/>
              <w:bottom w:val="single" w:color="auto" w:sz="4" w:space="0"/>
              <w:right w:val="nil"/>
            </w:tcBorders>
            <w:shd w:val="clear" w:color="auto" w:fill="auto"/>
            <w:vAlign w:val="bottom"/>
          </w:tcPr>
          <w:p w:rsidRPr="0032511F" w:rsidR="004479F1" w:rsidP="004479F1" w:rsidRDefault="004479F1" w14:paraId="53211A84" w14:textId="175D5288">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61</w:t>
            </w:r>
            <w:r w:rsidR="006A08A7">
              <w:rPr>
                <w:rFonts w:ascii="Arial" w:hAnsi="Arial" w:cs="Arial"/>
                <w:color w:val="000000"/>
                <w:sz w:val="20"/>
                <w:szCs w:val="20"/>
              </w:rPr>
              <w:t>,</w:t>
            </w:r>
            <w:r w:rsidRPr="0032511F">
              <w:rPr>
                <w:rFonts w:ascii="Arial" w:hAnsi="Arial" w:cs="Arial"/>
                <w:color w:val="000000"/>
                <w:sz w:val="20"/>
                <w:szCs w:val="20"/>
              </w:rPr>
              <w:t>4%</w:t>
            </w:r>
          </w:p>
        </w:tc>
        <w:tc>
          <w:tcPr>
            <w:tcW w:w="1472" w:type="dxa"/>
            <w:shd w:val="clear" w:color="auto" w:fill="auto"/>
            <w:vAlign w:val="center"/>
            <w:hideMark/>
          </w:tcPr>
          <w:p w:rsidRPr="0032511F" w:rsidR="004479F1" w:rsidP="004479F1" w:rsidRDefault="004479F1" w14:paraId="375A5CEA" w14:textId="473C4A1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$15</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535</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53</w:t>
            </w:r>
          </w:p>
        </w:tc>
        <w:tc>
          <w:tcPr>
            <w:tcW w:w="1762" w:type="dxa"/>
            <w:shd w:val="clear" w:color="auto" w:fill="auto"/>
            <w:vAlign w:val="center"/>
            <w:hideMark/>
          </w:tcPr>
          <w:p w:rsidRPr="0032511F" w:rsidR="004479F1" w:rsidP="004479F1" w:rsidRDefault="004479F1" w14:paraId="20AB46F7" w14:textId="677CA42E">
            <w:pPr>
              <w:spacing w:after="0" w:line="240" w:lineRule="auto"/>
              <w:jc w:val="right"/>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$222</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080</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399</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18</w:t>
            </w:r>
          </w:p>
        </w:tc>
      </w:tr>
      <w:tr w:rsidRPr="0032511F" w:rsidR="004479F1" w:rsidTr="008068F8" w14:paraId="30ACB2B1" w14:textId="77777777">
        <w:trPr>
          <w:gridAfter w:val="1"/>
          <w:wAfter w:w="8" w:type="dxa"/>
          <w:trHeight w:val="300"/>
          <w:tblHeader/>
          <w:jc w:val="center"/>
        </w:trPr>
        <w:tc>
          <w:tcPr>
            <w:tcW w:w="1838" w:type="dxa"/>
            <w:shd w:val="clear" w:color="auto" w:fill="auto"/>
            <w:vAlign w:val="center"/>
            <w:hideMark/>
          </w:tcPr>
          <w:p w:rsidRPr="0032511F" w:rsidR="004479F1" w:rsidP="004479F1" w:rsidRDefault="004479F1" w14:paraId="3211416F" w14:textId="6DD4EA9A">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De 2 a 3 SM</w:t>
            </w:r>
          </w:p>
        </w:tc>
        <w:tc>
          <w:tcPr>
            <w:tcW w:w="1153" w:type="dxa"/>
            <w:shd w:val="clear" w:color="auto" w:fill="auto"/>
            <w:vAlign w:val="center"/>
            <w:hideMark/>
          </w:tcPr>
          <w:p w:rsidRPr="0032511F" w:rsidR="004479F1" w:rsidP="004479F1" w:rsidRDefault="004479F1" w14:paraId="5B080ADA" w14:textId="242DFE9A">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5</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130</w:t>
            </w:r>
          </w:p>
        </w:tc>
        <w:tc>
          <w:tcPr>
            <w:tcW w:w="1257" w:type="dxa"/>
            <w:tcBorders>
              <w:top w:val="single" w:color="auto" w:sz="4" w:space="0"/>
              <w:left w:val="nil"/>
              <w:bottom w:val="single" w:color="auto" w:sz="4" w:space="0"/>
              <w:right w:val="single" w:color="auto" w:sz="4" w:space="0"/>
            </w:tcBorders>
            <w:shd w:val="clear" w:color="auto" w:fill="auto"/>
            <w:vAlign w:val="bottom"/>
          </w:tcPr>
          <w:p w:rsidRPr="0032511F" w:rsidR="004479F1" w:rsidP="004479F1" w:rsidRDefault="004479F1" w14:paraId="350BC1EF" w14:textId="365E6645">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16</w:t>
            </w:r>
            <w:r w:rsidR="006A08A7">
              <w:rPr>
                <w:rFonts w:ascii="Arial" w:hAnsi="Arial" w:cs="Arial"/>
                <w:color w:val="000000"/>
                <w:sz w:val="20"/>
                <w:szCs w:val="20"/>
              </w:rPr>
              <w:t>,</w:t>
            </w:r>
            <w:r w:rsidRPr="0032511F">
              <w:rPr>
                <w:rFonts w:ascii="Arial" w:hAnsi="Arial" w:cs="Arial"/>
                <w:color w:val="000000"/>
                <w:sz w:val="20"/>
                <w:szCs w:val="20"/>
              </w:rPr>
              <w:t>8%</w:t>
            </w:r>
          </w:p>
        </w:tc>
        <w:tc>
          <w:tcPr>
            <w:tcW w:w="1276" w:type="dxa"/>
            <w:tcBorders>
              <w:top w:val="single" w:color="auto" w:sz="4" w:space="0"/>
              <w:left w:val="single" w:color="auto" w:sz="4" w:space="0"/>
              <w:bottom w:val="single" w:color="auto" w:sz="4" w:space="0"/>
              <w:right w:val="nil"/>
            </w:tcBorders>
            <w:shd w:val="clear" w:color="auto" w:fill="auto"/>
            <w:vAlign w:val="bottom"/>
          </w:tcPr>
          <w:p w:rsidRPr="0032511F" w:rsidR="004479F1" w:rsidP="004479F1" w:rsidRDefault="004479F1" w14:paraId="6BF82370" w14:textId="49D802D6">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78</w:t>
            </w:r>
            <w:r w:rsidR="006A08A7">
              <w:rPr>
                <w:rFonts w:ascii="Arial" w:hAnsi="Arial" w:cs="Arial"/>
                <w:color w:val="000000"/>
                <w:sz w:val="20"/>
                <w:szCs w:val="20"/>
              </w:rPr>
              <w:t>,</w:t>
            </w:r>
            <w:r w:rsidRPr="0032511F">
              <w:rPr>
                <w:rFonts w:ascii="Arial" w:hAnsi="Arial" w:cs="Arial"/>
                <w:color w:val="000000"/>
                <w:sz w:val="20"/>
                <w:szCs w:val="20"/>
              </w:rPr>
              <w:t>3%</w:t>
            </w:r>
          </w:p>
        </w:tc>
        <w:tc>
          <w:tcPr>
            <w:tcW w:w="1472" w:type="dxa"/>
            <w:shd w:val="clear" w:color="auto" w:fill="auto"/>
            <w:vAlign w:val="center"/>
            <w:hideMark/>
          </w:tcPr>
          <w:p w:rsidRPr="0032511F" w:rsidR="004479F1" w:rsidP="004479F1" w:rsidRDefault="004479F1" w14:paraId="5E952AA1" w14:textId="6F4AB218">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$23</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811</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75</w:t>
            </w:r>
          </w:p>
        </w:tc>
        <w:tc>
          <w:tcPr>
            <w:tcW w:w="1762" w:type="dxa"/>
            <w:shd w:val="clear" w:color="auto" w:fill="auto"/>
            <w:vAlign w:val="center"/>
            <w:hideMark/>
          </w:tcPr>
          <w:p w:rsidRPr="0032511F" w:rsidR="004479F1" w:rsidP="004479F1" w:rsidRDefault="004479F1" w14:paraId="1B914FBC" w14:textId="5E6776ED">
            <w:pPr>
              <w:spacing w:after="0" w:line="240" w:lineRule="auto"/>
              <w:jc w:val="right"/>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$122</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154</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296</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96</w:t>
            </w:r>
          </w:p>
        </w:tc>
      </w:tr>
      <w:tr w:rsidRPr="0032511F" w:rsidR="004479F1" w:rsidTr="008068F8" w14:paraId="19EEFE59" w14:textId="77777777">
        <w:trPr>
          <w:gridAfter w:val="1"/>
          <w:wAfter w:w="8" w:type="dxa"/>
          <w:trHeight w:val="300"/>
          <w:tblHeader/>
          <w:jc w:val="center"/>
        </w:trPr>
        <w:tc>
          <w:tcPr>
            <w:tcW w:w="1838" w:type="dxa"/>
            <w:shd w:val="clear" w:color="auto" w:fill="auto"/>
            <w:vAlign w:val="center"/>
            <w:hideMark/>
          </w:tcPr>
          <w:p w:rsidRPr="0032511F" w:rsidR="004479F1" w:rsidP="004479F1" w:rsidRDefault="004479F1" w14:paraId="6C501082" w14:textId="51F74573">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De 3 a 4 SM</w:t>
            </w:r>
          </w:p>
        </w:tc>
        <w:tc>
          <w:tcPr>
            <w:tcW w:w="1153" w:type="dxa"/>
            <w:shd w:val="clear" w:color="auto" w:fill="auto"/>
            <w:vAlign w:val="center"/>
            <w:hideMark/>
          </w:tcPr>
          <w:p w:rsidRPr="0032511F" w:rsidR="004479F1" w:rsidP="004479F1" w:rsidRDefault="004479F1" w14:paraId="56962DC2" w14:textId="26233014">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393</w:t>
            </w:r>
          </w:p>
        </w:tc>
        <w:tc>
          <w:tcPr>
            <w:tcW w:w="1257" w:type="dxa"/>
            <w:tcBorders>
              <w:top w:val="single" w:color="auto" w:sz="4" w:space="0"/>
              <w:left w:val="nil"/>
              <w:bottom w:val="single" w:color="auto" w:sz="4" w:space="0"/>
              <w:right w:val="single" w:color="auto" w:sz="4" w:space="0"/>
            </w:tcBorders>
            <w:shd w:val="clear" w:color="auto" w:fill="auto"/>
            <w:vAlign w:val="bottom"/>
          </w:tcPr>
          <w:p w:rsidRPr="0032511F" w:rsidR="004479F1" w:rsidP="004479F1" w:rsidRDefault="004479F1" w14:paraId="084610BE" w14:textId="5EC0A09B">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7</w:t>
            </w:r>
            <w:r w:rsidR="006A08A7">
              <w:rPr>
                <w:rFonts w:ascii="Arial" w:hAnsi="Arial" w:cs="Arial"/>
                <w:color w:val="000000"/>
                <w:sz w:val="20"/>
                <w:szCs w:val="20"/>
              </w:rPr>
              <w:t>,</w:t>
            </w:r>
            <w:r w:rsidRPr="0032511F">
              <w:rPr>
                <w:rFonts w:ascii="Arial" w:hAnsi="Arial" w:cs="Arial"/>
                <w:color w:val="000000"/>
                <w:sz w:val="20"/>
                <w:szCs w:val="20"/>
              </w:rPr>
              <w:t>8%</w:t>
            </w:r>
          </w:p>
        </w:tc>
        <w:tc>
          <w:tcPr>
            <w:tcW w:w="1276" w:type="dxa"/>
            <w:tcBorders>
              <w:top w:val="single" w:color="auto" w:sz="4" w:space="0"/>
              <w:left w:val="single" w:color="auto" w:sz="4" w:space="0"/>
              <w:bottom w:val="single" w:color="auto" w:sz="4" w:space="0"/>
              <w:right w:val="nil"/>
            </w:tcBorders>
            <w:shd w:val="clear" w:color="auto" w:fill="auto"/>
            <w:vAlign w:val="bottom"/>
          </w:tcPr>
          <w:p w:rsidRPr="0032511F" w:rsidR="004479F1" w:rsidP="004479F1" w:rsidRDefault="004479F1" w14:paraId="73081A45" w14:textId="167E6169">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86</w:t>
            </w:r>
            <w:r w:rsidR="006A08A7">
              <w:rPr>
                <w:rFonts w:ascii="Arial" w:hAnsi="Arial" w:cs="Arial"/>
                <w:color w:val="000000"/>
                <w:sz w:val="20"/>
                <w:szCs w:val="20"/>
              </w:rPr>
              <w:t>,</w:t>
            </w:r>
            <w:r w:rsidRPr="0032511F">
              <w:rPr>
                <w:rFonts w:ascii="Arial" w:hAnsi="Arial" w:cs="Arial"/>
                <w:color w:val="000000"/>
                <w:sz w:val="20"/>
                <w:szCs w:val="20"/>
              </w:rPr>
              <w:t>1%</w:t>
            </w:r>
          </w:p>
        </w:tc>
        <w:tc>
          <w:tcPr>
            <w:tcW w:w="1472" w:type="dxa"/>
            <w:shd w:val="clear" w:color="auto" w:fill="auto"/>
            <w:vAlign w:val="center"/>
            <w:hideMark/>
          </w:tcPr>
          <w:p w:rsidRPr="0032511F" w:rsidR="004479F1" w:rsidP="004479F1" w:rsidRDefault="004479F1" w14:paraId="5A663FEB" w14:textId="3834CF3C">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$29</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488</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95</w:t>
            </w:r>
          </w:p>
        </w:tc>
        <w:tc>
          <w:tcPr>
            <w:tcW w:w="1762" w:type="dxa"/>
            <w:shd w:val="clear" w:color="auto" w:fill="auto"/>
            <w:vAlign w:val="center"/>
            <w:hideMark/>
          </w:tcPr>
          <w:p w:rsidRPr="0032511F" w:rsidR="004479F1" w:rsidP="004479F1" w:rsidRDefault="004479F1" w14:paraId="1FAF0F69" w14:textId="39A41DE8">
            <w:pPr>
              <w:spacing w:after="0" w:line="240" w:lineRule="auto"/>
              <w:jc w:val="right"/>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$70</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567</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058</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21</w:t>
            </w:r>
          </w:p>
        </w:tc>
      </w:tr>
      <w:tr w:rsidRPr="0032511F" w:rsidR="004479F1" w:rsidTr="008068F8" w14:paraId="5A8875D9" w14:textId="77777777">
        <w:trPr>
          <w:gridAfter w:val="1"/>
          <w:wAfter w:w="8" w:type="dxa"/>
          <w:trHeight w:val="300"/>
          <w:tblHeader/>
          <w:jc w:val="center"/>
        </w:trPr>
        <w:tc>
          <w:tcPr>
            <w:tcW w:w="1838" w:type="dxa"/>
            <w:shd w:val="clear" w:color="auto" w:fill="auto"/>
            <w:vAlign w:val="center"/>
            <w:hideMark/>
          </w:tcPr>
          <w:p w:rsidRPr="0032511F" w:rsidR="004479F1" w:rsidP="004479F1" w:rsidRDefault="004479F1" w14:paraId="00A04F96" w14:textId="54E8A7D6">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De 4 a 5 SM</w:t>
            </w:r>
          </w:p>
        </w:tc>
        <w:tc>
          <w:tcPr>
            <w:tcW w:w="1153" w:type="dxa"/>
            <w:shd w:val="clear" w:color="auto" w:fill="auto"/>
            <w:vAlign w:val="center"/>
            <w:hideMark/>
          </w:tcPr>
          <w:p w:rsidRPr="0032511F" w:rsidR="004479F1" w:rsidP="004479F1" w:rsidRDefault="004479F1" w14:paraId="2119EA43" w14:textId="4FDAB68A">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125</w:t>
            </w:r>
          </w:p>
        </w:tc>
        <w:tc>
          <w:tcPr>
            <w:tcW w:w="1257" w:type="dxa"/>
            <w:tcBorders>
              <w:top w:val="single" w:color="auto" w:sz="4" w:space="0"/>
              <w:left w:val="nil"/>
              <w:bottom w:val="single" w:color="auto" w:sz="4" w:space="0"/>
              <w:right w:val="single" w:color="auto" w:sz="4" w:space="0"/>
            </w:tcBorders>
            <w:shd w:val="clear" w:color="auto" w:fill="auto"/>
            <w:vAlign w:val="bottom"/>
          </w:tcPr>
          <w:p w:rsidRPr="0032511F" w:rsidR="004479F1" w:rsidP="004479F1" w:rsidRDefault="004479F1" w14:paraId="3FF0BAD8" w14:textId="526E6ED5">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3</w:t>
            </w:r>
            <w:r w:rsidR="006A08A7">
              <w:rPr>
                <w:rFonts w:ascii="Arial" w:hAnsi="Arial" w:cs="Arial"/>
                <w:color w:val="000000"/>
                <w:sz w:val="20"/>
                <w:szCs w:val="20"/>
              </w:rPr>
              <w:t>,</w:t>
            </w:r>
            <w:r w:rsidRPr="0032511F">
              <w:rPr>
                <w:rFonts w:ascii="Arial" w:hAnsi="Arial" w:cs="Arial"/>
                <w:color w:val="000000"/>
                <w:sz w:val="20"/>
                <w:szCs w:val="20"/>
              </w:rPr>
              <w:t>7%</w:t>
            </w:r>
          </w:p>
        </w:tc>
        <w:tc>
          <w:tcPr>
            <w:tcW w:w="1276" w:type="dxa"/>
            <w:tcBorders>
              <w:top w:val="single" w:color="auto" w:sz="4" w:space="0"/>
              <w:left w:val="single" w:color="auto" w:sz="4" w:space="0"/>
              <w:bottom w:val="single" w:color="auto" w:sz="4" w:space="0"/>
              <w:right w:val="nil"/>
            </w:tcBorders>
            <w:shd w:val="clear" w:color="auto" w:fill="auto"/>
            <w:vAlign w:val="bottom"/>
          </w:tcPr>
          <w:p w:rsidRPr="0032511F" w:rsidR="004479F1" w:rsidP="004479F1" w:rsidRDefault="004479F1" w14:paraId="1795013C" w14:textId="019F2EE3">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89</w:t>
            </w:r>
            <w:r w:rsidR="006A08A7">
              <w:rPr>
                <w:rFonts w:ascii="Arial" w:hAnsi="Arial" w:cs="Arial"/>
                <w:color w:val="000000"/>
                <w:sz w:val="20"/>
                <w:szCs w:val="20"/>
              </w:rPr>
              <w:t>,</w:t>
            </w:r>
            <w:r w:rsidRPr="0032511F">
              <w:rPr>
                <w:rFonts w:ascii="Arial" w:hAnsi="Arial" w:cs="Arial"/>
                <w:color w:val="000000"/>
                <w:sz w:val="20"/>
                <w:szCs w:val="20"/>
              </w:rPr>
              <w:t>8%</w:t>
            </w:r>
          </w:p>
        </w:tc>
        <w:tc>
          <w:tcPr>
            <w:tcW w:w="1472" w:type="dxa"/>
            <w:shd w:val="clear" w:color="auto" w:fill="auto"/>
            <w:vAlign w:val="center"/>
            <w:hideMark/>
          </w:tcPr>
          <w:p w:rsidRPr="0032511F" w:rsidR="004479F1" w:rsidP="004479F1" w:rsidRDefault="004479F1" w14:paraId="7A3CCBBA" w14:textId="4E9058F8">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$33</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565</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54</w:t>
            </w:r>
          </w:p>
        </w:tc>
        <w:tc>
          <w:tcPr>
            <w:tcW w:w="1762" w:type="dxa"/>
            <w:shd w:val="clear" w:color="auto" w:fill="auto"/>
            <w:vAlign w:val="center"/>
            <w:hideMark/>
          </w:tcPr>
          <w:p w:rsidRPr="0032511F" w:rsidR="004479F1" w:rsidP="004479F1" w:rsidRDefault="004479F1" w14:paraId="09609D8A" w14:textId="3AAFD6D7">
            <w:pPr>
              <w:spacing w:after="0" w:line="240" w:lineRule="auto"/>
              <w:jc w:val="right"/>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$37</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761</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234</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60</w:t>
            </w:r>
          </w:p>
        </w:tc>
      </w:tr>
      <w:tr w:rsidRPr="0032511F" w:rsidR="004479F1" w:rsidTr="008068F8" w14:paraId="59E46B64" w14:textId="77777777">
        <w:trPr>
          <w:gridAfter w:val="1"/>
          <w:wAfter w:w="8" w:type="dxa"/>
          <w:trHeight w:val="300"/>
          <w:tblHeader/>
          <w:jc w:val="center"/>
        </w:trPr>
        <w:tc>
          <w:tcPr>
            <w:tcW w:w="1838" w:type="dxa"/>
            <w:shd w:val="clear" w:color="auto" w:fill="auto"/>
            <w:vAlign w:val="center"/>
            <w:hideMark/>
          </w:tcPr>
          <w:p w:rsidRPr="0032511F" w:rsidR="004479F1" w:rsidP="004479F1" w:rsidRDefault="004479F1" w14:paraId="401DE0F2" w14:textId="2FA81D22">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De 5 a 6 SM</w:t>
            </w:r>
          </w:p>
        </w:tc>
        <w:tc>
          <w:tcPr>
            <w:tcW w:w="1153" w:type="dxa"/>
            <w:shd w:val="clear" w:color="auto" w:fill="auto"/>
            <w:vAlign w:val="center"/>
            <w:hideMark/>
          </w:tcPr>
          <w:p w:rsidRPr="0032511F" w:rsidR="004479F1" w:rsidP="004479F1" w:rsidRDefault="004479F1" w14:paraId="554B78F5"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687</w:t>
            </w:r>
          </w:p>
        </w:tc>
        <w:tc>
          <w:tcPr>
            <w:tcW w:w="1257" w:type="dxa"/>
            <w:tcBorders>
              <w:top w:val="single" w:color="auto" w:sz="4" w:space="0"/>
              <w:left w:val="nil"/>
              <w:bottom w:val="single" w:color="auto" w:sz="4" w:space="0"/>
              <w:right w:val="single" w:color="auto" w:sz="4" w:space="0"/>
            </w:tcBorders>
            <w:shd w:val="clear" w:color="auto" w:fill="auto"/>
            <w:vAlign w:val="bottom"/>
          </w:tcPr>
          <w:p w:rsidRPr="0032511F" w:rsidR="004479F1" w:rsidP="004479F1" w:rsidRDefault="004479F1" w14:paraId="61D43C46" w14:textId="71252927">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2</w:t>
            </w:r>
            <w:r w:rsidR="006A08A7">
              <w:rPr>
                <w:rFonts w:ascii="Arial" w:hAnsi="Arial" w:cs="Arial"/>
                <w:color w:val="000000"/>
                <w:sz w:val="20"/>
                <w:szCs w:val="20"/>
              </w:rPr>
              <w:t>,</w:t>
            </w:r>
            <w:r w:rsidRPr="0032511F">
              <w:rPr>
                <w:rFonts w:ascii="Arial" w:hAnsi="Arial" w:cs="Arial"/>
                <w:color w:val="000000"/>
                <w:sz w:val="20"/>
                <w:szCs w:val="20"/>
              </w:rPr>
              <w:t>3%</w:t>
            </w:r>
          </w:p>
        </w:tc>
        <w:tc>
          <w:tcPr>
            <w:tcW w:w="1276" w:type="dxa"/>
            <w:tcBorders>
              <w:top w:val="single" w:color="auto" w:sz="4" w:space="0"/>
              <w:left w:val="single" w:color="auto" w:sz="4" w:space="0"/>
              <w:bottom w:val="single" w:color="auto" w:sz="4" w:space="0"/>
              <w:right w:val="nil"/>
            </w:tcBorders>
            <w:shd w:val="clear" w:color="auto" w:fill="auto"/>
            <w:vAlign w:val="bottom"/>
          </w:tcPr>
          <w:p w:rsidRPr="0032511F" w:rsidR="004479F1" w:rsidP="004479F1" w:rsidRDefault="004479F1" w14:paraId="6EF6853A" w14:textId="08303D9F">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92</w:t>
            </w:r>
            <w:r w:rsidR="006A08A7">
              <w:rPr>
                <w:rFonts w:ascii="Arial" w:hAnsi="Arial" w:cs="Arial"/>
                <w:color w:val="000000"/>
                <w:sz w:val="20"/>
                <w:szCs w:val="20"/>
              </w:rPr>
              <w:t>,</w:t>
            </w:r>
            <w:r w:rsidRPr="0032511F">
              <w:rPr>
                <w:rFonts w:ascii="Arial" w:hAnsi="Arial" w:cs="Arial"/>
                <w:color w:val="000000"/>
                <w:sz w:val="20"/>
                <w:szCs w:val="20"/>
              </w:rPr>
              <w:t>0%</w:t>
            </w:r>
          </w:p>
        </w:tc>
        <w:tc>
          <w:tcPr>
            <w:tcW w:w="1472" w:type="dxa"/>
            <w:shd w:val="clear" w:color="auto" w:fill="auto"/>
            <w:vAlign w:val="center"/>
            <w:hideMark/>
          </w:tcPr>
          <w:p w:rsidRPr="0032511F" w:rsidR="004479F1" w:rsidP="004479F1" w:rsidRDefault="004479F1" w14:paraId="4B6C2F10" w14:textId="3CDDA9C6">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$37</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786</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99</w:t>
            </w:r>
          </w:p>
        </w:tc>
        <w:tc>
          <w:tcPr>
            <w:tcW w:w="1762" w:type="dxa"/>
            <w:shd w:val="clear" w:color="auto" w:fill="auto"/>
            <w:vAlign w:val="center"/>
            <w:hideMark/>
          </w:tcPr>
          <w:p w:rsidRPr="0032511F" w:rsidR="004479F1" w:rsidP="004479F1" w:rsidRDefault="004479F1" w14:paraId="10564D69" w14:textId="42914B3A">
            <w:pPr>
              <w:spacing w:after="0" w:line="240" w:lineRule="auto"/>
              <w:jc w:val="right"/>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$25</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959</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662</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79</w:t>
            </w:r>
          </w:p>
        </w:tc>
      </w:tr>
      <w:tr w:rsidRPr="0032511F" w:rsidR="004479F1" w:rsidTr="008068F8" w14:paraId="447F3FBE" w14:textId="77777777">
        <w:trPr>
          <w:gridAfter w:val="1"/>
          <w:wAfter w:w="8" w:type="dxa"/>
          <w:trHeight w:val="300"/>
          <w:tblHeader/>
          <w:jc w:val="center"/>
        </w:trPr>
        <w:tc>
          <w:tcPr>
            <w:tcW w:w="1838" w:type="dxa"/>
            <w:shd w:val="clear" w:color="auto" w:fill="auto"/>
            <w:vAlign w:val="center"/>
            <w:hideMark/>
          </w:tcPr>
          <w:p w:rsidRPr="0032511F" w:rsidR="004479F1" w:rsidP="004479F1" w:rsidRDefault="004479F1" w14:paraId="2AF8C8A6" w14:textId="452F2102">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De 6 a 7 SM</w:t>
            </w:r>
          </w:p>
        </w:tc>
        <w:tc>
          <w:tcPr>
            <w:tcW w:w="1153" w:type="dxa"/>
            <w:shd w:val="clear" w:color="auto" w:fill="auto"/>
            <w:vAlign w:val="center"/>
            <w:hideMark/>
          </w:tcPr>
          <w:p w:rsidRPr="0032511F" w:rsidR="004479F1" w:rsidP="004479F1" w:rsidRDefault="004479F1" w14:paraId="253662AC"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491</w:t>
            </w:r>
          </w:p>
        </w:tc>
        <w:tc>
          <w:tcPr>
            <w:tcW w:w="1257" w:type="dxa"/>
            <w:tcBorders>
              <w:top w:val="single" w:color="auto" w:sz="4" w:space="0"/>
              <w:left w:val="nil"/>
              <w:bottom w:val="single" w:color="auto" w:sz="4" w:space="0"/>
              <w:right w:val="single" w:color="auto" w:sz="4" w:space="0"/>
            </w:tcBorders>
            <w:shd w:val="clear" w:color="auto" w:fill="auto"/>
            <w:vAlign w:val="bottom"/>
          </w:tcPr>
          <w:p w:rsidRPr="0032511F" w:rsidR="004479F1" w:rsidP="004479F1" w:rsidRDefault="004479F1" w14:paraId="2DF7B967" w14:textId="162E5D06">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1</w:t>
            </w:r>
            <w:r w:rsidR="006A08A7">
              <w:rPr>
                <w:rFonts w:ascii="Arial" w:hAnsi="Arial" w:cs="Arial"/>
                <w:color w:val="000000"/>
                <w:sz w:val="20"/>
                <w:szCs w:val="20"/>
              </w:rPr>
              <w:t>,</w:t>
            </w:r>
            <w:r w:rsidRPr="0032511F">
              <w:rPr>
                <w:rFonts w:ascii="Arial" w:hAnsi="Arial" w:cs="Arial"/>
                <w:color w:val="000000"/>
                <w:sz w:val="20"/>
                <w:szCs w:val="20"/>
              </w:rPr>
              <w:t>6%</w:t>
            </w:r>
          </w:p>
        </w:tc>
        <w:tc>
          <w:tcPr>
            <w:tcW w:w="1276" w:type="dxa"/>
            <w:tcBorders>
              <w:top w:val="single" w:color="auto" w:sz="4" w:space="0"/>
              <w:left w:val="single" w:color="auto" w:sz="4" w:space="0"/>
              <w:bottom w:val="single" w:color="auto" w:sz="4" w:space="0"/>
              <w:right w:val="nil"/>
            </w:tcBorders>
            <w:shd w:val="clear" w:color="auto" w:fill="auto"/>
            <w:vAlign w:val="bottom"/>
          </w:tcPr>
          <w:p w:rsidRPr="0032511F" w:rsidR="004479F1" w:rsidP="004479F1" w:rsidRDefault="004479F1" w14:paraId="058AE2C5" w14:textId="740E2625">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93</w:t>
            </w:r>
            <w:r w:rsidR="006A08A7">
              <w:rPr>
                <w:rFonts w:ascii="Arial" w:hAnsi="Arial" w:cs="Arial"/>
                <w:color w:val="000000"/>
                <w:sz w:val="20"/>
                <w:szCs w:val="20"/>
              </w:rPr>
              <w:t>,</w:t>
            </w:r>
            <w:r w:rsidRPr="0032511F">
              <w:rPr>
                <w:rFonts w:ascii="Arial" w:hAnsi="Arial" w:cs="Arial"/>
                <w:color w:val="000000"/>
                <w:sz w:val="20"/>
                <w:szCs w:val="20"/>
              </w:rPr>
              <w:t>6%</w:t>
            </w:r>
          </w:p>
        </w:tc>
        <w:tc>
          <w:tcPr>
            <w:tcW w:w="1472" w:type="dxa"/>
            <w:shd w:val="clear" w:color="auto" w:fill="auto"/>
            <w:vAlign w:val="center"/>
            <w:hideMark/>
          </w:tcPr>
          <w:p w:rsidRPr="0032511F" w:rsidR="004479F1" w:rsidP="004479F1" w:rsidRDefault="004479F1" w14:paraId="32741636" w14:textId="0C24BFFD">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$41</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043</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64</w:t>
            </w:r>
          </w:p>
        </w:tc>
        <w:tc>
          <w:tcPr>
            <w:tcW w:w="1762" w:type="dxa"/>
            <w:shd w:val="clear" w:color="auto" w:fill="auto"/>
            <w:vAlign w:val="center"/>
            <w:hideMark/>
          </w:tcPr>
          <w:p w:rsidRPr="0032511F" w:rsidR="004479F1" w:rsidP="004479F1" w:rsidRDefault="004479F1" w14:paraId="2A84D229" w14:textId="403E43C6">
            <w:pPr>
              <w:spacing w:after="0" w:line="240" w:lineRule="auto"/>
              <w:jc w:val="right"/>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$20</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152</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425</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47</w:t>
            </w:r>
          </w:p>
        </w:tc>
      </w:tr>
      <w:tr w:rsidRPr="0032511F" w:rsidR="004479F1" w:rsidTr="008068F8" w14:paraId="7C74FE46" w14:textId="77777777">
        <w:trPr>
          <w:gridAfter w:val="1"/>
          <w:wAfter w:w="8" w:type="dxa"/>
          <w:trHeight w:val="300"/>
          <w:tblHeader/>
          <w:jc w:val="center"/>
        </w:trPr>
        <w:tc>
          <w:tcPr>
            <w:tcW w:w="1838" w:type="dxa"/>
            <w:shd w:val="clear" w:color="auto" w:fill="auto"/>
            <w:vAlign w:val="center"/>
            <w:hideMark/>
          </w:tcPr>
          <w:p w:rsidRPr="0032511F" w:rsidR="004479F1" w:rsidP="004479F1" w:rsidRDefault="004479F1" w14:paraId="60BD357C" w14:textId="1F5E3E2D">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De 7 a 8 SM</w:t>
            </w:r>
          </w:p>
        </w:tc>
        <w:tc>
          <w:tcPr>
            <w:tcW w:w="1153" w:type="dxa"/>
            <w:shd w:val="clear" w:color="auto" w:fill="auto"/>
            <w:vAlign w:val="center"/>
            <w:hideMark/>
          </w:tcPr>
          <w:p w:rsidRPr="0032511F" w:rsidR="004479F1" w:rsidP="004479F1" w:rsidRDefault="004479F1" w14:paraId="55B9D19A"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293</w:t>
            </w:r>
          </w:p>
        </w:tc>
        <w:tc>
          <w:tcPr>
            <w:tcW w:w="1257" w:type="dxa"/>
            <w:tcBorders>
              <w:top w:val="single" w:color="auto" w:sz="4" w:space="0"/>
              <w:left w:val="nil"/>
              <w:bottom w:val="single" w:color="auto" w:sz="4" w:space="0"/>
              <w:right w:val="single" w:color="auto" w:sz="4" w:space="0"/>
            </w:tcBorders>
            <w:shd w:val="clear" w:color="auto" w:fill="auto"/>
            <w:vAlign w:val="bottom"/>
          </w:tcPr>
          <w:p w:rsidRPr="0032511F" w:rsidR="004479F1" w:rsidP="004479F1" w:rsidRDefault="004479F1" w14:paraId="27B32DE3" w14:textId="7EF31523">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1</w:t>
            </w:r>
            <w:r w:rsidR="006A08A7">
              <w:rPr>
                <w:rFonts w:ascii="Arial" w:hAnsi="Arial" w:cs="Arial"/>
                <w:color w:val="000000"/>
                <w:sz w:val="20"/>
                <w:szCs w:val="20"/>
              </w:rPr>
              <w:t>,</w:t>
            </w:r>
            <w:r w:rsidRPr="0032511F">
              <w:rPr>
                <w:rFonts w:ascii="Arial" w:hAnsi="Arial" w:cs="Arial"/>
                <w:color w:val="000000"/>
                <w:sz w:val="20"/>
                <w:szCs w:val="20"/>
              </w:rPr>
              <w:t>0%</w:t>
            </w:r>
          </w:p>
        </w:tc>
        <w:tc>
          <w:tcPr>
            <w:tcW w:w="1276" w:type="dxa"/>
            <w:tcBorders>
              <w:top w:val="single" w:color="auto" w:sz="4" w:space="0"/>
              <w:left w:val="single" w:color="auto" w:sz="4" w:space="0"/>
              <w:bottom w:val="single" w:color="auto" w:sz="4" w:space="0"/>
              <w:right w:val="nil"/>
            </w:tcBorders>
            <w:shd w:val="clear" w:color="auto" w:fill="auto"/>
            <w:vAlign w:val="bottom"/>
          </w:tcPr>
          <w:p w:rsidRPr="0032511F" w:rsidR="004479F1" w:rsidP="004479F1" w:rsidRDefault="004479F1" w14:paraId="3D2B67E6" w14:textId="1AC8169F">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94</w:t>
            </w:r>
            <w:r w:rsidR="006A08A7">
              <w:rPr>
                <w:rFonts w:ascii="Arial" w:hAnsi="Arial" w:cs="Arial"/>
                <w:color w:val="000000"/>
                <w:sz w:val="20"/>
                <w:szCs w:val="20"/>
              </w:rPr>
              <w:t>,</w:t>
            </w:r>
            <w:r w:rsidRPr="0032511F">
              <w:rPr>
                <w:rFonts w:ascii="Arial" w:hAnsi="Arial" w:cs="Arial"/>
                <w:color w:val="000000"/>
                <w:sz w:val="20"/>
                <w:szCs w:val="20"/>
              </w:rPr>
              <w:t>6%</w:t>
            </w:r>
          </w:p>
        </w:tc>
        <w:tc>
          <w:tcPr>
            <w:tcW w:w="1472" w:type="dxa"/>
            <w:shd w:val="clear" w:color="auto" w:fill="auto"/>
            <w:vAlign w:val="center"/>
            <w:hideMark/>
          </w:tcPr>
          <w:p w:rsidRPr="0032511F" w:rsidR="004479F1" w:rsidP="004479F1" w:rsidRDefault="004479F1" w14:paraId="54AAEEF0" w14:textId="2CB7AFF9">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$46</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289</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81</w:t>
            </w:r>
          </w:p>
        </w:tc>
        <w:tc>
          <w:tcPr>
            <w:tcW w:w="1762" w:type="dxa"/>
            <w:shd w:val="clear" w:color="auto" w:fill="auto"/>
            <w:vAlign w:val="center"/>
            <w:hideMark/>
          </w:tcPr>
          <w:p w:rsidRPr="0032511F" w:rsidR="004479F1" w:rsidP="004479F1" w:rsidRDefault="004479F1" w14:paraId="3C9D5FE7" w14:textId="238328E1">
            <w:pPr>
              <w:spacing w:after="0" w:line="240" w:lineRule="auto"/>
              <w:jc w:val="right"/>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$13</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562</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915</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14</w:t>
            </w:r>
          </w:p>
        </w:tc>
      </w:tr>
      <w:tr w:rsidRPr="0032511F" w:rsidR="004479F1" w:rsidTr="008068F8" w14:paraId="7DBD2B69" w14:textId="77777777">
        <w:trPr>
          <w:gridAfter w:val="1"/>
          <w:wAfter w:w="8" w:type="dxa"/>
          <w:trHeight w:val="300"/>
          <w:tblHeader/>
          <w:jc w:val="center"/>
        </w:trPr>
        <w:tc>
          <w:tcPr>
            <w:tcW w:w="1838" w:type="dxa"/>
            <w:shd w:val="clear" w:color="auto" w:fill="auto"/>
            <w:vAlign w:val="center"/>
            <w:hideMark/>
          </w:tcPr>
          <w:p w:rsidRPr="0032511F" w:rsidR="004479F1" w:rsidP="004479F1" w:rsidRDefault="004479F1" w14:paraId="2F4BD012" w14:textId="4EC0BD8B">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De 8 a 9 SM</w:t>
            </w:r>
          </w:p>
        </w:tc>
        <w:tc>
          <w:tcPr>
            <w:tcW w:w="1153" w:type="dxa"/>
            <w:shd w:val="clear" w:color="auto" w:fill="auto"/>
            <w:vAlign w:val="center"/>
            <w:hideMark/>
          </w:tcPr>
          <w:p w:rsidRPr="0032511F" w:rsidR="004479F1" w:rsidP="004479F1" w:rsidRDefault="004479F1" w14:paraId="0A7A1A22"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287</w:t>
            </w:r>
          </w:p>
        </w:tc>
        <w:tc>
          <w:tcPr>
            <w:tcW w:w="1257" w:type="dxa"/>
            <w:tcBorders>
              <w:top w:val="single" w:color="auto" w:sz="4" w:space="0"/>
              <w:left w:val="nil"/>
              <w:bottom w:val="single" w:color="auto" w:sz="4" w:space="0"/>
              <w:right w:val="single" w:color="auto" w:sz="4" w:space="0"/>
            </w:tcBorders>
            <w:shd w:val="clear" w:color="auto" w:fill="auto"/>
            <w:vAlign w:val="bottom"/>
          </w:tcPr>
          <w:p w:rsidRPr="0032511F" w:rsidR="004479F1" w:rsidP="004479F1" w:rsidRDefault="004479F1" w14:paraId="7201164C" w14:textId="713390A4">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0</w:t>
            </w:r>
            <w:r w:rsidR="006A08A7">
              <w:rPr>
                <w:rFonts w:ascii="Arial" w:hAnsi="Arial" w:cs="Arial"/>
                <w:color w:val="000000"/>
                <w:sz w:val="20"/>
                <w:szCs w:val="20"/>
              </w:rPr>
              <w:t>,</w:t>
            </w:r>
            <w:r w:rsidRPr="0032511F">
              <w:rPr>
                <w:rFonts w:ascii="Arial" w:hAnsi="Arial" w:cs="Arial"/>
                <w:color w:val="000000"/>
                <w:sz w:val="20"/>
                <w:szCs w:val="20"/>
              </w:rPr>
              <w:t>9%</w:t>
            </w:r>
          </w:p>
        </w:tc>
        <w:tc>
          <w:tcPr>
            <w:tcW w:w="1276" w:type="dxa"/>
            <w:tcBorders>
              <w:top w:val="single" w:color="auto" w:sz="4" w:space="0"/>
              <w:left w:val="single" w:color="auto" w:sz="4" w:space="0"/>
              <w:bottom w:val="single" w:color="auto" w:sz="4" w:space="0"/>
              <w:right w:val="nil"/>
            </w:tcBorders>
            <w:shd w:val="clear" w:color="auto" w:fill="auto"/>
            <w:vAlign w:val="bottom"/>
          </w:tcPr>
          <w:p w:rsidRPr="0032511F" w:rsidR="004479F1" w:rsidP="004479F1" w:rsidRDefault="004479F1" w14:paraId="69916178" w14:textId="0FA4C557">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95</w:t>
            </w:r>
            <w:r w:rsidR="006A08A7">
              <w:rPr>
                <w:rFonts w:ascii="Arial" w:hAnsi="Arial" w:cs="Arial"/>
                <w:color w:val="000000"/>
                <w:sz w:val="20"/>
                <w:szCs w:val="20"/>
              </w:rPr>
              <w:t>,</w:t>
            </w:r>
            <w:r w:rsidRPr="0032511F">
              <w:rPr>
                <w:rFonts w:ascii="Arial" w:hAnsi="Arial" w:cs="Arial"/>
                <w:color w:val="000000"/>
                <w:sz w:val="20"/>
                <w:szCs w:val="20"/>
              </w:rPr>
              <w:t>5%</w:t>
            </w:r>
          </w:p>
        </w:tc>
        <w:tc>
          <w:tcPr>
            <w:tcW w:w="1472" w:type="dxa"/>
            <w:shd w:val="clear" w:color="auto" w:fill="auto"/>
            <w:vAlign w:val="center"/>
            <w:hideMark/>
          </w:tcPr>
          <w:p w:rsidRPr="0032511F" w:rsidR="004479F1" w:rsidP="004479F1" w:rsidRDefault="004479F1" w14:paraId="09494ACB" w14:textId="3421CA83">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$47</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598</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13</w:t>
            </w:r>
          </w:p>
        </w:tc>
        <w:tc>
          <w:tcPr>
            <w:tcW w:w="1762" w:type="dxa"/>
            <w:shd w:val="clear" w:color="auto" w:fill="auto"/>
            <w:vAlign w:val="center"/>
            <w:hideMark/>
          </w:tcPr>
          <w:p w:rsidRPr="0032511F" w:rsidR="004479F1" w:rsidP="004479F1" w:rsidRDefault="004479F1" w14:paraId="5BC70950" w14:textId="251776D0">
            <w:pPr>
              <w:spacing w:after="0" w:line="240" w:lineRule="auto"/>
              <w:jc w:val="right"/>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$13</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660</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662</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12</w:t>
            </w:r>
          </w:p>
        </w:tc>
      </w:tr>
      <w:tr w:rsidRPr="0032511F" w:rsidR="004479F1" w:rsidTr="008068F8" w14:paraId="51EAD7B2" w14:textId="77777777">
        <w:trPr>
          <w:gridAfter w:val="1"/>
          <w:wAfter w:w="8" w:type="dxa"/>
          <w:trHeight w:val="300"/>
          <w:tblHeader/>
          <w:jc w:val="center"/>
        </w:trPr>
        <w:tc>
          <w:tcPr>
            <w:tcW w:w="1838" w:type="dxa"/>
            <w:shd w:val="clear" w:color="auto" w:fill="auto"/>
            <w:vAlign w:val="center"/>
            <w:hideMark/>
          </w:tcPr>
          <w:p w:rsidRPr="0032511F" w:rsidR="004479F1" w:rsidP="004479F1" w:rsidRDefault="004479F1" w14:paraId="5D3743D1" w14:textId="19CDD281">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De 9 a 10 SM</w:t>
            </w:r>
          </w:p>
        </w:tc>
        <w:tc>
          <w:tcPr>
            <w:tcW w:w="1153" w:type="dxa"/>
            <w:shd w:val="clear" w:color="auto" w:fill="auto"/>
            <w:vAlign w:val="center"/>
            <w:hideMark/>
          </w:tcPr>
          <w:p w:rsidRPr="0032511F" w:rsidR="004479F1" w:rsidP="004479F1" w:rsidRDefault="004479F1" w14:paraId="2C319FB0"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238</w:t>
            </w:r>
          </w:p>
        </w:tc>
        <w:tc>
          <w:tcPr>
            <w:tcW w:w="1257" w:type="dxa"/>
            <w:tcBorders>
              <w:top w:val="single" w:color="auto" w:sz="4" w:space="0"/>
              <w:left w:val="nil"/>
              <w:bottom w:val="single" w:color="auto" w:sz="4" w:space="0"/>
              <w:right w:val="single" w:color="auto" w:sz="4" w:space="0"/>
            </w:tcBorders>
            <w:shd w:val="clear" w:color="auto" w:fill="auto"/>
            <w:vAlign w:val="bottom"/>
          </w:tcPr>
          <w:p w:rsidRPr="0032511F" w:rsidR="004479F1" w:rsidP="004479F1" w:rsidRDefault="004479F1" w14:paraId="49627673" w14:textId="6AEB89F4">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0</w:t>
            </w:r>
            <w:r w:rsidR="006A08A7">
              <w:rPr>
                <w:rFonts w:ascii="Arial" w:hAnsi="Arial" w:cs="Arial"/>
                <w:color w:val="000000"/>
                <w:sz w:val="20"/>
                <w:szCs w:val="20"/>
              </w:rPr>
              <w:t>,</w:t>
            </w:r>
            <w:r w:rsidRPr="0032511F">
              <w:rPr>
                <w:rFonts w:ascii="Arial" w:hAnsi="Arial" w:cs="Arial"/>
                <w:color w:val="000000"/>
                <w:sz w:val="20"/>
                <w:szCs w:val="20"/>
              </w:rPr>
              <w:t>8%</w:t>
            </w:r>
          </w:p>
        </w:tc>
        <w:tc>
          <w:tcPr>
            <w:tcW w:w="1276" w:type="dxa"/>
            <w:tcBorders>
              <w:top w:val="single" w:color="auto" w:sz="4" w:space="0"/>
              <w:left w:val="single" w:color="auto" w:sz="4" w:space="0"/>
              <w:bottom w:val="single" w:color="auto" w:sz="4" w:space="0"/>
              <w:right w:val="nil"/>
            </w:tcBorders>
            <w:shd w:val="clear" w:color="auto" w:fill="auto"/>
            <w:vAlign w:val="bottom"/>
          </w:tcPr>
          <w:p w:rsidRPr="0032511F" w:rsidR="004479F1" w:rsidP="004479F1" w:rsidRDefault="004479F1" w14:paraId="227F9DAB" w14:textId="2F3BA24F">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96</w:t>
            </w:r>
            <w:r w:rsidR="006A08A7">
              <w:rPr>
                <w:rFonts w:ascii="Arial" w:hAnsi="Arial" w:cs="Arial"/>
                <w:color w:val="000000"/>
                <w:sz w:val="20"/>
                <w:szCs w:val="20"/>
              </w:rPr>
              <w:t>,</w:t>
            </w:r>
            <w:r w:rsidRPr="0032511F">
              <w:rPr>
                <w:rFonts w:ascii="Arial" w:hAnsi="Arial" w:cs="Arial"/>
                <w:color w:val="000000"/>
                <w:sz w:val="20"/>
                <w:szCs w:val="20"/>
              </w:rPr>
              <w:t>3%</w:t>
            </w:r>
          </w:p>
        </w:tc>
        <w:tc>
          <w:tcPr>
            <w:tcW w:w="1472" w:type="dxa"/>
            <w:shd w:val="clear" w:color="auto" w:fill="auto"/>
            <w:vAlign w:val="center"/>
            <w:hideMark/>
          </w:tcPr>
          <w:p w:rsidRPr="0032511F" w:rsidR="004479F1" w:rsidP="004479F1" w:rsidRDefault="004479F1" w14:paraId="06C7F8F6" w14:textId="5D4328BD">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$52</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274</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61</w:t>
            </w:r>
          </w:p>
        </w:tc>
        <w:tc>
          <w:tcPr>
            <w:tcW w:w="1762" w:type="dxa"/>
            <w:shd w:val="clear" w:color="auto" w:fill="auto"/>
            <w:vAlign w:val="center"/>
            <w:hideMark/>
          </w:tcPr>
          <w:p w:rsidRPr="0032511F" w:rsidR="004479F1" w:rsidP="004479F1" w:rsidRDefault="004479F1" w14:paraId="40A69690" w14:textId="2136DDD9">
            <w:pPr>
              <w:spacing w:after="0" w:line="240" w:lineRule="auto"/>
              <w:jc w:val="right"/>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$12</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441</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357</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65</w:t>
            </w:r>
          </w:p>
        </w:tc>
      </w:tr>
      <w:tr w:rsidRPr="0032511F" w:rsidR="004479F1" w:rsidTr="008068F8" w14:paraId="6DBCBF98" w14:textId="77777777">
        <w:trPr>
          <w:gridAfter w:val="1"/>
          <w:wAfter w:w="8" w:type="dxa"/>
          <w:trHeight w:val="300"/>
          <w:tblHeader/>
          <w:jc w:val="center"/>
        </w:trPr>
        <w:tc>
          <w:tcPr>
            <w:tcW w:w="1838" w:type="dxa"/>
            <w:shd w:val="clear" w:color="auto" w:fill="auto"/>
            <w:vAlign w:val="center"/>
            <w:hideMark/>
          </w:tcPr>
          <w:p w:rsidRPr="0032511F" w:rsidR="004479F1" w:rsidP="004479F1" w:rsidRDefault="004479F1" w14:paraId="3961A926" w14:textId="1C59DC3A">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Más de 10 SM</w:t>
            </w:r>
          </w:p>
        </w:tc>
        <w:tc>
          <w:tcPr>
            <w:tcW w:w="1153" w:type="dxa"/>
            <w:shd w:val="clear" w:color="auto" w:fill="auto"/>
            <w:vAlign w:val="center"/>
            <w:hideMark/>
          </w:tcPr>
          <w:p w:rsidRPr="0032511F" w:rsidR="004479F1" w:rsidP="004479F1" w:rsidRDefault="004479F1" w14:paraId="72A2D657"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1,124</w:t>
            </w:r>
          </w:p>
        </w:tc>
        <w:tc>
          <w:tcPr>
            <w:tcW w:w="1257" w:type="dxa"/>
            <w:tcBorders>
              <w:top w:val="single" w:color="auto" w:sz="4" w:space="0"/>
              <w:left w:val="nil"/>
              <w:bottom w:val="single" w:color="auto" w:sz="4" w:space="0"/>
              <w:right w:val="single" w:color="auto" w:sz="4" w:space="0"/>
            </w:tcBorders>
            <w:shd w:val="clear" w:color="auto" w:fill="auto"/>
            <w:vAlign w:val="bottom"/>
          </w:tcPr>
          <w:p w:rsidRPr="0032511F" w:rsidR="004479F1" w:rsidP="004479F1" w:rsidRDefault="004479F1" w14:paraId="43AB7C72" w14:textId="657CB2F8">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3</w:t>
            </w:r>
            <w:r w:rsidR="006A08A7">
              <w:rPr>
                <w:rFonts w:ascii="Arial" w:hAnsi="Arial" w:cs="Arial"/>
                <w:color w:val="000000"/>
                <w:sz w:val="20"/>
                <w:szCs w:val="20"/>
              </w:rPr>
              <w:t>,</w:t>
            </w:r>
            <w:r w:rsidRPr="0032511F">
              <w:rPr>
                <w:rFonts w:ascii="Arial" w:hAnsi="Arial" w:cs="Arial"/>
                <w:color w:val="000000"/>
                <w:sz w:val="20"/>
                <w:szCs w:val="20"/>
              </w:rPr>
              <w:t>7%</w:t>
            </w:r>
          </w:p>
        </w:tc>
        <w:tc>
          <w:tcPr>
            <w:tcW w:w="1276" w:type="dxa"/>
            <w:tcBorders>
              <w:top w:val="single" w:color="auto" w:sz="4" w:space="0"/>
              <w:left w:val="single" w:color="auto" w:sz="4" w:space="0"/>
              <w:bottom w:val="single" w:color="auto" w:sz="4" w:space="0"/>
              <w:right w:val="nil"/>
            </w:tcBorders>
            <w:shd w:val="clear" w:color="auto" w:fill="auto"/>
            <w:vAlign w:val="bottom"/>
          </w:tcPr>
          <w:p w:rsidRPr="0032511F" w:rsidR="004479F1" w:rsidP="004479F1" w:rsidRDefault="004479F1" w14:paraId="1940A276" w14:textId="16D3CB40">
            <w:pPr>
              <w:spacing w:after="0" w:line="240" w:lineRule="auto"/>
              <w:jc w:val="center"/>
              <w:rPr>
                <w:rFonts w:ascii="Arial" w:hAnsi="Arial" w:eastAsia="Times New Roman" w:cs="Arial"/>
                <w:color w:val="000000"/>
                <w:sz w:val="20"/>
                <w:szCs w:val="20"/>
                <w:lang w:eastAsia="es-SV"/>
              </w:rPr>
            </w:pPr>
            <w:r w:rsidRPr="0032511F">
              <w:rPr>
                <w:rFonts w:ascii="Arial" w:hAnsi="Arial" w:cs="Arial"/>
                <w:color w:val="000000"/>
                <w:sz w:val="20"/>
                <w:szCs w:val="20"/>
              </w:rPr>
              <w:t>100</w:t>
            </w:r>
            <w:r w:rsidR="006A08A7">
              <w:rPr>
                <w:rFonts w:ascii="Arial" w:hAnsi="Arial" w:cs="Arial"/>
                <w:color w:val="000000"/>
                <w:sz w:val="20"/>
                <w:szCs w:val="20"/>
              </w:rPr>
              <w:t>,</w:t>
            </w:r>
            <w:r w:rsidRPr="0032511F">
              <w:rPr>
                <w:rFonts w:ascii="Arial" w:hAnsi="Arial" w:cs="Arial"/>
                <w:color w:val="000000"/>
                <w:sz w:val="20"/>
                <w:szCs w:val="20"/>
              </w:rPr>
              <w:t>0%</w:t>
            </w:r>
          </w:p>
        </w:tc>
        <w:tc>
          <w:tcPr>
            <w:tcW w:w="1472" w:type="dxa"/>
            <w:shd w:val="clear" w:color="auto" w:fill="auto"/>
            <w:vAlign w:val="center"/>
            <w:hideMark/>
          </w:tcPr>
          <w:p w:rsidRPr="0032511F" w:rsidR="004479F1" w:rsidP="004479F1" w:rsidRDefault="004479F1" w14:paraId="6C05C901" w14:textId="3C07A25D">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$58</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748</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67</w:t>
            </w:r>
          </w:p>
        </w:tc>
        <w:tc>
          <w:tcPr>
            <w:tcW w:w="1762" w:type="dxa"/>
            <w:shd w:val="clear" w:color="auto" w:fill="auto"/>
            <w:vAlign w:val="center"/>
            <w:hideMark/>
          </w:tcPr>
          <w:p w:rsidRPr="0032511F" w:rsidR="004479F1" w:rsidP="004479F1" w:rsidRDefault="004479F1" w14:paraId="34FD1FE1" w14:textId="2E4445D0">
            <w:pPr>
              <w:spacing w:after="0" w:line="240" w:lineRule="auto"/>
              <w:jc w:val="right"/>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$66</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033</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505</w:t>
            </w:r>
            <w:r w:rsidR="006A08A7">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16</w:t>
            </w:r>
          </w:p>
        </w:tc>
      </w:tr>
      <w:tr w:rsidRPr="0032511F" w:rsidR="004479F1" w:rsidTr="006B3A11" w14:paraId="76E74E83" w14:textId="77777777">
        <w:trPr>
          <w:gridAfter w:val="1"/>
          <w:wAfter w:w="8" w:type="dxa"/>
          <w:trHeight w:val="300"/>
          <w:tblHeader/>
          <w:jc w:val="center"/>
        </w:trPr>
        <w:tc>
          <w:tcPr>
            <w:tcW w:w="1838" w:type="dxa"/>
            <w:shd w:val="clear" w:color="auto" w:fill="323E4F" w:themeFill="text2" w:themeFillShade="BF"/>
            <w:vAlign w:val="center"/>
            <w:hideMark/>
          </w:tcPr>
          <w:p w:rsidRPr="0032511F" w:rsidR="004479F1" w:rsidP="004479F1" w:rsidRDefault="004479F1" w14:paraId="7D0F27A5" w14:textId="77777777">
            <w:pPr>
              <w:spacing w:after="0" w:line="240" w:lineRule="auto"/>
              <w:jc w:val="center"/>
              <w:rPr>
                <w:rFonts w:ascii="Arial" w:hAnsi="Arial" w:eastAsia="Times New Roman" w:cs="Arial"/>
                <w:b/>
                <w:bCs/>
                <w:color w:val="FFFFFF"/>
                <w:sz w:val="20"/>
                <w:szCs w:val="20"/>
                <w:lang w:eastAsia="es-SV"/>
              </w:rPr>
            </w:pPr>
            <w:proofErr w:type="gramStart"/>
            <w:r w:rsidRPr="0032511F">
              <w:rPr>
                <w:rFonts w:ascii="Arial" w:hAnsi="Arial" w:eastAsia="Times New Roman" w:cs="Arial"/>
                <w:b/>
                <w:bCs/>
                <w:color w:val="FFFFFF"/>
                <w:sz w:val="20"/>
                <w:szCs w:val="20"/>
                <w:lang w:eastAsia="es-SV"/>
              </w:rPr>
              <w:t>Total</w:t>
            </w:r>
            <w:proofErr w:type="gramEnd"/>
            <w:r w:rsidRPr="0032511F">
              <w:rPr>
                <w:rFonts w:ascii="Arial" w:hAnsi="Arial" w:eastAsia="Times New Roman" w:cs="Arial"/>
                <w:b/>
                <w:bCs/>
                <w:color w:val="FFFFFF"/>
                <w:sz w:val="20"/>
                <w:szCs w:val="20"/>
                <w:lang w:eastAsia="es-SV"/>
              </w:rPr>
              <w:t xml:space="preserve"> general</w:t>
            </w:r>
          </w:p>
        </w:tc>
        <w:tc>
          <w:tcPr>
            <w:tcW w:w="1153" w:type="dxa"/>
            <w:shd w:val="clear" w:color="auto" w:fill="323E4F" w:themeFill="text2" w:themeFillShade="BF"/>
            <w:vAlign w:val="center"/>
            <w:hideMark/>
          </w:tcPr>
          <w:p w:rsidRPr="0032511F" w:rsidR="004479F1" w:rsidP="004479F1" w:rsidRDefault="004479F1" w14:paraId="4970E7D7" w14:textId="796C69F6">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30</w:t>
            </w:r>
            <w:r w:rsidR="006A08A7">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526</w:t>
            </w:r>
          </w:p>
        </w:tc>
        <w:tc>
          <w:tcPr>
            <w:tcW w:w="1257" w:type="dxa"/>
            <w:tcBorders>
              <w:top w:val="single" w:color="auto" w:sz="4" w:space="0"/>
            </w:tcBorders>
            <w:shd w:val="clear" w:color="auto" w:fill="323E4F" w:themeFill="text2" w:themeFillShade="BF"/>
            <w:vAlign w:val="center"/>
          </w:tcPr>
          <w:p w:rsidRPr="0032511F" w:rsidR="004479F1" w:rsidP="004479F1" w:rsidRDefault="004479F1" w14:paraId="242B3A9C" w14:textId="79270533">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100%</w:t>
            </w:r>
          </w:p>
        </w:tc>
        <w:tc>
          <w:tcPr>
            <w:tcW w:w="1276" w:type="dxa"/>
            <w:tcBorders>
              <w:top w:val="single" w:color="auto" w:sz="4" w:space="0"/>
            </w:tcBorders>
            <w:shd w:val="clear" w:color="auto" w:fill="323E4F" w:themeFill="text2" w:themeFillShade="BF"/>
            <w:vAlign w:val="center"/>
          </w:tcPr>
          <w:p w:rsidRPr="0032511F" w:rsidR="004479F1" w:rsidP="004479F1" w:rsidRDefault="004479F1" w14:paraId="64F6E060" w14:textId="7CDCBB84">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100%</w:t>
            </w:r>
          </w:p>
        </w:tc>
        <w:tc>
          <w:tcPr>
            <w:tcW w:w="1472" w:type="dxa"/>
            <w:shd w:val="clear" w:color="auto" w:fill="323E4F" w:themeFill="text2" w:themeFillShade="BF"/>
            <w:vAlign w:val="center"/>
            <w:hideMark/>
          </w:tcPr>
          <w:p w:rsidRPr="0032511F" w:rsidR="004479F1" w:rsidP="004479F1" w:rsidRDefault="004479F1" w14:paraId="0B7B0989" w14:textId="67CEB831">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$21</w:t>
            </w:r>
            <w:r w:rsidR="006A08A7">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529</w:t>
            </w:r>
            <w:r w:rsidR="006A08A7">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88</w:t>
            </w:r>
          </w:p>
        </w:tc>
        <w:tc>
          <w:tcPr>
            <w:tcW w:w="1762" w:type="dxa"/>
            <w:shd w:val="clear" w:color="auto" w:fill="323E4F" w:themeFill="text2" w:themeFillShade="BF"/>
            <w:vAlign w:val="center"/>
            <w:hideMark/>
          </w:tcPr>
          <w:p w:rsidRPr="0032511F" w:rsidR="004479F1" w:rsidP="004479F1" w:rsidRDefault="004479F1" w14:paraId="0A298BDD" w14:textId="0601DD1C">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$657</w:t>
            </w:r>
            <w:r w:rsidR="006A08A7">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221</w:t>
            </w:r>
            <w:r w:rsidR="006A08A7">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206</w:t>
            </w:r>
            <w:r w:rsidR="006A08A7">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11</w:t>
            </w:r>
          </w:p>
        </w:tc>
      </w:tr>
      <w:tr w:rsidRPr="0032511F" w:rsidR="004479F1" w:rsidTr="008068F8" w14:paraId="27E5C37A" w14:textId="77777777">
        <w:trPr>
          <w:trHeight w:val="300"/>
          <w:tblHeader/>
          <w:jc w:val="center"/>
        </w:trPr>
        <w:tc>
          <w:tcPr>
            <w:tcW w:w="8766" w:type="dxa"/>
            <w:gridSpan w:val="7"/>
            <w:vAlign w:val="center"/>
          </w:tcPr>
          <w:p w:rsidRPr="0032511F" w:rsidR="004479F1" w:rsidP="004479F1" w:rsidRDefault="004479F1" w14:paraId="20FD139A" w14:textId="6E0AABB2">
            <w:pPr>
              <w:spacing w:after="0" w:line="240" w:lineRule="auto"/>
              <w:rPr>
                <w:rFonts w:ascii="Arial" w:hAnsi="Arial" w:eastAsia="Times New Roman" w:cs="Arial"/>
                <w:sz w:val="20"/>
                <w:szCs w:val="20"/>
                <w:lang w:eastAsia="es-SV"/>
              </w:rPr>
            </w:pPr>
            <w:r w:rsidRPr="0032511F">
              <w:rPr>
                <w:rFonts w:ascii="Arial" w:hAnsi="Arial" w:eastAsia="Times New Roman" w:cs="Arial"/>
                <w:sz w:val="20"/>
                <w:szCs w:val="20"/>
                <w:lang w:eastAsia="es-SV"/>
              </w:rPr>
              <w:t>Fuente: Sistema de simulación de crédito del FSV, datos al 31 de marzo de 2020.</w:t>
            </w:r>
          </w:p>
        </w:tc>
      </w:tr>
    </w:tbl>
    <w:p w:rsidRPr="0032511F" w:rsidR="0063293B" w:rsidP="00BF3655" w:rsidRDefault="0063293B" w14:paraId="466318FB" w14:textId="77777777">
      <w:pPr>
        <w:pStyle w:val="ListParagraph"/>
        <w:spacing w:after="0" w:line="276" w:lineRule="auto"/>
        <w:ind w:left="0"/>
        <w:jc w:val="both"/>
        <w:rPr>
          <w:rFonts w:ascii="Arial" w:hAnsi="Arial" w:cs="Arial"/>
        </w:rPr>
      </w:pPr>
    </w:p>
    <w:p w:rsidRPr="0032511F" w:rsidR="00A53FD2" w:rsidP="00BF3655" w:rsidRDefault="0063293B" w14:paraId="71E0A975" w14:textId="5CE3F0D4">
      <w:pPr>
        <w:pStyle w:val="ListParagraph"/>
        <w:spacing w:after="0" w:line="276" w:lineRule="auto"/>
        <w:ind w:left="0"/>
        <w:jc w:val="both"/>
        <w:rPr>
          <w:rFonts w:ascii="Arial" w:hAnsi="Arial" w:cs="Arial"/>
        </w:rPr>
      </w:pPr>
      <w:r w:rsidRPr="0032511F">
        <w:rPr>
          <w:rFonts w:ascii="Arial" w:hAnsi="Arial" w:cs="Arial"/>
        </w:rPr>
        <w:t>Como se puede observar en el cuadro anterior el 86</w:t>
      </w:r>
      <w:r w:rsidR="006A08A7">
        <w:rPr>
          <w:rFonts w:ascii="Arial" w:hAnsi="Arial" w:cs="Arial"/>
        </w:rPr>
        <w:t>,</w:t>
      </w:r>
      <w:r w:rsidRPr="0032511F">
        <w:rPr>
          <w:rFonts w:ascii="Arial" w:hAnsi="Arial" w:cs="Arial"/>
        </w:rPr>
        <w:t>1% de las familias que han ingresado al sistema para hacer una precalificación son familias cuyo ingreso es de hasta 4SM.</w:t>
      </w:r>
      <w:r w:rsidRPr="0032511F" w:rsidR="00A53FD2">
        <w:rPr>
          <w:rFonts w:ascii="Arial" w:hAnsi="Arial" w:cs="Arial"/>
        </w:rPr>
        <w:t xml:space="preserve"> </w:t>
      </w:r>
    </w:p>
    <w:p w:rsidRPr="0032511F" w:rsidR="00A53FD2" w:rsidP="00BF3655" w:rsidRDefault="00A53FD2" w14:paraId="64281B5A" w14:textId="71AE35A4">
      <w:pPr>
        <w:pStyle w:val="ListParagraph"/>
        <w:spacing w:after="0" w:line="276" w:lineRule="auto"/>
        <w:ind w:left="0"/>
        <w:jc w:val="both"/>
        <w:rPr>
          <w:rFonts w:ascii="Arial" w:hAnsi="Arial" w:cs="Arial"/>
        </w:rPr>
      </w:pPr>
    </w:p>
    <w:p w:rsidRPr="0032511F" w:rsidR="00A53FD2" w:rsidP="00BF3655" w:rsidRDefault="00A53FD2" w14:paraId="434CCEA3" w14:textId="5DBAF451">
      <w:pPr>
        <w:pStyle w:val="ListParagraph"/>
        <w:spacing w:after="0" w:line="276" w:lineRule="auto"/>
        <w:ind w:left="0"/>
        <w:jc w:val="both"/>
        <w:rPr>
          <w:rFonts w:ascii="Arial" w:hAnsi="Arial" w:cs="Arial"/>
        </w:rPr>
      </w:pPr>
      <w:r w:rsidRPr="0032511F">
        <w:rPr>
          <w:rFonts w:ascii="Arial" w:hAnsi="Arial" w:cs="Arial"/>
        </w:rPr>
        <w:t>Existe diferencia entre la intención de compra</w:t>
      </w:r>
      <w:r w:rsidRPr="0032511F" w:rsidR="003B1459">
        <w:rPr>
          <w:rFonts w:ascii="Arial" w:hAnsi="Arial" w:cs="Arial"/>
        </w:rPr>
        <w:t xml:space="preserve"> (Sistema de Simulación de Crédito del FSV)</w:t>
      </w:r>
      <w:r w:rsidRPr="0032511F">
        <w:rPr>
          <w:rFonts w:ascii="Arial" w:hAnsi="Arial" w:cs="Arial"/>
        </w:rPr>
        <w:t xml:space="preserve"> y la presentación de una solicitud de crédito, pero también se demuestra que existe una tendencia de crecimiento en la demanda real de créditos como se presenta en la siguiente gráfica en donde se muestra el crecimiento mensual de solicitudes de crédito que han ingresado a la institución</w:t>
      </w:r>
      <w:r w:rsidRPr="0032511F" w:rsidR="007C0F52">
        <w:rPr>
          <w:rFonts w:ascii="Arial" w:hAnsi="Arial" w:cs="Arial"/>
        </w:rPr>
        <w:t xml:space="preserve">, como referencia han pasado </w:t>
      </w:r>
      <w:r w:rsidRPr="0032511F">
        <w:rPr>
          <w:rFonts w:ascii="Arial" w:hAnsi="Arial" w:cs="Arial"/>
        </w:rPr>
        <w:t xml:space="preserve">de ingresar en el mes de enero del año 2019 de 730 solicitudes de crédito por </w:t>
      </w:r>
      <w:r w:rsidRPr="0032511F" w:rsidR="007C0F52">
        <w:rPr>
          <w:rFonts w:ascii="Arial" w:hAnsi="Arial" w:cs="Arial"/>
        </w:rPr>
        <w:t>US</w:t>
      </w:r>
      <w:r w:rsidRPr="0032511F">
        <w:rPr>
          <w:rFonts w:ascii="Arial" w:hAnsi="Arial" w:cs="Arial"/>
        </w:rPr>
        <w:t>$13</w:t>
      </w:r>
      <w:r w:rsidR="00F32C7C">
        <w:rPr>
          <w:rFonts w:ascii="Arial" w:hAnsi="Arial" w:cs="Arial"/>
        </w:rPr>
        <w:t>,</w:t>
      </w:r>
      <w:r w:rsidRPr="0032511F" w:rsidR="007C0F52">
        <w:rPr>
          <w:rFonts w:ascii="Arial" w:hAnsi="Arial" w:cs="Arial"/>
        </w:rPr>
        <w:t>4 millones a tener 1</w:t>
      </w:r>
      <w:r w:rsidR="00F32C7C">
        <w:rPr>
          <w:rFonts w:ascii="Arial" w:hAnsi="Arial" w:cs="Arial"/>
        </w:rPr>
        <w:t>.</w:t>
      </w:r>
      <w:r w:rsidRPr="0032511F" w:rsidR="007C0F52">
        <w:rPr>
          <w:rFonts w:ascii="Arial" w:hAnsi="Arial" w:cs="Arial"/>
        </w:rPr>
        <w:t>264 solicitudes de crédito por US$24</w:t>
      </w:r>
      <w:r w:rsidR="00F32C7C">
        <w:rPr>
          <w:rFonts w:ascii="Arial" w:hAnsi="Arial" w:cs="Arial"/>
        </w:rPr>
        <w:t>,</w:t>
      </w:r>
      <w:r w:rsidRPr="0032511F" w:rsidR="007C0F52">
        <w:rPr>
          <w:rFonts w:ascii="Arial" w:hAnsi="Arial" w:cs="Arial"/>
        </w:rPr>
        <w:t>47 millones al mes de febrero del año 2020.</w:t>
      </w:r>
    </w:p>
    <w:p w:rsidRPr="0032511F" w:rsidR="00A53FD2" w:rsidP="00BF3655" w:rsidRDefault="008068F8" w14:paraId="452368B4" w14:textId="2F1C9106">
      <w:pPr>
        <w:pStyle w:val="ListParagraph"/>
        <w:spacing w:after="0" w:line="276" w:lineRule="auto"/>
        <w:ind w:left="0"/>
        <w:jc w:val="both"/>
        <w:rPr>
          <w:rFonts w:ascii="Arial" w:hAnsi="Arial" w:cs="Arial"/>
        </w:rPr>
      </w:pPr>
      <w:r>
        <w:rPr>
          <w:rFonts w:ascii="Arial" w:hAnsi="Arial" w:cs="Arial"/>
          <w:noProof/>
        </w:rPr>
        <w:drawing>
          <wp:anchor distT="0" distB="0" distL="114300" distR="114300" simplePos="0" relativeHeight="251658240" behindDoc="0" locked="0" layoutInCell="1" allowOverlap="1" wp14:anchorId="54F354AF" wp14:editId="7C4493E5">
            <wp:simplePos x="0" y="0"/>
            <wp:positionH relativeFrom="margin">
              <wp:align>right</wp:align>
            </wp:positionH>
            <wp:positionV relativeFrom="paragraph">
              <wp:posOffset>184785</wp:posOffset>
            </wp:positionV>
            <wp:extent cx="6400800" cy="183261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00800" cy="1832610"/>
                    </a:xfrm>
                    <a:prstGeom prst="rect">
                      <a:avLst/>
                    </a:prstGeom>
                    <a:noFill/>
                  </pic:spPr>
                </pic:pic>
              </a:graphicData>
            </a:graphic>
            <wp14:sizeRelH relativeFrom="margin">
              <wp14:pctWidth>0</wp14:pctWidth>
            </wp14:sizeRelH>
            <wp14:sizeRelV relativeFrom="margin">
              <wp14:pctHeight>0</wp14:pctHeight>
            </wp14:sizeRelV>
          </wp:anchor>
        </w:drawing>
      </w:r>
      <w:r w:rsidR="48747B4A">
        <w:rPr/>
        <w:t/>
      </w:r>
    </w:p>
    <w:p w:rsidRPr="0032511F" w:rsidR="00A53FD2" w:rsidP="00BF3655" w:rsidRDefault="00A53FD2" w14:paraId="63913957" w14:textId="47B969CC">
      <w:pPr>
        <w:pStyle w:val="ListParagraph"/>
        <w:spacing w:after="0" w:line="276" w:lineRule="auto"/>
        <w:ind w:left="0"/>
        <w:jc w:val="both"/>
        <w:rPr>
          <w:rFonts w:ascii="Arial" w:hAnsi="Arial" w:cs="Arial"/>
        </w:rPr>
      </w:pPr>
    </w:p>
    <w:p w:rsidRPr="0032511F" w:rsidR="0063293B" w:rsidP="00BF3655" w:rsidRDefault="007C0F52" w14:paraId="1385CDF3" w14:textId="64380EF7">
      <w:pPr>
        <w:pStyle w:val="ListParagraph"/>
        <w:spacing w:after="0" w:line="276" w:lineRule="auto"/>
        <w:ind w:left="0"/>
        <w:jc w:val="both"/>
        <w:rPr>
          <w:rFonts w:ascii="Arial" w:hAnsi="Arial" w:cs="Arial"/>
        </w:rPr>
      </w:pPr>
      <w:r w:rsidRPr="0032511F">
        <w:rPr>
          <w:rFonts w:ascii="Arial" w:hAnsi="Arial" w:cs="Arial"/>
        </w:rPr>
        <w:t>La gr</w:t>
      </w:r>
      <w:r w:rsidR="00F32C7C">
        <w:rPr>
          <w:rFonts w:ascii="Arial" w:hAnsi="Arial" w:cs="Arial"/>
        </w:rPr>
        <w:t>á</w:t>
      </w:r>
      <w:r w:rsidRPr="0032511F">
        <w:rPr>
          <w:rFonts w:ascii="Arial" w:hAnsi="Arial" w:cs="Arial"/>
        </w:rPr>
        <w:t xml:space="preserve">fica muestra una tendencia de crecimiento relevante en cuanto al </w:t>
      </w:r>
      <w:r w:rsidRPr="0032511F" w:rsidR="003B1459">
        <w:rPr>
          <w:rFonts w:ascii="Arial" w:hAnsi="Arial" w:cs="Arial"/>
        </w:rPr>
        <w:t>número</w:t>
      </w:r>
      <w:r w:rsidRPr="0032511F">
        <w:rPr>
          <w:rFonts w:ascii="Arial" w:hAnsi="Arial" w:cs="Arial"/>
        </w:rPr>
        <w:t xml:space="preserve"> y monto de las solicitudes de crédito lo que vuelve necesario contar con fuentes de financiamiento </w:t>
      </w:r>
      <w:r w:rsidRPr="0032511F" w:rsidR="00361A2F">
        <w:rPr>
          <w:rFonts w:ascii="Arial" w:hAnsi="Arial" w:cs="Arial"/>
        </w:rPr>
        <w:t xml:space="preserve">estables y </w:t>
      </w:r>
      <w:r w:rsidRPr="0032511F">
        <w:rPr>
          <w:rFonts w:ascii="Arial" w:hAnsi="Arial" w:cs="Arial"/>
        </w:rPr>
        <w:t>suficientes para atender la demanda en ascenso.</w:t>
      </w:r>
      <w:r w:rsidRPr="0032511F" w:rsidR="003B1459">
        <w:rPr>
          <w:rFonts w:ascii="Arial" w:hAnsi="Arial" w:cs="Arial"/>
        </w:rPr>
        <w:t xml:space="preserve"> En la siguiente tabla se puede observar compa</w:t>
      </w:r>
      <w:r w:rsidRPr="0032511F" w:rsidR="006A67C4">
        <w:rPr>
          <w:rFonts w:ascii="Arial" w:hAnsi="Arial" w:cs="Arial"/>
        </w:rPr>
        <w:t>ra</w:t>
      </w:r>
      <w:r w:rsidRPr="0032511F" w:rsidR="003B1459">
        <w:rPr>
          <w:rFonts w:ascii="Arial" w:hAnsi="Arial" w:cs="Arial"/>
        </w:rPr>
        <w:t xml:space="preserve">tivamente los dos primeros meses del año 2019 con los dos meses del año 2020 reflejando que se ha pasado de recibir 33-36 solicitudes diarias a un 50-63 lo que equivale a tener una demanda </w:t>
      </w:r>
      <w:r w:rsidRPr="0032511F" w:rsidR="006A67C4">
        <w:rPr>
          <w:rFonts w:ascii="Arial" w:hAnsi="Arial" w:cs="Arial"/>
        </w:rPr>
        <w:t>diaria</w:t>
      </w:r>
      <w:r w:rsidRPr="0032511F" w:rsidR="003B1459">
        <w:rPr>
          <w:rFonts w:ascii="Arial" w:hAnsi="Arial" w:cs="Arial"/>
        </w:rPr>
        <w:t xml:space="preserve"> </w:t>
      </w:r>
      <w:r w:rsidRPr="0032511F" w:rsidR="006A67C4">
        <w:rPr>
          <w:rFonts w:ascii="Arial" w:hAnsi="Arial" w:cs="Arial"/>
        </w:rPr>
        <w:t>en el monto de financiamiento superior a US$1 millón.</w:t>
      </w:r>
      <w:r w:rsidRPr="0032511F" w:rsidR="003B1459">
        <w:rPr>
          <w:rFonts w:ascii="Arial" w:hAnsi="Arial" w:cs="Arial"/>
        </w:rPr>
        <w:t xml:space="preserve"> </w:t>
      </w:r>
    </w:p>
    <w:p w:rsidRPr="0032511F" w:rsidR="0063293B" w:rsidP="00BF3655" w:rsidRDefault="0063293B" w14:paraId="4B251B76" w14:textId="77777777">
      <w:pPr>
        <w:pStyle w:val="ListParagraph"/>
        <w:spacing w:after="0" w:line="276" w:lineRule="auto"/>
        <w:ind w:left="0"/>
        <w:jc w:val="both"/>
        <w:rPr>
          <w:rFonts w:ascii="Arial" w:hAnsi="Arial" w:cs="Arial"/>
        </w:rPr>
      </w:pPr>
    </w:p>
    <w:tbl>
      <w:tblPr>
        <w:tblW w:w="5000" w:type="pct"/>
        <w:jc w:val="center"/>
        <w:tblCellMar>
          <w:left w:w="70" w:type="dxa"/>
          <w:right w:w="70" w:type="dxa"/>
        </w:tblCellMar>
        <w:tblLook w:val="04A0" w:firstRow="1" w:lastRow="0" w:firstColumn="1" w:lastColumn="0" w:noHBand="0" w:noVBand="1"/>
      </w:tblPr>
      <w:tblGrid>
        <w:gridCol w:w="3732"/>
        <w:gridCol w:w="1585"/>
        <w:gridCol w:w="1585"/>
        <w:gridCol w:w="1585"/>
        <w:gridCol w:w="1583"/>
      </w:tblGrid>
      <w:tr w:rsidRPr="0032511F" w:rsidR="00D807C4" w:rsidTr="009A683C" w14:paraId="7A4CBE05" w14:textId="77777777">
        <w:trPr>
          <w:trHeight w:val="300"/>
          <w:jc w:val="center"/>
        </w:trPr>
        <w:tc>
          <w:tcPr>
            <w:tcW w:w="1853" w:type="pct"/>
            <w:tcBorders>
              <w:top w:val="single" w:color="auto" w:sz="4" w:space="0"/>
              <w:left w:val="single" w:color="auto" w:sz="4" w:space="0"/>
              <w:bottom w:val="single" w:color="auto" w:sz="4" w:space="0"/>
              <w:right w:val="single" w:color="auto" w:sz="4" w:space="0"/>
            </w:tcBorders>
            <w:shd w:val="clear" w:color="auto" w:fill="323E4F" w:themeFill="text2" w:themeFillShade="BF"/>
            <w:noWrap/>
            <w:vAlign w:val="center"/>
            <w:hideMark/>
          </w:tcPr>
          <w:p w:rsidRPr="0032511F" w:rsidR="00D807C4" w:rsidP="00D807C4" w:rsidRDefault="00D807C4" w14:paraId="264BACF5" w14:textId="77777777">
            <w:pPr>
              <w:spacing w:after="0" w:line="240" w:lineRule="auto"/>
              <w:jc w:val="center"/>
              <w:rPr>
                <w:rFonts w:ascii="Arial" w:hAnsi="Arial" w:eastAsia="Times New Roman" w:cs="Arial"/>
                <w:color w:val="FFFFFF"/>
                <w:sz w:val="20"/>
                <w:szCs w:val="20"/>
                <w:lang w:eastAsia="es-SV"/>
              </w:rPr>
            </w:pPr>
            <w:r w:rsidRPr="0032511F">
              <w:rPr>
                <w:rFonts w:ascii="Arial" w:hAnsi="Arial" w:eastAsia="Times New Roman" w:cs="Arial"/>
                <w:color w:val="FFFFFF"/>
                <w:sz w:val="20"/>
                <w:szCs w:val="20"/>
                <w:lang w:eastAsia="es-SV"/>
              </w:rPr>
              <w:lastRenderedPageBreak/>
              <w:t>Rubro</w:t>
            </w:r>
          </w:p>
        </w:tc>
        <w:tc>
          <w:tcPr>
            <w:tcW w:w="787"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D807C4" w:rsidP="00D807C4" w:rsidRDefault="00D807C4" w14:paraId="4036F5B1" w14:textId="77777777">
            <w:pPr>
              <w:spacing w:after="0" w:line="240" w:lineRule="auto"/>
              <w:jc w:val="center"/>
              <w:rPr>
                <w:rFonts w:ascii="Arial" w:hAnsi="Arial" w:eastAsia="Times New Roman" w:cs="Arial"/>
                <w:color w:val="FFFFFF"/>
                <w:sz w:val="20"/>
                <w:szCs w:val="20"/>
                <w:lang w:eastAsia="es-SV"/>
              </w:rPr>
            </w:pPr>
            <w:r w:rsidRPr="0032511F">
              <w:rPr>
                <w:rFonts w:ascii="Arial" w:hAnsi="Arial" w:eastAsia="Times New Roman" w:cs="Arial"/>
                <w:color w:val="FFFFFF"/>
                <w:sz w:val="20"/>
                <w:szCs w:val="20"/>
                <w:lang w:eastAsia="es-SV"/>
              </w:rPr>
              <w:t>ene-19</w:t>
            </w:r>
          </w:p>
        </w:tc>
        <w:tc>
          <w:tcPr>
            <w:tcW w:w="787"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D807C4" w:rsidP="00D807C4" w:rsidRDefault="00D807C4" w14:paraId="177C541B" w14:textId="77777777">
            <w:pPr>
              <w:spacing w:after="0" w:line="240" w:lineRule="auto"/>
              <w:jc w:val="center"/>
              <w:rPr>
                <w:rFonts w:ascii="Arial" w:hAnsi="Arial" w:eastAsia="Times New Roman" w:cs="Arial"/>
                <w:color w:val="FFFFFF"/>
                <w:sz w:val="20"/>
                <w:szCs w:val="20"/>
                <w:lang w:eastAsia="es-SV"/>
              </w:rPr>
            </w:pPr>
            <w:r w:rsidRPr="0032511F">
              <w:rPr>
                <w:rFonts w:ascii="Arial" w:hAnsi="Arial" w:eastAsia="Times New Roman" w:cs="Arial"/>
                <w:color w:val="FFFFFF"/>
                <w:sz w:val="20"/>
                <w:szCs w:val="20"/>
                <w:lang w:eastAsia="es-SV"/>
              </w:rPr>
              <w:t>feb-19</w:t>
            </w:r>
          </w:p>
        </w:tc>
        <w:tc>
          <w:tcPr>
            <w:tcW w:w="787"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D807C4" w:rsidP="00D807C4" w:rsidRDefault="00D807C4" w14:paraId="17B34A41" w14:textId="77777777">
            <w:pPr>
              <w:spacing w:after="0" w:line="240" w:lineRule="auto"/>
              <w:jc w:val="center"/>
              <w:rPr>
                <w:rFonts w:ascii="Arial" w:hAnsi="Arial" w:eastAsia="Times New Roman" w:cs="Arial"/>
                <w:color w:val="FFFFFF"/>
                <w:sz w:val="20"/>
                <w:szCs w:val="20"/>
                <w:lang w:eastAsia="es-SV"/>
              </w:rPr>
            </w:pPr>
            <w:r w:rsidRPr="0032511F">
              <w:rPr>
                <w:rFonts w:ascii="Arial" w:hAnsi="Arial" w:eastAsia="Times New Roman" w:cs="Arial"/>
                <w:color w:val="FFFFFF"/>
                <w:sz w:val="20"/>
                <w:szCs w:val="20"/>
                <w:lang w:eastAsia="es-SV"/>
              </w:rPr>
              <w:t>ene-20</w:t>
            </w:r>
          </w:p>
        </w:tc>
        <w:tc>
          <w:tcPr>
            <w:tcW w:w="787"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D807C4" w:rsidP="00D807C4" w:rsidRDefault="00D807C4" w14:paraId="54346D2A" w14:textId="77777777">
            <w:pPr>
              <w:spacing w:after="0" w:line="240" w:lineRule="auto"/>
              <w:jc w:val="center"/>
              <w:rPr>
                <w:rFonts w:ascii="Arial" w:hAnsi="Arial" w:eastAsia="Times New Roman" w:cs="Arial"/>
                <w:color w:val="FFFFFF"/>
                <w:sz w:val="20"/>
                <w:szCs w:val="20"/>
                <w:lang w:eastAsia="es-SV"/>
              </w:rPr>
            </w:pPr>
            <w:r w:rsidRPr="0032511F">
              <w:rPr>
                <w:rFonts w:ascii="Arial" w:hAnsi="Arial" w:eastAsia="Times New Roman" w:cs="Arial"/>
                <w:color w:val="FFFFFF"/>
                <w:sz w:val="20"/>
                <w:szCs w:val="20"/>
                <w:lang w:eastAsia="es-SV"/>
              </w:rPr>
              <w:t>feb-20</w:t>
            </w:r>
          </w:p>
        </w:tc>
      </w:tr>
      <w:tr w:rsidRPr="0032511F" w:rsidR="00D807C4" w:rsidTr="009A683C" w14:paraId="359B501B" w14:textId="77777777">
        <w:trPr>
          <w:trHeight w:val="300"/>
          <w:jc w:val="center"/>
        </w:trPr>
        <w:tc>
          <w:tcPr>
            <w:tcW w:w="1853" w:type="pct"/>
            <w:tcBorders>
              <w:top w:val="nil"/>
              <w:left w:val="single" w:color="auto" w:sz="4" w:space="0"/>
              <w:bottom w:val="single" w:color="auto" w:sz="4" w:space="0"/>
              <w:right w:val="single" w:color="auto" w:sz="4" w:space="0"/>
            </w:tcBorders>
            <w:shd w:val="clear" w:color="auto" w:fill="auto"/>
            <w:noWrap/>
            <w:vAlign w:val="bottom"/>
            <w:hideMark/>
          </w:tcPr>
          <w:p w:rsidRPr="0032511F" w:rsidR="00D807C4" w:rsidP="00D807C4" w:rsidRDefault="00D807C4" w14:paraId="6D22B6E1"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Solicitudes ingresadas</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67CED9AF"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730</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058209D6"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712</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68C00280" w14:textId="66D29A12">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096</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292CC556" w14:textId="5C7C1690">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264</w:t>
            </w:r>
          </w:p>
        </w:tc>
      </w:tr>
      <w:tr w:rsidRPr="0032511F" w:rsidR="00D807C4" w:rsidTr="009A683C" w14:paraId="5F87FC77" w14:textId="77777777">
        <w:trPr>
          <w:trHeight w:val="300"/>
          <w:jc w:val="center"/>
        </w:trPr>
        <w:tc>
          <w:tcPr>
            <w:tcW w:w="1853" w:type="pct"/>
            <w:tcBorders>
              <w:top w:val="nil"/>
              <w:left w:val="single" w:color="auto" w:sz="4" w:space="0"/>
              <w:bottom w:val="single" w:color="auto" w:sz="4" w:space="0"/>
              <w:right w:val="single" w:color="auto" w:sz="4" w:space="0"/>
            </w:tcBorders>
            <w:shd w:val="clear" w:color="auto" w:fill="auto"/>
            <w:noWrap/>
            <w:vAlign w:val="bottom"/>
            <w:hideMark/>
          </w:tcPr>
          <w:p w:rsidRPr="0032511F" w:rsidR="00D807C4" w:rsidP="00D807C4" w:rsidRDefault="00D807C4" w14:paraId="225CE9D0"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Monto (Millones)</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61828769" w14:textId="6C96FDF6">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$13</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40</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67919F7C" w14:textId="5DB4CB34">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$13</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28</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58A037CE" w14:textId="54B5302B">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$23</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68</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1589B8EC" w14:textId="38D88BB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$24</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47</w:t>
            </w:r>
          </w:p>
        </w:tc>
      </w:tr>
      <w:tr w:rsidRPr="0032511F" w:rsidR="00D807C4" w:rsidTr="009A683C" w14:paraId="23598062" w14:textId="77777777">
        <w:trPr>
          <w:trHeight w:val="300"/>
          <w:jc w:val="center"/>
        </w:trPr>
        <w:tc>
          <w:tcPr>
            <w:tcW w:w="1853" w:type="pct"/>
            <w:tcBorders>
              <w:top w:val="nil"/>
              <w:left w:val="single" w:color="auto" w:sz="4" w:space="0"/>
              <w:bottom w:val="single" w:color="auto" w:sz="4" w:space="0"/>
              <w:right w:val="single" w:color="auto" w:sz="4" w:space="0"/>
            </w:tcBorders>
            <w:shd w:val="clear" w:color="auto" w:fill="auto"/>
            <w:noWrap/>
            <w:vAlign w:val="bottom"/>
            <w:hideMark/>
          </w:tcPr>
          <w:p w:rsidRPr="0032511F" w:rsidR="00D807C4" w:rsidP="00D807C4" w:rsidRDefault="00D807C4" w14:paraId="7EED4D0C"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Días hábiles del mes</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70B1D42C"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22</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71257DEA"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20</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465C636F"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22</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615F62AD"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20</w:t>
            </w:r>
          </w:p>
        </w:tc>
      </w:tr>
      <w:tr w:rsidRPr="0032511F" w:rsidR="00D807C4" w:rsidTr="009A683C" w14:paraId="18D5FAC5" w14:textId="77777777">
        <w:trPr>
          <w:trHeight w:val="300"/>
          <w:jc w:val="center"/>
        </w:trPr>
        <w:tc>
          <w:tcPr>
            <w:tcW w:w="1853" w:type="pct"/>
            <w:tcBorders>
              <w:top w:val="nil"/>
              <w:left w:val="single" w:color="auto" w:sz="4" w:space="0"/>
              <w:bottom w:val="single" w:color="auto" w:sz="4" w:space="0"/>
              <w:right w:val="single" w:color="auto" w:sz="4" w:space="0"/>
            </w:tcBorders>
            <w:shd w:val="clear" w:color="auto" w:fill="auto"/>
            <w:noWrap/>
            <w:vAlign w:val="bottom"/>
            <w:hideMark/>
          </w:tcPr>
          <w:p w:rsidRPr="0032511F" w:rsidR="00D807C4" w:rsidP="00D807C4" w:rsidRDefault="00D807C4" w14:paraId="3B9EFAE8"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Solicitudes por día hábil</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5D0C5ECF"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33</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3E9E24CF"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36</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53F6EB78"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50</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42B4455E"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63</w:t>
            </w:r>
          </w:p>
        </w:tc>
      </w:tr>
      <w:tr w:rsidRPr="0032511F" w:rsidR="00D807C4" w:rsidTr="009A683C" w14:paraId="313D6422" w14:textId="77777777">
        <w:trPr>
          <w:trHeight w:val="300"/>
          <w:jc w:val="center"/>
        </w:trPr>
        <w:tc>
          <w:tcPr>
            <w:tcW w:w="1853" w:type="pct"/>
            <w:tcBorders>
              <w:top w:val="nil"/>
              <w:left w:val="single" w:color="auto" w:sz="4" w:space="0"/>
              <w:bottom w:val="single" w:color="auto" w:sz="4" w:space="0"/>
              <w:right w:val="single" w:color="auto" w:sz="4" w:space="0"/>
            </w:tcBorders>
            <w:shd w:val="clear" w:color="auto" w:fill="auto"/>
            <w:noWrap/>
            <w:vAlign w:val="bottom"/>
            <w:hideMark/>
          </w:tcPr>
          <w:p w:rsidRPr="0032511F" w:rsidR="00D807C4" w:rsidP="00D807C4" w:rsidRDefault="00D807C4" w14:paraId="64022650"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Monto ingresado por día hábil</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4184C798" w14:textId="0628B3B6">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$0</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61</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1DE9E7B7" w14:textId="43398826">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$0</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66</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316B14A0" w14:textId="73518435">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08</w:t>
            </w:r>
          </w:p>
        </w:tc>
        <w:tc>
          <w:tcPr>
            <w:tcW w:w="787" w:type="pct"/>
            <w:tcBorders>
              <w:top w:val="nil"/>
              <w:left w:val="nil"/>
              <w:bottom w:val="single" w:color="auto" w:sz="4" w:space="0"/>
              <w:right w:val="single" w:color="auto" w:sz="4" w:space="0"/>
            </w:tcBorders>
            <w:shd w:val="clear" w:color="auto" w:fill="auto"/>
            <w:noWrap/>
            <w:vAlign w:val="center"/>
            <w:hideMark/>
          </w:tcPr>
          <w:p w:rsidRPr="0032511F" w:rsidR="00D807C4" w:rsidP="00D807C4" w:rsidRDefault="00D807C4" w14:paraId="7402F9FD" w14:textId="2A6C1953">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22</w:t>
            </w:r>
          </w:p>
        </w:tc>
      </w:tr>
      <w:tr w:rsidRPr="0032511F" w:rsidR="00D807C4" w:rsidTr="009A683C" w14:paraId="2564B251" w14:textId="77777777">
        <w:trPr>
          <w:trHeight w:val="300"/>
          <w:jc w:val="center"/>
        </w:trPr>
        <w:tc>
          <w:tcPr>
            <w:tcW w:w="1853" w:type="pct"/>
            <w:tcBorders>
              <w:top w:val="nil"/>
              <w:left w:val="single" w:color="auto" w:sz="4" w:space="0"/>
              <w:bottom w:val="single" w:color="auto" w:sz="4" w:space="0"/>
              <w:right w:val="single" w:color="auto" w:sz="4" w:space="0"/>
            </w:tcBorders>
            <w:shd w:val="clear" w:color="auto" w:fill="DEEAF6" w:themeFill="accent5" w:themeFillTint="33"/>
            <w:noWrap/>
            <w:vAlign w:val="bottom"/>
            <w:hideMark/>
          </w:tcPr>
          <w:p w:rsidRPr="0032511F" w:rsidR="00D807C4" w:rsidP="00D807C4" w:rsidRDefault="00D807C4" w14:paraId="1B3744B2"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Créditos otorgados</w:t>
            </w:r>
          </w:p>
        </w:tc>
        <w:tc>
          <w:tcPr>
            <w:tcW w:w="787" w:type="pct"/>
            <w:tcBorders>
              <w:top w:val="single" w:color="002060" w:sz="4" w:space="0"/>
              <w:left w:val="single" w:color="002060" w:sz="4" w:space="0"/>
              <w:bottom w:val="single" w:color="002060" w:sz="4" w:space="0"/>
              <w:right w:val="single" w:color="002060" w:sz="4" w:space="0"/>
            </w:tcBorders>
            <w:shd w:val="clear" w:color="auto" w:fill="DEEAF6" w:themeFill="accent5" w:themeFillTint="33"/>
            <w:noWrap/>
            <w:vAlign w:val="bottom"/>
            <w:hideMark/>
          </w:tcPr>
          <w:p w:rsidRPr="0032511F" w:rsidR="00D807C4" w:rsidP="00D807C4" w:rsidRDefault="00D807C4" w14:paraId="32531A0F"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471</w:t>
            </w:r>
          </w:p>
        </w:tc>
        <w:tc>
          <w:tcPr>
            <w:tcW w:w="787" w:type="pct"/>
            <w:tcBorders>
              <w:top w:val="single" w:color="002060" w:sz="4" w:space="0"/>
              <w:left w:val="nil"/>
              <w:bottom w:val="single" w:color="002060" w:sz="4" w:space="0"/>
              <w:right w:val="single" w:color="002060" w:sz="4" w:space="0"/>
            </w:tcBorders>
            <w:shd w:val="clear" w:color="auto" w:fill="DEEAF6" w:themeFill="accent5" w:themeFillTint="33"/>
            <w:noWrap/>
            <w:vAlign w:val="bottom"/>
            <w:hideMark/>
          </w:tcPr>
          <w:p w:rsidRPr="0032511F" w:rsidR="00D807C4" w:rsidP="00D807C4" w:rsidRDefault="00D807C4" w14:paraId="391B9089"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461</w:t>
            </w:r>
          </w:p>
        </w:tc>
        <w:tc>
          <w:tcPr>
            <w:tcW w:w="787" w:type="pct"/>
            <w:tcBorders>
              <w:top w:val="single" w:color="002060" w:sz="4" w:space="0"/>
              <w:left w:val="nil"/>
              <w:bottom w:val="single" w:color="002060" w:sz="4" w:space="0"/>
              <w:right w:val="single" w:color="002060" w:sz="4" w:space="0"/>
            </w:tcBorders>
            <w:shd w:val="clear" w:color="auto" w:fill="DEEAF6" w:themeFill="accent5" w:themeFillTint="33"/>
            <w:noWrap/>
            <w:vAlign w:val="bottom"/>
            <w:hideMark/>
          </w:tcPr>
          <w:p w:rsidRPr="0032511F" w:rsidR="00D807C4" w:rsidP="00D807C4" w:rsidRDefault="00D807C4" w14:paraId="71849E80"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695</w:t>
            </w:r>
          </w:p>
        </w:tc>
        <w:tc>
          <w:tcPr>
            <w:tcW w:w="787" w:type="pct"/>
            <w:tcBorders>
              <w:top w:val="single" w:color="002060" w:sz="4" w:space="0"/>
              <w:left w:val="nil"/>
              <w:bottom w:val="single" w:color="002060" w:sz="4" w:space="0"/>
              <w:right w:val="single" w:color="002060" w:sz="4" w:space="0"/>
            </w:tcBorders>
            <w:shd w:val="clear" w:color="auto" w:fill="DEEAF6" w:themeFill="accent5" w:themeFillTint="33"/>
            <w:noWrap/>
            <w:vAlign w:val="bottom"/>
            <w:hideMark/>
          </w:tcPr>
          <w:p w:rsidRPr="0032511F" w:rsidR="00D807C4" w:rsidP="00D807C4" w:rsidRDefault="00D807C4" w14:paraId="07C18053"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492</w:t>
            </w:r>
          </w:p>
        </w:tc>
      </w:tr>
      <w:tr w:rsidRPr="0032511F" w:rsidR="00D807C4" w:rsidTr="009A683C" w14:paraId="2221F13E" w14:textId="77777777">
        <w:trPr>
          <w:trHeight w:val="300"/>
          <w:jc w:val="center"/>
        </w:trPr>
        <w:tc>
          <w:tcPr>
            <w:tcW w:w="1853" w:type="pct"/>
            <w:tcBorders>
              <w:top w:val="nil"/>
              <w:left w:val="single" w:color="auto" w:sz="4" w:space="0"/>
              <w:bottom w:val="single" w:color="auto" w:sz="4" w:space="0"/>
              <w:right w:val="single" w:color="auto" w:sz="4" w:space="0"/>
            </w:tcBorders>
            <w:shd w:val="clear" w:color="auto" w:fill="DEEAF6" w:themeFill="accent5" w:themeFillTint="33"/>
            <w:noWrap/>
            <w:vAlign w:val="bottom"/>
            <w:hideMark/>
          </w:tcPr>
          <w:p w:rsidRPr="0032511F" w:rsidR="00D807C4" w:rsidP="00D807C4" w:rsidRDefault="00D807C4" w14:paraId="23198FD0"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Monto otorgado</w:t>
            </w:r>
          </w:p>
        </w:tc>
        <w:tc>
          <w:tcPr>
            <w:tcW w:w="787" w:type="pct"/>
            <w:tcBorders>
              <w:top w:val="nil"/>
              <w:left w:val="single" w:color="002060" w:sz="4" w:space="0"/>
              <w:bottom w:val="single" w:color="auto" w:sz="4" w:space="0"/>
              <w:right w:val="single" w:color="002060" w:sz="4" w:space="0"/>
            </w:tcBorders>
            <w:shd w:val="clear" w:color="auto" w:fill="DEEAF6" w:themeFill="accent5" w:themeFillTint="33"/>
            <w:noWrap/>
            <w:vAlign w:val="center"/>
            <w:hideMark/>
          </w:tcPr>
          <w:p w:rsidRPr="0032511F" w:rsidR="00D807C4" w:rsidP="00D807C4" w:rsidRDefault="00D807C4" w14:paraId="26AEF5DB" w14:textId="68BF0DA4">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$8</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12</w:t>
            </w:r>
          </w:p>
        </w:tc>
        <w:tc>
          <w:tcPr>
            <w:tcW w:w="787" w:type="pct"/>
            <w:tcBorders>
              <w:top w:val="nil"/>
              <w:left w:val="nil"/>
              <w:bottom w:val="single" w:color="auto" w:sz="4" w:space="0"/>
              <w:right w:val="single" w:color="002060" w:sz="4" w:space="0"/>
            </w:tcBorders>
            <w:shd w:val="clear" w:color="auto" w:fill="DEEAF6" w:themeFill="accent5" w:themeFillTint="33"/>
            <w:noWrap/>
            <w:vAlign w:val="center"/>
            <w:hideMark/>
          </w:tcPr>
          <w:p w:rsidRPr="0032511F" w:rsidR="00D807C4" w:rsidP="00D807C4" w:rsidRDefault="00D807C4" w14:paraId="211A9D7D" w14:textId="06046B73">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$8</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26</w:t>
            </w:r>
          </w:p>
        </w:tc>
        <w:tc>
          <w:tcPr>
            <w:tcW w:w="787" w:type="pct"/>
            <w:tcBorders>
              <w:top w:val="nil"/>
              <w:left w:val="nil"/>
              <w:bottom w:val="single" w:color="auto" w:sz="4" w:space="0"/>
              <w:right w:val="single" w:color="002060" w:sz="4" w:space="0"/>
            </w:tcBorders>
            <w:shd w:val="clear" w:color="auto" w:fill="DEEAF6" w:themeFill="accent5" w:themeFillTint="33"/>
            <w:noWrap/>
            <w:vAlign w:val="center"/>
            <w:hideMark/>
          </w:tcPr>
          <w:p w:rsidRPr="0032511F" w:rsidR="00D807C4" w:rsidP="00D807C4" w:rsidRDefault="00D807C4" w14:paraId="15189077" w14:textId="36DC1150">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$13</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08</w:t>
            </w:r>
          </w:p>
        </w:tc>
        <w:tc>
          <w:tcPr>
            <w:tcW w:w="787" w:type="pct"/>
            <w:tcBorders>
              <w:top w:val="nil"/>
              <w:left w:val="nil"/>
              <w:bottom w:val="single" w:color="auto" w:sz="4" w:space="0"/>
              <w:right w:val="single" w:color="002060" w:sz="4" w:space="0"/>
            </w:tcBorders>
            <w:shd w:val="clear" w:color="auto" w:fill="DEEAF6" w:themeFill="accent5" w:themeFillTint="33"/>
            <w:noWrap/>
            <w:vAlign w:val="center"/>
            <w:hideMark/>
          </w:tcPr>
          <w:p w:rsidRPr="0032511F" w:rsidR="00D807C4" w:rsidP="00D807C4" w:rsidRDefault="00D807C4" w14:paraId="6A6AE6B7" w14:textId="5D32C7E2">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$11</w:t>
            </w:r>
            <w:r w:rsidR="00F32C7C">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01</w:t>
            </w:r>
          </w:p>
        </w:tc>
      </w:tr>
      <w:tr w:rsidRPr="0032511F" w:rsidR="00955389" w:rsidTr="009A683C" w14:paraId="1458AE7D" w14:textId="77777777">
        <w:trPr>
          <w:trHeight w:val="300"/>
          <w:jc w:val="center"/>
        </w:trPr>
        <w:tc>
          <w:tcPr>
            <w:tcW w:w="5000" w:type="pct"/>
            <w:gridSpan w:val="5"/>
            <w:tcBorders>
              <w:top w:val="single" w:color="auto" w:sz="4" w:space="0"/>
              <w:left w:val="single" w:color="auto" w:sz="4" w:space="0"/>
              <w:bottom w:val="single" w:color="auto" w:sz="4" w:space="0"/>
              <w:right w:val="single" w:color="auto" w:sz="4" w:space="0"/>
            </w:tcBorders>
            <w:shd w:val="clear" w:color="auto" w:fill="auto"/>
            <w:noWrap/>
            <w:vAlign w:val="bottom"/>
          </w:tcPr>
          <w:p w:rsidRPr="0032511F" w:rsidR="00955389" w:rsidP="00955389" w:rsidRDefault="00955389" w14:paraId="15F28804" w14:textId="46F750AC">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 xml:space="preserve">Fuente: Elaboración propia, datos del sistema </w:t>
            </w:r>
            <w:proofErr w:type="spellStart"/>
            <w:r w:rsidRPr="0032511F">
              <w:rPr>
                <w:rFonts w:ascii="Arial" w:hAnsi="Arial" w:eastAsia="Times New Roman" w:cs="Arial"/>
                <w:color w:val="000000"/>
                <w:sz w:val="20"/>
                <w:szCs w:val="20"/>
                <w:lang w:eastAsia="es-SV"/>
              </w:rPr>
              <w:t>core</w:t>
            </w:r>
            <w:proofErr w:type="spellEnd"/>
            <w:r w:rsidRPr="0032511F">
              <w:rPr>
                <w:rFonts w:ascii="Arial" w:hAnsi="Arial" w:eastAsia="Times New Roman" w:cs="Arial"/>
                <w:color w:val="000000"/>
                <w:sz w:val="20"/>
                <w:szCs w:val="20"/>
                <w:lang w:eastAsia="es-SV"/>
              </w:rPr>
              <w:t xml:space="preserve"> bancario </w:t>
            </w:r>
            <w:proofErr w:type="spellStart"/>
            <w:r w:rsidRPr="0032511F">
              <w:rPr>
                <w:rFonts w:ascii="Arial" w:hAnsi="Arial" w:eastAsia="Times New Roman" w:cs="Arial"/>
                <w:color w:val="000000"/>
                <w:sz w:val="20"/>
                <w:szCs w:val="20"/>
                <w:lang w:eastAsia="es-SV"/>
              </w:rPr>
              <w:t>Abank´s</w:t>
            </w:r>
            <w:proofErr w:type="spellEnd"/>
            <w:r w:rsidRPr="0032511F">
              <w:rPr>
                <w:rFonts w:ascii="Arial" w:hAnsi="Arial" w:eastAsia="Times New Roman" w:cs="Arial"/>
                <w:color w:val="000000"/>
                <w:sz w:val="20"/>
                <w:szCs w:val="20"/>
                <w:lang w:eastAsia="es-SV"/>
              </w:rPr>
              <w:t>.</w:t>
            </w:r>
          </w:p>
        </w:tc>
      </w:tr>
    </w:tbl>
    <w:p w:rsidRPr="0032511F" w:rsidR="006A67C4" w:rsidP="00BF3655" w:rsidRDefault="006A67C4" w14:paraId="089C3B4D" w14:textId="77777777">
      <w:pPr>
        <w:pStyle w:val="ListParagraph"/>
        <w:spacing w:after="0" w:line="276" w:lineRule="auto"/>
        <w:ind w:left="0"/>
        <w:jc w:val="both"/>
        <w:rPr>
          <w:rFonts w:ascii="Arial" w:hAnsi="Arial" w:cs="Arial"/>
        </w:rPr>
      </w:pPr>
    </w:p>
    <w:p w:rsidRPr="0032511F" w:rsidR="006A67C4" w:rsidP="00BF3655" w:rsidRDefault="006A67C4" w14:paraId="28E643F6" w14:textId="42F3971F">
      <w:pPr>
        <w:pStyle w:val="ListParagraph"/>
        <w:spacing w:after="0" w:line="276" w:lineRule="auto"/>
        <w:ind w:left="0"/>
        <w:jc w:val="both"/>
        <w:rPr>
          <w:rFonts w:ascii="Arial" w:hAnsi="Arial" w:cs="Arial"/>
        </w:rPr>
      </w:pPr>
      <w:r w:rsidRPr="0032511F">
        <w:rPr>
          <w:rFonts w:ascii="Arial" w:hAnsi="Arial" w:cs="Arial"/>
        </w:rPr>
        <w:t>Adicionalmente, al cierre del mes de marzo 2020 se cuenta con un inventario de solicitudes en trámite</w:t>
      </w:r>
      <w:r w:rsidRPr="0032511F" w:rsidR="00955389">
        <w:rPr>
          <w:rFonts w:ascii="Arial" w:hAnsi="Arial" w:cs="Arial"/>
        </w:rPr>
        <w:t xml:space="preserve"> de 2</w:t>
      </w:r>
      <w:r w:rsidR="00234498">
        <w:rPr>
          <w:rFonts w:ascii="Arial" w:hAnsi="Arial" w:cs="Arial"/>
        </w:rPr>
        <w:t>.</w:t>
      </w:r>
      <w:r w:rsidRPr="0032511F" w:rsidR="00955389">
        <w:rPr>
          <w:rFonts w:ascii="Arial" w:hAnsi="Arial" w:cs="Arial"/>
        </w:rPr>
        <w:t>440 por US$44</w:t>
      </w:r>
      <w:r w:rsidR="00234498">
        <w:rPr>
          <w:rFonts w:ascii="Arial" w:hAnsi="Arial" w:cs="Arial"/>
        </w:rPr>
        <w:t>,</w:t>
      </w:r>
      <w:r w:rsidRPr="0032511F" w:rsidR="00955389">
        <w:rPr>
          <w:rFonts w:ascii="Arial" w:hAnsi="Arial" w:cs="Arial"/>
        </w:rPr>
        <w:t xml:space="preserve">75 millones, es decir aquellas solicitudes que se encuentran en proceso de revisión en las distintas etapas del </w:t>
      </w:r>
      <w:r w:rsidRPr="0032511F" w:rsidR="00361A2F">
        <w:rPr>
          <w:rFonts w:ascii="Arial" w:hAnsi="Arial" w:cs="Arial"/>
        </w:rPr>
        <w:t>trámite</w:t>
      </w:r>
      <w:r w:rsidRPr="0032511F" w:rsidR="00955389">
        <w:rPr>
          <w:rFonts w:ascii="Arial" w:hAnsi="Arial" w:cs="Arial"/>
        </w:rPr>
        <w:t xml:space="preserve"> de crédito. </w:t>
      </w:r>
    </w:p>
    <w:p w:rsidRPr="0032511F" w:rsidR="00955389" w:rsidP="00BF3655" w:rsidRDefault="00955389" w14:paraId="1F68915F" w14:textId="77777777">
      <w:pPr>
        <w:pStyle w:val="ListParagraph"/>
        <w:spacing w:after="0" w:line="276" w:lineRule="auto"/>
        <w:ind w:left="0"/>
        <w:jc w:val="both"/>
        <w:rPr>
          <w:rFonts w:ascii="Arial" w:hAnsi="Arial" w:cs="Arial"/>
        </w:rPr>
      </w:pPr>
    </w:p>
    <w:tbl>
      <w:tblPr>
        <w:tblW w:w="5000" w:type="pct"/>
        <w:jc w:val="center"/>
        <w:tblCellMar>
          <w:left w:w="70" w:type="dxa"/>
          <w:right w:w="70" w:type="dxa"/>
        </w:tblCellMar>
        <w:tblLook w:val="04A0" w:firstRow="1" w:lastRow="0" w:firstColumn="1" w:lastColumn="0" w:noHBand="0" w:noVBand="1"/>
      </w:tblPr>
      <w:tblGrid>
        <w:gridCol w:w="2217"/>
        <w:gridCol w:w="4054"/>
        <w:gridCol w:w="1801"/>
        <w:gridCol w:w="1998"/>
      </w:tblGrid>
      <w:tr w:rsidRPr="0032511F" w:rsidR="006A67C4" w:rsidTr="009A683C" w14:paraId="2EFB98D1" w14:textId="77777777">
        <w:trPr>
          <w:trHeight w:val="420"/>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32511F" w:rsidR="006A67C4" w:rsidP="00955389" w:rsidRDefault="006A67C4" w14:paraId="72D34B45" w14:textId="77777777">
            <w:pPr>
              <w:spacing w:after="0" w:line="240" w:lineRule="auto"/>
              <w:jc w:val="center"/>
              <w:rPr>
                <w:rFonts w:ascii="Arial" w:hAnsi="Arial" w:eastAsia="Times New Roman" w:cs="Arial"/>
                <w:b/>
                <w:bCs/>
                <w:color w:val="000000"/>
                <w:sz w:val="20"/>
                <w:szCs w:val="20"/>
                <w:lang w:eastAsia="es-SV"/>
              </w:rPr>
            </w:pPr>
            <w:r w:rsidRPr="0032511F">
              <w:rPr>
                <w:rFonts w:ascii="Arial" w:hAnsi="Arial" w:eastAsia="Times New Roman" w:cs="Arial"/>
                <w:b/>
                <w:bCs/>
                <w:color w:val="000000"/>
                <w:sz w:val="20"/>
                <w:szCs w:val="20"/>
                <w:lang w:eastAsia="es-SV"/>
              </w:rPr>
              <w:t>Inventario de solicitudes en trámite</w:t>
            </w:r>
          </w:p>
        </w:tc>
      </w:tr>
      <w:tr w:rsidRPr="0032511F" w:rsidR="006A67C4" w:rsidTr="009A683C" w14:paraId="6ABC7912" w14:textId="77777777">
        <w:trPr>
          <w:trHeight w:val="600"/>
          <w:jc w:val="center"/>
        </w:trPr>
        <w:tc>
          <w:tcPr>
            <w:tcW w:w="1101" w:type="pct"/>
            <w:tcBorders>
              <w:top w:val="nil"/>
              <w:left w:val="single" w:color="auto" w:sz="4" w:space="0"/>
              <w:bottom w:val="single" w:color="auto" w:sz="4" w:space="0"/>
              <w:right w:val="single" w:color="auto" w:sz="4" w:space="0"/>
            </w:tcBorders>
            <w:shd w:val="clear" w:color="auto" w:fill="323E4F" w:themeFill="text2" w:themeFillShade="BF"/>
            <w:noWrap/>
            <w:vAlign w:val="center"/>
            <w:hideMark/>
          </w:tcPr>
          <w:p w:rsidRPr="0032511F" w:rsidR="006A67C4" w:rsidP="00955389" w:rsidRDefault="006A67C4" w14:paraId="0522626C"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Inversión</w:t>
            </w:r>
          </w:p>
        </w:tc>
        <w:tc>
          <w:tcPr>
            <w:tcW w:w="2013" w:type="pct"/>
            <w:tcBorders>
              <w:top w:val="nil"/>
              <w:left w:val="nil"/>
              <w:bottom w:val="single" w:color="auto" w:sz="4" w:space="0"/>
              <w:right w:val="single" w:color="auto" w:sz="4" w:space="0"/>
            </w:tcBorders>
            <w:shd w:val="clear" w:color="auto" w:fill="323E4F" w:themeFill="text2" w:themeFillShade="BF"/>
            <w:noWrap/>
            <w:vAlign w:val="center"/>
            <w:hideMark/>
          </w:tcPr>
          <w:p w:rsidRPr="0032511F" w:rsidR="006A67C4" w:rsidP="00955389" w:rsidRDefault="006A67C4" w14:paraId="13266A35"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Línea financiera</w:t>
            </w:r>
          </w:p>
        </w:tc>
        <w:tc>
          <w:tcPr>
            <w:tcW w:w="894" w:type="pct"/>
            <w:tcBorders>
              <w:top w:val="nil"/>
              <w:left w:val="nil"/>
              <w:bottom w:val="single" w:color="auto" w:sz="4" w:space="0"/>
              <w:right w:val="single" w:color="auto" w:sz="4" w:space="0"/>
            </w:tcBorders>
            <w:shd w:val="clear" w:color="auto" w:fill="323E4F" w:themeFill="text2" w:themeFillShade="BF"/>
            <w:vAlign w:val="center"/>
            <w:hideMark/>
          </w:tcPr>
          <w:p w:rsidRPr="0032511F" w:rsidR="006A67C4" w:rsidP="00955389" w:rsidRDefault="006A67C4" w14:paraId="43C523BC"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Cantidad de solicitudes</w:t>
            </w:r>
          </w:p>
        </w:tc>
        <w:tc>
          <w:tcPr>
            <w:tcW w:w="992" w:type="pct"/>
            <w:tcBorders>
              <w:top w:val="nil"/>
              <w:left w:val="nil"/>
              <w:bottom w:val="single" w:color="auto" w:sz="4" w:space="0"/>
              <w:right w:val="single" w:color="auto" w:sz="4" w:space="0"/>
            </w:tcBorders>
            <w:shd w:val="clear" w:color="auto" w:fill="323E4F" w:themeFill="text2" w:themeFillShade="BF"/>
            <w:vAlign w:val="center"/>
            <w:hideMark/>
          </w:tcPr>
          <w:p w:rsidRPr="0032511F" w:rsidR="006A67C4" w:rsidP="00955389" w:rsidRDefault="006A67C4" w14:paraId="7CF8AAC6"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Monto solicitado</w:t>
            </w:r>
            <w:r w:rsidRPr="0032511F">
              <w:rPr>
                <w:rFonts w:ascii="Arial" w:hAnsi="Arial" w:eastAsia="Times New Roman" w:cs="Arial"/>
                <w:b/>
                <w:bCs/>
                <w:color w:val="FFFFFF"/>
                <w:sz w:val="20"/>
                <w:szCs w:val="20"/>
                <w:lang w:eastAsia="es-SV"/>
              </w:rPr>
              <w:br/>
            </w:r>
            <w:r w:rsidRPr="0032511F">
              <w:rPr>
                <w:rFonts w:ascii="Arial" w:hAnsi="Arial" w:eastAsia="Times New Roman" w:cs="Arial"/>
                <w:b/>
                <w:bCs/>
                <w:color w:val="FFFFFF"/>
                <w:sz w:val="20"/>
                <w:szCs w:val="20"/>
                <w:lang w:eastAsia="es-SV"/>
              </w:rPr>
              <w:t>(Millones US$)</w:t>
            </w:r>
          </w:p>
        </w:tc>
      </w:tr>
      <w:tr w:rsidRPr="0032511F" w:rsidR="006A67C4" w:rsidTr="009A683C" w14:paraId="5CC0C20F" w14:textId="77777777">
        <w:trPr>
          <w:trHeight w:val="300"/>
          <w:jc w:val="center"/>
        </w:trPr>
        <w:tc>
          <w:tcPr>
            <w:tcW w:w="1101" w:type="pct"/>
            <w:vMerge w:val="restart"/>
            <w:tcBorders>
              <w:top w:val="nil"/>
              <w:left w:val="single" w:color="auto" w:sz="4" w:space="0"/>
              <w:bottom w:val="single" w:color="auto" w:sz="4" w:space="0"/>
              <w:right w:val="single" w:color="auto" w:sz="4" w:space="0"/>
            </w:tcBorders>
            <w:shd w:val="clear" w:color="auto" w:fill="auto"/>
            <w:vAlign w:val="center"/>
            <w:hideMark/>
          </w:tcPr>
          <w:p w:rsidRPr="0032511F" w:rsidR="006A67C4" w:rsidP="00955389" w:rsidRDefault="006A67C4" w14:paraId="5B7D8D37"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Con desembolso</w:t>
            </w:r>
          </w:p>
        </w:tc>
        <w:tc>
          <w:tcPr>
            <w:tcW w:w="2013"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7A9F6379"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Vivienda Nueva</w:t>
            </w:r>
          </w:p>
        </w:tc>
        <w:tc>
          <w:tcPr>
            <w:tcW w:w="894"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4FB819C2"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194</w:t>
            </w:r>
          </w:p>
        </w:tc>
        <w:tc>
          <w:tcPr>
            <w:tcW w:w="992"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64C10A9B" w14:textId="37D3D428">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$7</w:t>
            </w:r>
            <w:r w:rsidR="00234498">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91</w:t>
            </w:r>
          </w:p>
        </w:tc>
      </w:tr>
      <w:tr w:rsidRPr="0032511F" w:rsidR="006A67C4" w:rsidTr="009A683C" w14:paraId="2CE00C4F" w14:textId="77777777">
        <w:trPr>
          <w:trHeight w:val="300"/>
          <w:jc w:val="center"/>
        </w:trPr>
        <w:tc>
          <w:tcPr>
            <w:tcW w:w="1101" w:type="pct"/>
            <w:vMerge/>
            <w:tcBorders>
              <w:top w:val="nil"/>
              <w:left w:val="single" w:color="auto" w:sz="4" w:space="0"/>
              <w:bottom w:val="single" w:color="auto" w:sz="4" w:space="0"/>
              <w:right w:val="single" w:color="auto" w:sz="4" w:space="0"/>
            </w:tcBorders>
            <w:vAlign w:val="center"/>
            <w:hideMark/>
          </w:tcPr>
          <w:p w:rsidRPr="0032511F" w:rsidR="006A67C4" w:rsidP="00955389" w:rsidRDefault="006A67C4" w14:paraId="69E1ACE9" w14:textId="77777777">
            <w:pPr>
              <w:spacing w:after="0" w:line="240" w:lineRule="auto"/>
              <w:jc w:val="center"/>
              <w:rPr>
                <w:rFonts w:ascii="Arial" w:hAnsi="Arial" w:eastAsia="Times New Roman" w:cs="Arial"/>
                <w:color w:val="000000"/>
                <w:sz w:val="20"/>
                <w:szCs w:val="20"/>
                <w:lang w:eastAsia="es-SV"/>
              </w:rPr>
            </w:pPr>
          </w:p>
        </w:tc>
        <w:tc>
          <w:tcPr>
            <w:tcW w:w="2013"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11B36354"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Vivienda Usada</w:t>
            </w:r>
          </w:p>
        </w:tc>
        <w:tc>
          <w:tcPr>
            <w:tcW w:w="894"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29F64A95" w14:textId="1A5E64FB">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w:t>
            </w:r>
            <w:r w:rsidR="00234498">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159</w:t>
            </w:r>
          </w:p>
        </w:tc>
        <w:tc>
          <w:tcPr>
            <w:tcW w:w="992"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68981164" w14:textId="21717ED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$23</w:t>
            </w:r>
            <w:r w:rsidR="00234498">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01</w:t>
            </w:r>
          </w:p>
        </w:tc>
      </w:tr>
      <w:tr w:rsidRPr="0032511F" w:rsidR="006A67C4" w:rsidTr="009A683C" w14:paraId="7E085A78" w14:textId="77777777">
        <w:trPr>
          <w:trHeight w:val="300"/>
          <w:jc w:val="center"/>
        </w:trPr>
        <w:tc>
          <w:tcPr>
            <w:tcW w:w="1101" w:type="pct"/>
            <w:vMerge/>
            <w:tcBorders>
              <w:top w:val="nil"/>
              <w:left w:val="single" w:color="auto" w:sz="4" w:space="0"/>
              <w:bottom w:val="single" w:color="auto" w:sz="4" w:space="0"/>
              <w:right w:val="single" w:color="auto" w:sz="4" w:space="0"/>
            </w:tcBorders>
            <w:vAlign w:val="center"/>
            <w:hideMark/>
          </w:tcPr>
          <w:p w:rsidRPr="0032511F" w:rsidR="006A67C4" w:rsidP="00955389" w:rsidRDefault="006A67C4" w14:paraId="2A450A84" w14:textId="77777777">
            <w:pPr>
              <w:spacing w:after="0" w:line="240" w:lineRule="auto"/>
              <w:jc w:val="center"/>
              <w:rPr>
                <w:rFonts w:ascii="Arial" w:hAnsi="Arial" w:eastAsia="Times New Roman" w:cs="Arial"/>
                <w:color w:val="000000"/>
                <w:sz w:val="20"/>
                <w:szCs w:val="20"/>
                <w:lang w:eastAsia="es-SV"/>
              </w:rPr>
            </w:pPr>
          </w:p>
        </w:tc>
        <w:tc>
          <w:tcPr>
            <w:tcW w:w="2013"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35B13F4C"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Construcción</w:t>
            </w:r>
          </w:p>
        </w:tc>
        <w:tc>
          <w:tcPr>
            <w:tcW w:w="894"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6BD61C2D"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7</w:t>
            </w:r>
          </w:p>
        </w:tc>
        <w:tc>
          <w:tcPr>
            <w:tcW w:w="992"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1003D4D3" w14:textId="38637A28">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$0</w:t>
            </w:r>
            <w:r w:rsidR="00234498">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13</w:t>
            </w:r>
          </w:p>
        </w:tc>
      </w:tr>
      <w:tr w:rsidRPr="0032511F" w:rsidR="006A67C4" w:rsidTr="009A683C" w14:paraId="7CED1620" w14:textId="77777777">
        <w:trPr>
          <w:trHeight w:val="300"/>
          <w:jc w:val="center"/>
        </w:trPr>
        <w:tc>
          <w:tcPr>
            <w:tcW w:w="1101" w:type="pct"/>
            <w:vMerge/>
            <w:tcBorders>
              <w:top w:val="nil"/>
              <w:left w:val="single" w:color="auto" w:sz="4" w:space="0"/>
              <w:bottom w:val="single" w:color="auto" w:sz="4" w:space="0"/>
              <w:right w:val="single" w:color="auto" w:sz="4" w:space="0"/>
            </w:tcBorders>
            <w:vAlign w:val="center"/>
            <w:hideMark/>
          </w:tcPr>
          <w:p w:rsidRPr="0032511F" w:rsidR="006A67C4" w:rsidP="00955389" w:rsidRDefault="006A67C4" w14:paraId="2183BA29" w14:textId="77777777">
            <w:pPr>
              <w:spacing w:after="0" w:line="240" w:lineRule="auto"/>
              <w:jc w:val="center"/>
              <w:rPr>
                <w:rFonts w:ascii="Arial" w:hAnsi="Arial" w:eastAsia="Times New Roman" w:cs="Arial"/>
                <w:color w:val="000000"/>
                <w:sz w:val="20"/>
                <w:szCs w:val="20"/>
                <w:lang w:eastAsia="es-SV"/>
              </w:rPr>
            </w:pPr>
          </w:p>
        </w:tc>
        <w:tc>
          <w:tcPr>
            <w:tcW w:w="2013"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55898771"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Reparación, ampliación y mejoras</w:t>
            </w:r>
          </w:p>
        </w:tc>
        <w:tc>
          <w:tcPr>
            <w:tcW w:w="894"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181DDE02"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17</w:t>
            </w:r>
          </w:p>
        </w:tc>
        <w:tc>
          <w:tcPr>
            <w:tcW w:w="992"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4CDAB20A" w14:textId="79D45452">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$0</w:t>
            </w:r>
            <w:r w:rsidR="00234498">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16</w:t>
            </w:r>
          </w:p>
        </w:tc>
      </w:tr>
      <w:tr w:rsidRPr="0032511F" w:rsidR="006A67C4" w:rsidTr="009A683C" w14:paraId="17566BEF" w14:textId="77777777">
        <w:trPr>
          <w:trHeight w:val="300"/>
          <w:jc w:val="center"/>
        </w:trPr>
        <w:tc>
          <w:tcPr>
            <w:tcW w:w="1101" w:type="pct"/>
            <w:vMerge/>
            <w:tcBorders>
              <w:top w:val="nil"/>
              <w:left w:val="single" w:color="auto" w:sz="4" w:space="0"/>
              <w:bottom w:val="single" w:color="auto" w:sz="4" w:space="0"/>
              <w:right w:val="single" w:color="auto" w:sz="4" w:space="0"/>
            </w:tcBorders>
            <w:vAlign w:val="center"/>
            <w:hideMark/>
          </w:tcPr>
          <w:p w:rsidRPr="0032511F" w:rsidR="006A67C4" w:rsidP="00955389" w:rsidRDefault="006A67C4" w14:paraId="2E76CA6E" w14:textId="77777777">
            <w:pPr>
              <w:spacing w:after="0" w:line="240" w:lineRule="auto"/>
              <w:jc w:val="center"/>
              <w:rPr>
                <w:rFonts w:ascii="Arial" w:hAnsi="Arial" w:eastAsia="Times New Roman" w:cs="Arial"/>
                <w:color w:val="000000"/>
                <w:sz w:val="20"/>
                <w:szCs w:val="20"/>
                <w:lang w:eastAsia="es-SV"/>
              </w:rPr>
            </w:pPr>
          </w:p>
        </w:tc>
        <w:tc>
          <w:tcPr>
            <w:tcW w:w="2013"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1E409ABB"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Financiamiento de deuda</w:t>
            </w:r>
          </w:p>
        </w:tc>
        <w:tc>
          <w:tcPr>
            <w:tcW w:w="894"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2F7CB753"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21</w:t>
            </w:r>
          </w:p>
        </w:tc>
        <w:tc>
          <w:tcPr>
            <w:tcW w:w="992"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5E91B841" w14:textId="46A5410B">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$0</w:t>
            </w:r>
            <w:r w:rsidR="00234498">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56</w:t>
            </w:r>
          </w:p>
        </w:tc>
      </w:tr>
      <w:tr w:rsidRPr="0032511F" w:rsidR="006A67C4" w:rsidTr="009A683C" w14:paraId="5C4C0ACB" w14:textId="77777777">
        <w:trPr>
          <w:trHeight w:val="300"/>
          <w:jc w:val="center"/>
        </w:trPr>
        <w:tc>
          <w:tcPr>
            <w:tcW w:w="1101" w:type="pct"/>
            <w:vMerge/>
            <w:tcBorders>
              <w:top w:val="nil"/>
              <w:left w:val="single" w:color="auto" w:sz="4" w:space="0"/>
              <w:bottom w:val="single" w:color="auto" w:sz="4" w:space="0"/>
              <w:right w:val="single" w:color="auto" w:sz="4" w:space="0"/>
            </w:tcBorders>
            <w:vAlign w:val="center"/>
            <w:hideMark/>
          </w:tcPr>
          <w:p w:rsidRPr="0032511F" w:rsidR="006A67C4" w:rsidP="00955389" w:rsidRDefault="006A67C4" w14:paraId="69776CE3" w14:textId="77777777">
            <w:pPr>
              <w:spacing w:after="0" w:line="240" w:lineRule="auto"/>
              <w:jc w:val="center"/>
              <w:rPr>
                <w:rFonts w:ascii="Arial" w:hAnsi="Arial" w:eastAsia="Times New Roman" w:cs="Arial"/>
                <w:color w:val="000000"/>
                <w:sz w:val="20"/>
                <w:szCs w:val="20"/>
                <w:lang w:eastAsia="es-SV"/>
              </w:rPr>
            </w:pPr>
          </w:p>
        </w:tc>
        <w:tc>
          <w:tcPr>
            <w:tcW w:w="2013"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25994218"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Lotes e instalación de servicios</w:t>
            </w:r>
          </w:p>
        </w:tc>
        <w:tc>
          <w:tcPr>
            <w:tcW w:w="894"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03894F57"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42</w:t>
            </w:r>
          </w:p>
        </w:tc>
        <w:tc>
          <w:tcPr>
            <w:tcW w:w="992"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45B56E0F" w14:textId="0C9AFFD8">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$0</w:t>
            </w:r>
            <w:r w:rsidR="00234498">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61</w:t>
            </w:r>
          </w:p>
        </w:tc>
      </w:tr>
      <w:tr w:rsidRPr="0032511F" w:rsidR="006A67C4" w:rsidTr="009A683C" w14:paraId="4F9E0FE3" w14:textId="77777777">
        <w:trPr>
          <w:trHeight w:val="300"/>
          <w:jc w:val="center"/>
        </w:trPr>
        <w:tc>
          <w:tcPr>
            <w:tcW w:w="1101" w:type="pct"/>
            <w:vMerge/>
            <w:tcBorders>
              <w:top w:val="nil"/>
              <w:left w:val="single" w:color="auto" w:sz="4" w:space="0"/>
              <w:bottom w:val="single" w:color="auto" w:sz="4" w:space="0"/>
              <w:right w:val="single" w:color="auto" w:sz="4" w:space="0"/>
            </w:tcBorders>
            <w:vAlign w:val="center"/>
            <w:hideMark/>
          </w:tcPr>
          <w:p w:rsidRPr="0032511F" w:rsidR="006A67C4" w:rsidP="00955389" w:rsidRDefault="006A67C4" w14:paraId="6C46E350" w14:textId="77777777">
            <w:pPr>
              <w:spacing w:after="0" w:line="240" w:lineRule="auto"/>
              <w:jc w:val="center"/>
              <w:rPr>
                <w:rFonts w:ascii="Arial" w:hAnsi="Arial" w:eastAsia="Times New Roman" w:cs="Arial"/>
                <w:color w:val="000000"/>
                <w:sz w:val="20"/>
                <w:szCs w:val="20"/>
                <w:lang w:eastAsia="es-SV"/>
              </w:rPr>
            </w:pPr>
          </w:p>
        </w:tc>
        <w:tc>
          <w:tcPr>
            <w:tcW w:w="2013" w:type="pct"/>
            <w:tcBorders>
              <w:top w:val="nil"/>
              <w:left w:val="nil"/>
              <w:bottom w:val="single" w:color="auto" w:sz="4" w:space="0"/>
              <w:right w:val="single" w:color="auto" w:sz="4" w:space="0"/>
            </w:tcBorders>
            <w:shd w:val="clear" w:color="auto" w:fill="DEEAF6" w:themeFill="accent5" w:themeFillTint="33"/>
            <w:noWrap/>
            <w:vAlign w:val="center"/>
            <w:hideMark/>
          </w:tcPr>
          <w:p w:rsidRPr="0032511F" w:rsidR="006A67C4" w:rsidP="00955389" w:rsidRDefault="006A67C4" w14:paraId="768B5E88" w14:textId="77777777">
            <w:pPr>
              <w:spacing w:after="0" w:line="240" w:lineRule="auto"/>
              <w:rPr>
                <w:rFonts w:ascii="Arial" w:hAnsi="Arial" w:eastAsia="Times New Roman" w:cs="Arial"/>
                <w:color w:val="000000"/>
                <w:sz w:val="20"/>
                <w:szCs w:val="20"/>
                <w:lang w:eastAsia="es-SV"/>
              </w:rPr>
            </w:pPr>
            <w:proofErr w:type="spellStart"/>
            <w:r w:rsidRPr="0032511F">
              <w:rPr>
                <w:rFonts w:ascii="Arial" w:hAnsi="Arial" w:eastAsia="Times New Roman" w:cs="Arial"/>
                <w:color w:val="000000"/>
                <w:sz w:val="20"/>
                <w:szCs w:val="20"/>
                <w:lang w:eastAsia="es-SV"/>
              </w:rPr>
              <w:t>Sub-total</w:t>
            </w:r>
            <w:proofErr w:type="spellEnd"/>
          </w:p>
        </w:tc>
        <w:tc>
          <w:tcPr>
            <w:tcW w:w="894" w:type="pct"/>
            <w:tcBorders>
              <w:top w:val="nil"/>
              <w:left w:val="nil"/>
              <w:bottom w:val="single" w:color="auto" w:sz="4" w:space="0"/>
              <w:right w:val="single" w:color="auto" w:sz="4" w:space="0"/>
            </w:tcBorders>
            <w:shd w:val="clear" w:color="auto" w:fill="DEEAF6" w:themeFill="accent5" w:themeFillTint="33"/>
            <w:noWrap/>
            <w:vAlign w:val="center"/>
            <w:hideMark/>
          </w:tcPr>
          <w:p w:rsidRPr="0032511F" w:rsidR="006A67C4" w:rsidP="00955389" w:rsidRDefault="006A67C4" w14:paraId="5BB68BF4" w14:textId="77685498">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w:t>
            </w:r>
            <w:r w:rsidR="00234498">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440</w:t>
            </w:r>
          </w:p>
        </w:tc>
        <w:tc>
          <w:tcPr>
            <w:tcW w:w="992" w:type="pct"/>
            <w:tcBorders>
              <w:top w:val="nil"/>
              <w:left w:val="nil"/>
              <w:bottom w:val="single" w:color="auto" w:sz="4" w:space="0"/>
              <w:right w:val="single" w:color="auto" w:sz="4" w:space="0"/>
            </w:tcBorders>
            <w:shd w:val="clear" w:color="auto" w:fill="DEEAF6" w:themeFill="accent5" w:themeFillTint="33"/>
            <w:noWrap/>
            <w:vAlign w:val="center"/>
            <w:hideMark/>
          </w:tcPr>
          <w:p w:rsidRPr="0032511F" w:rsidR="006A67C4" w:rsidP="00955389" w:rsidRDefault="006A67C4" w14:paraId="0523F5EC" w14:textId="3DEC320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$32</w:t>
            </w:r>
            <w:r w:rsidR="00234498">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38</w:t>
            </w:r>
          </w:p>
        </w:tc>
      </w:tr>
      <w:tr w:rsidRPr="0032511F" w:rsidR="006A67C4" w:rsidTr="009A683C" w14:paraId="56F132AD" w14:textId="77777777">
        <w:trPr>
          <w:trHeight w:val="300"/>
          <w:jc w:val="center"/>
        </w:trPr>
        <w:tc>
          <w:tcPr>
            <w:tcW w:w="1101" w:type="pct"/>
            <w:vMerge w:val="restart"/>
            <w:tcBorders>
              <w:top w:val="nil"/>
              <w:left w:val="single" w:color="auto" w:sz="4" w:space="0"/>
              <w:bottom w:val="single" w:color="auto" w:sz="4" w:space="0"/>
              <w:right w:val="single" w:color="auto" w:sz="4" w:space="0"/>
            </w:tcBorders>
            <w:shd w:val="clear" w:color="auto" w:fill="auto"/>
            <w:noWrap/>
            <w:vAlign w:val="center"/>
            <w:hideMark/>
          </w:tcPr>
          <w:p w:rsidRPr="0032511F" w:rsidR="006A67C4" w:rsidP="00955389" w:rsidRDefault="006A67C4" w14:paraId="7DD4574B"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Sin desembolso</w:t>
            </w:r>
          </w:p>
        </w:tc>
        <w:tc>
          <w:tcPr>
            <w:tcW w:w="2013"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5625E4A9"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Inmuebles recuperados</w:t>
            </w:r>
          </w:p>
        </w:tc>
        <w:tc>
          <w:tcPr>
            <w:tcW w:w="894"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06C21086"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918</w:t>
            </w:r>
          </w:p>
        </w:tc>
        <w:tc>
          <w:tcPr>
            <w:tcW w:w="992"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5E009216" w14:textId="4E559E01">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$11</w:t>
            </w:r>
            <w:r w:rsidR="00234498">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17</w:t>
            </w:r>
          </w:p>
        </w:tc>
      </w:tr>
      <w:tr w:rsidRPr="0032511F" w:rsidR="006A67C4" w:rsidTr="009A683C" w14:paraId="3F000188" w14:textId="77777777">
        <w:trPr>
          <w:trHeight w:val="300"/>
          <w:jc w:val="center"/>
        </w:trPr>
        <w:tc>
          <w:tcPr>
            <w:tcW w:w="1101" w:type="pct"/>
            <w:vMerge/>
            <w:tcBorders>
              <w:top w:val="nil"/>
              <w:left w:val="single" w:color="auto" w:sz="4" w:space="0"/>
              <w:bottom w:val="single" w:color="auto" w:sz="4" w:space="0"/>
              <w:right w:val="single" w:color="auto" w:sz="4" w:space="0"/>
            </w:tcBorders>
            <w:vAlign w:val="center"/>
            <w:hideMark/>
          </w:tcPr>
          <w:p w:rsidRPr="0032511F" w:rsidR="006A67C4" w:rsidP="00955389" w:rsidRDefault="006A67C4" w14:paraId="7E320B22" w14:textId="77777777">
            <w:pPr>
              <w:spacing w:after="0" w:line="240" w:lineRule="auto"/>
              <w:jc w:val="center"/>
              <w:rPr>
                <w:rFonts w:ascii="Arial" w:hAnsi="Arial" w:eastAsia="Times New Roman" w:cs="Arial"/>
                <w:color w:val="000000"/>
                <w:sz w:val="20"/>
                <w:szCs w:val="20"/>
                <w:lang w:eastAsia="es-SV"/>
              </w:rPr>
            </w:pPr>
          </w:p>
        </w:tc>
        <w:tc>
          <w:tcPr>
            <w:tcW w:w="2013"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60E213F5" w14:textId="77777777">
            <w:pPr>
              <w:spacing w:after="0" w:line="240" w:lineRule="auto"/>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Refinanciamiento</w:t>
            </w:r>
          </w:p>
        </w:tc>
        <w:tc>
          <w:tcPr>
            <w:tcW w:w="894"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5C247A8A" w14:textId="77777777">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82</w:t>
            </w:r>
          </w:p>
        </w:tc>
        <w:tc>
          <w:tcPr>
            <w:tcW w:w="992" w:type="pct"/>
            <w:tcBorders>
              <w:top w:val="nil"/>
              <w:left w:val="nil"/>
              <w:bottom w:val="single" w:color="auto" w:sz="4" w:space="0"/>
              <w:right w:val="single" w:color="auto" w:sz="4" w:space="0"/>
            </w:tcBorders>
            <w:shd w:val="clear" w:color="auto" w:fill="auto"/>
            <w:noWrap/>
            <w:vAlign w:val="center"/>
            <w:hideMark/>
          </w:tcPr>
          <w:p w:rsidRPr="0032511F" w:rsidR="006A67C4" w:rsidP="00955389" w:rsidRDefault="006A67C4" w14:paraId="7E7DE67B" w14:textId="7592CBB9">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w:t>
            </w:r>
            <w:r w:rsidR="00234498">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20</w:t>
            </w:r>
          </w:p>
        </w:tc>
      </w:tr>
      <w:tr w:rsidRPr="0032511F" w:rsidR="006A67C4" w:rsidTr="009A683C" w14:paraId="42BED2BA" w14:textId="77777777">
        <w:trPr>
          <w:trHeight w:val="300"/>
          <w:jc w:val="center"/>
        </w:trPr>
        <w:tc>
          <w:tcPr>
            <w:tcW w:w="1101" w:type="pct"/>
            <w:vMerge/>
            <w:tcBorders>
              <w:top w:val="nil"/>
              <w:left w:val="single" w:color="auto" w:sz="4" w:space="0"/>
              <w:bottom w:val="single" w:color="auto" w:sz="4" w:space="0"/>
              <w:right w:val="single" w:color="auto" w:sz="4" w:space="0"/>
            </w:tcBorders>
            <w:vAlign w:val="center"/>
            <w:hideMark/>
          </w:tcPr>
          <w:p w:rsidRPr="0032511F" w:rsidR="006A67C4" w:rsidP="00955389" w:rsidRDefault="006A67C4" w14:paraId="7E479A31" w14:textId="77777777">
            <w:pPr>
              <w:spacing w:after="0" w:line="240" w:lineRule="auto"/>
              <w:jc w:val="center"/>
              <w:rPr>
                <w:rFonts w:ascii="Arial" w:hAnsi="Arial" w:eastAsia="Times New Roman" w:cs="Arial"/>
                <w:color w:val="000000"/>
                <w:sz w:val="20"/>
                <w:szCs w:val="20"/>
                <w:lang w:eastAsia="es-SV"/>
              </w:rPr>
            </w:pPr>
          </w:p>
        </w:tc>
        <w:tc>
          <w:tcPr>
            <w:tcW w:w="2013" w:type="pct"/>
            <w:tcBorders>
              <w:top w:val="nil"/>
              <w:left w:val="nil"/>
              <w:bottom w:val="single" w:color="auto" w:sz="4" w:space="0"/>
              <w:right w:val="single" w:color="auto" w:sz="4" w:space="0"/>
            </w:tcBorders>
            <w:shd w:val="clear" w:color="auto" w:fill="DEEAF6" w:themeFill="accent5" w:themeFillTint="33"/>
            <w:noWrap/>
            <w:vAlign w:val="center"/>
            <w:hideMark/>
          </w:tcPr>
          <w:p w:rsidRPr="0032511F" w:rsidR="006A67C4" w:rsidP="00955389" w:rsidRDefault="006A67C4" w14:paraId="1BF33733" w14:textId="77777777">
            <w:pPr>
              <w:spacing w:after="0" w:line="240" w:lineRule="auto"/>
              <w:rPr>
                <w:rFonts w:ascii="Arial" w:hAnsi="Arial" w:eastAsia="Times New Roman" w:cs="Arial"/>
                <w:color w:val="000000"/>
                <w:sz w:val="20"/>
                <w:szCs w:val="20"/>
                <w:lang w:eastAsia="es-SV"/>
              </w:rPr>
            </w:pPr>
            <w:proofErr w:type="spellStart"/>
            <w:r w:rsidRPr="0032511F">
              <w:rPr>
                <w:rFonts w:ascii="Arial" w:hAnsi="Arial" w:eastAsia="Times New Roman" w:cs="Arial"/>
                <w:color w:val="000000"/>
                <w:sz w:val="20"/>
                <w:szCs w:val="20"/>
                <w:lang w:eastAsia="es-SV"/>
              </w:rPr>
              <w:t>Sub-total</w:t>
            </w:r>
            <w:proofErr w:type="spellEnd"/>
          </w:p>
        </w:tc>
        <w:tc>
          <w:tcPr>
            <w:tcW w:w="894" w:type="pct"/>
            <w:tcBorders>
              <w:top w:val="nil"/>
              <w:left w:val="nil"/>
              <w:bottom w:val="single" w:color="auto" w:sz="4" w:space="0"/>
              <w:right w:val="single" w:color="auto" w:sz="4" w:space="0"/>
            </w:tcBorders>
            <w:shd w:val="clear" w:color="auto" w:fill="DEEAF6" w:themeFill="accent5" w:themeFillTint="33"/>
            <w:noWrap/>
            <w:vAlign w:val="center"/>
            <w:hideMark/>
          </w:tcPr>
          <w:p w:rsidRPr="0032511F" w:rsidR="006A67C4" w:rsidP="00955389" w:rsidRDefault="006A67C4" w14:paraId="5C995A7F" w14:textId="0D0768FE">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w:t>
            </w:r>
            <w:r w:rsidR="00234498">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000</w:t>
            </w:r>
          </w:p>
        </w:tc>
        <w:tc>
          <w:tcPr>
            <w:tcW w:w="992" w:type="pct"/>
            <w:tcBorders>
              <w:top w:val="nil"/>
              <w:left w:val="nil"/>
              <w:bottom w:val="single" w:color="auto" w:sz="4" w:space="0"/>
              <w:right w:val="single" w:color="auto" w:sz="4" w:space="0"/>
            </w:tcBorders>
            <w:shd w:val="clear" w:color="auto" w:fill="DEEAF6" w:themeFill="accent5" w:themeFillTint="33"/>
            <w:noWrap/>
            <w:vAlign w:val="center"/>
            <w:hideMark/>
          </w:tcPr>
          <w:p w:rsidRPr="0032511F" w:rsidR="006A67C4" w:rsidP="00955389" w:rsidRDefault="006A67C4" w14:paraId="0231921B" w14:textId="293C08CB">
            <w:pPr>
              <w:spacing w:after="0" w:line="240" w:lineRule="auto"/>
              <w:jc w:val="center"/>
              <w:rPr>
                <w:rFonts w:ascii="Arial" w:hAnsi="Arial" w:eastAsia="Times New Roman" w:cs="Arial"/>
                <w:color w:val="000000"/>
                <w:sz w:val="20"/>
                <w:szCs w:val="20"/>
                <w:lang w:eastAsia="es-SV"/>
              </w:rPr>
            </w:pPr>
            <w:r w:rsidRPr="0032511F">
              <w:rPr>
                <w:rFonts w:ascii="Arial" w:hAnsi="Arial" w:eastAsia="Times New Roman" w:cs="Arial"/>
                <w:color w:val="000000"/>
                <w:sz w:val="20"/>
                <w:szCs w:val="20"/>
                <w:lang w:eastAsia="es-SV"/>
              </w:rPr>
              <w:t>$12</w:t>
            </w:r>
            <w:r w:rsidR="00234498">
              <w:rPr>
                <w:rFonts w:ascii="Arial" w:hAnsi="Arial" w:eastAsia="Times New Roman" w:cs="Arial"/>
                <w:color w:val="000000"/>
                <w:sz w:val="20"/>
                <w:szCs w:val="20"/>
                <w:lang w:eastAsia="es-SV"/>
              </w:rPr>
              <w:t>,</w:t>
            </w:r>
            <w:r w:rsidRPr="0032511F">
              <w:rPr>
                <w:rFonts w:ascii="Arial" w:hAnsi="Arial" w:eastAsia="Times New Roman" w:cs="Arial"/>
                <w:color w:val="000000"/>
                <w:sz w:val="20"/>
                <w:szCs w:val="20"/>
                <w:lang w:eastAsia="es-SV"/>
              </w:rPr>
              <w:t>37</w:t>
            </w:r>
          </w:p>
        </w:tc>
      </w:tr>
      <w:tr w:rsidRPr="0032511F" w:rsidR="006A67C4" w:rsidTr="009A683C" w14:paraId="084DFF4D" w14:textId="77777777">
        <w:trPr>
          <w:trHeight w:val="300"/>
          <w:jc w:val="center"/>
        </w:trPr>
        <w:tc>
          <w:tcPr>
            <w:tcW w:w="3114" w:type="pct"/>
            <w:gridSpan w:val="2"/>
            <w:tcBorders>
              <w:top w:val="single" w:color="auto" w:sz="4" w:space="0"/>
              <w:left w:val="single" w:color="auto" w:sz="4" w:space="0"/>
              <w:bottom w:val="single" w:color="auto" w:sz="4" w:space="0"/>
              <w:right w:val="single" w:color="auto" w:sz="4" w:space="0"/>
            </w:tcBorders>
            <w:shd w:val="clear" w:color="auto" w:fill="323E4F" w:themeFill="text2" w:themeFillShade="BF"/>
            <w:noWrap/>
            <w:vAlign w:val="center"/>
            <w:hideMark/>
          </w:tcPr>
          <w:p w:rsidRPr="0032511F" w:rsidR="006A67C4" w:rsidP="00955389" w:rsidRDefault="006A67C4" w14:paraId="2DA6F6E6" w14:textId="77777777">
            <w:pPr>
              <w:spacing w:after="0" w:line="240" w:lineRule="auto"/>
              <w:jc w:val="center"/>
              <w:rPr>
                <w:rFonts w:ascii="Arial" w:hAnsi="Arial" w:eastAsia="Times New Roman" w:cs="Arial"/>
                <w:color w:val="FFFFFF"/>
                <w:sz w:val="20"/>
                <w:szCs w:val="20"/>
                <w:lang w:eastAsia="es-SV"/>
              </w:rPr>
            </w:pPr>
            <w:r w:rsidRPr="0032511F">
              <w:rPr>
                <w:rFonts w:ascii="Arial" w:hAnsi="Arial" w:eastAsia="Times New Roman" w:cs="Arial"/>
                <w:color w:val="FFFFFF"/>
                <w:sz w:val="20"/>
                <w:szCs w:val="20"/>
                <w:lang w:eastAsia="es-SV"/>
              </w:rPr>
              <w:t>Total</w:t>
            </w:r>
          </w:p>
        </w:tc>
        <w:tc>
          <w:tcPr>
            <w:tcW w:w="894" w:type="pct"/>
            <w:tcBorders>
              <w:top w:val="nil"/>
              <w:left w:val="nil"/>
              <w:bottom w:val="single" w:color="auto" w:sz="4" w:space="0"/>
              <w:right w:val="single" w:color="auto" w:sz="4" w:space="0"/>
            </w:tcBorders>
            <w:shd w:val="clear" w:color="auto" w:fill="323E4F" w:themeFill="text2" w:themeFillShade="BF"/>
            <w:noWrap/>
            <w:vAlign w:val="center"/>
            <w:hideMark/>
          </w:tcPr>
          <w:p w:rsidRPr="0032511F" w:rsidR="006A67C4" w:rsidP="00955389" w:rsidRDefault="006A67C4" w14:paraId="795AB16A" w14:textId="4EAF673C">
            <w:pPr>
              <w:spacing w:after="0" w:line="240" w:lineRule="auto"/>
              <w:jc w:val="center"/>
              <w:rPr>
                <w:rFonts w:ascii="Arial" w:hAnsi="Arial" w:eastAsia="Times New Roman" w:cs="Arial"/>
                <w:color w:val="FFFFFF"/>
                <w:sz w:val="20"/>
                <w:szCs w:val="20"/>
                <w:lang w:eastAsia="es-SV"/>
              </w:rPr>
            </w:pPr>
            <w:r w:rsidRPr="0032511F">
              <w:rPr>
                <w:rFonts w:ascii="Arial" w:hAnsi="Arial" w:eastAsia="Times New Roman" w:cs="Arial"/>
                <w:color w:val="FFFFFF"/>
                <w:sz w:val="20"/>
                <w:szCs w:val="20"/>
                <w:lang w:eastAsia="es-SV"/>
              </w:rPr>
              <w:t>2</w:t>
            </w:r>
            <w:r w:rsidR="00234498">
              <w:rPr>
                <w:rFonts w:ascii="Arial" w:hAnsi="Arial" w:eastAsia="Times New Roman" w:cs="Arial"/>
                <w:color w:val="FFFFFF"/>
                <w:sz w:val="20"/>
                <w:szCs w:val="20"/>
                <w:lang w:eastAsia="es-SV"/>
              </w:rPr>
              <w:t>.</w:t>
            </w:r>
            <w:r w:rsidRPr="0032511F">
              <w:rPr>
                <w:rFonts w:ascii="Arial" w:hAnsi="Arial" w:eastAsia="Times New Roman" w:cs="Arial"/>
                <w:color w:val="FFFFFF"/>
                <w:sz w:val="20"/>
                <w:szCs w:val="20"/>
                <w:lang w:eastAsia="es-SV"/>
              </w:rPr>
              <w:t>440</w:t>
            </w:r>
          </w:p>
        </w:tc>
        <w:tc>
          <w:tcPr>
            <w:tcW w:w="992" w:type="pct"/>
            <w:tcBorders>
              <w:top w:val="nil"/>
              <w:left w:val="nil"/>
              <w:bottom w:val="single" w:color="auto" w:sz="4" w:space="0"/>
              <w:right w:val="single" w:color="auto" w:sz="4" w:space="0"/>
            </w:tcBorders>
            <w:shd w:val="clear" w:color="auto" w:fill="323E4F" w:themeFill="text2" w:themeFillShade="BF"/>
            <w:noWrap/>
            <w:vAlign w:val="center"/>
            <w:hideMark/>
          </w:tcPr>
          <w:p w:rsidRPr="0032511F" w:rsidR="006A67C4" w:rsidP="00955389" w:rsidRDefault="006A67C4" w14:paraId="275523E0" w14:textId="4F7C3BFD">
            <w:pPr>
              <w:spacing w:after="0" w:line="240" w:lineRule="auto"/>
              <w:jc w:val="center"/>
              <w:rPr>
                <w:rFonts w:ascii="Arial" w:hAnsi="Arial" w:eastAsia="Times New Roman" w:cs="Arial"/>
                <w:color w:val="FFFFFF"/>
                <w:sz w:val="20"/>
                <w:szCs w:val="20"/>
                <w:lang w:eastAsia="es-SV"/>
              </w:rPr>
            </w:pPr>
            <w:r w:rsidRPr="0032511F">
              <w:rPr>
                <w:rFonts w:ascii="Arial" w:hAnsi="Arial" w:eastAsia="Times New Roman" w:cs="Arial"/>
                <w:color w:val="FFFFFF"/>
                <w:sz w:val="20"/>
                <w:szCs w:val="20"/>
                <w:lang w:eastAsia="es-SV"/>
              </w:rPr>
              <w:t>$44</w:t>
            </w:r>
            <w:r w:rsidR="00234498">
              <w:rPr>
                <w:rFonts w:ascii="Arial" w:hAnsi="Arial" w:eastAsia="Times New Roman" w:cs="Arial"/>
                <w:color w:val="FFFFFF"/>
                <w:sz w:val="20"/>
                <w:szCs w:val="20"/>
                <w:lang w:eastAsia="es-SV"/>
              </w:rPr>
              <w:t>,</w:t>
            </w:r>
            <w:r w:rsidRPr="0032511F">
              <w:rPr>
                <w:rFonts w:ascii="Arial" w:hAnsi="Arial" w:eastAsia="Times New Roman" w:cs="Arial"/>
                <w:color w:val="FFFFFF"/>
                <w:sz w:val="20"/>
                <w:szCs w:val="20"/>
                <w:lang w:eastAsia="es-SV"/>
              </w:rPr>
              <w:t>75</w:t>
            </w:r>
          </w:p>
        </w:tc>
      </w:tr>
      <w:tr w:rsidRPr="0032511F" w:rsidR="006A67C4" w:rsidTr="009A683C" w14:paraId="517A54A6" w14:textId="77777777">
        <w:trPr>
          <w:trHeight w:val="300"/>
          <w:jc w:val="center"/>
        </w:trPr>
        <w:tc>
          <w:tcPr>
            <w:tcW w:w="3114" w:type="pct"/>
            <w:gridSpan w:val="2"/>
            <w:tcBorders>
              <w:top w:val="nil"/>
              <w:left w:val="nil"/>
              <w:bottom w:val="nil"/>
              <w:right w:val="nil"/>
            </w:tcBorders>
            <w:shd w:val="clear" w:color="auto" w:fill="auto"/>
            <w:noWrap/>
            <w:vAlign w:val="center"/>
            <w:hideMark/>
          </w:tcPr>
          <w:p w:rsidRPr="0032511F" w:rsidR="006A67C4" w:rsidP="00955389" w:rsidRDefault="006A67C4" w14:paraId="3347E5EB" w14:textId="77777777">
            <w:pPr>
              <w:spacing w:after="0" w:line="240" w:lineRule="auto"/>
              <w:rPr>
                <w:rFonts w:ascii="Arial" w:hAnsi="Arial" w:eastAsia="Times New Roman" w:cs="Arial"/>
                <w:color w:val="000000"/>
                <w:sz w:val="18"/>
                <w:szCs w:val="18"/>
                <w:lang w:eastAsia="es-SV"/>
              </w:rPr>
            </w:pPr>
            <w:r w:rsidRPr="0032511F">
              <w:rPr>
                <w:rFonts w:ascii="Arial" w:hAnsi="Arial" w:eastAsia="Times New Roman" w:cs="Arial"/>
                <w:color w:val="000000"/>
                <w:sz w:val="18"/>
                <w:szCs w:val="18"/>
                <w:lang w:eastAsia="es-SV"/>
              </w:rPr>
              <w:t>Fuente: Sistema de información gerencial, 01/04/2020.</w:t>
            </w:r>
          </w:p>
        </w:tc>
        <w:tc>
          <w:tcPr>
            <w:tcW w:w="894" w:type="pct"/>
            <w:tcBorders>
              <w:top w:val="nil"/>
              <w:left w:val="nil"/>
              <w:bottom w:val="nil"/>
              <w:right w:val="nil"/>
            </w:tcBorders>
            <w:shd w:val="clear" w:color="auto" w:fill="auto"/>
            <w:noWrap/>
            <w:vAlign w:val="center"/>
            <w:hideMark/>
          </w:tcPr>
          <w:p w:rsidRPr="0032511F" w:rsidR="006A67C4" w:rsidP="00955389" w:rsidRDefault="006A67C4" w14:paraId="684C4402" w14:textId="77777777">
            <w:pPr>
              <w:spacing w:after="0" w:line="240" w:lineRule="auto"/>
              <w:jc w:val="center"/>
              <w:rPr>
                <w:rFonts w:ascii="Arial" w:hAnsi="Arial" w:eastAsia="Times New Roman" w:cs="Arial"/>
                <w:color w:val="000000"/>
                <w:sz w:val="20"/>
                <w:szCs w:val="20"/>
                <w:lang w:eastAsia="es-SV"/>
              </w:rPr>
            </w:pPr>
          </w:p>
        </w:tc>
        <w:tc>
          <w:tcPr>
            <w:tcW w:w="992" w:type="pct"/>
            <w:tcBorders>
              <w:top w:val="nil"/>
              <w:left w:val="nil"/>
              <w:bottom w:val="nil"/>
              <w:right w:val="nil"/>
            </w:tcBorders>
            <w:shd w:val="clear" w:color="auto" w:fill="auto"/>
            <w:noWrap/>
            <w:vAlign w:val="center"/>
            <w:hideMark/>
          </w:tcPr>
          <w:p w:rsidRPr="0032511F" w:rsidR="006A67C4" w:rsidP="00955389" w:rsidRDefault="006A67C4" w14:paraId="50D9E02F" w14:textId="77777777">
            <w:pPr>
              <w:spacing w:after="0" w:line="240" w:lineRule="auto"/>
              <w:jc w:val="center"/>
              <w:rPr>
                <w:rFonts w:ascii="Arial" w:hAnsi="Arial" w:eastAsia="Times New Roman" w:cs="Arial"/>
                <w:sz w:val="20"/>
                <w:szCs w:val="20"/>
                <w:lang w:eastAsia="es-SV"/>
              </w:rPr>
            </w:pPr>
          </w:p>
        </w:tc>
      </w:tr>
    </w:tbl>
    <w:p w:rsidRPr="0032511F" w:rsidR="006A67C4" w:rsidP="00BF3655" w:rsidRDefault="006A67C4" w14:paraId="76A11826" w14:textId="77777777">
      <w:pPr>
        <w:pStyle w:val="ListParagraph"/>
        <w:spacing w:after="0" w:line="276" w:lineRule="auto"/>
        <w:ind w:left="0"/>
        <w:jc w:val="both"/>
        <w:rPr>
          <w:rFonts w:ascii="Arial" w:hAnsi="Arial" w:cs="Arial"/>
        </w:rPr>
      </w:pPr>
    </w:p>
    <w:p w:rsidRPr="0032511F" w:rsidR="0063293B" w:rsidP="001F033A" w:rsidRDefault="00955389" w14:paraId="0126F98F" w14:textId="63A11FEB">
      <w:pPr>
        <w:pStyle w:val="ListParagraph"/>
        <w:numPr>
          <w:ilvl w:val="0"/>
          <w:numId w:val="1"/>
        </w:numPr>
        <w:ind w:left="426" w:hanging="426"/>
        <w:jc w:val="both"/>
        <w:rPr>
          <w:rFonts w:ascii="Arial" w:hAnsi="Arial" w:cs="Arial"/>
          <w:b/>
          <w:bCs/>
        </w:rPr>
      </w:pPr>
      <w:r w:rsidRPr="0032511F">
        <w:rPr>
          <w:rFonts w:ascii="Arial" w:hAnsi="Arial" w:cs="Arial"/>
          <w:b/>
          <w:u w:val="single"/>
        </w:rPr>
        <w:t>Oferta de Vivienda nueva</w:t>
      </w:r>
    </w:p>
    <w:p w:rsidRPr="0032511F" w:rsidR="0023495D" w:rsidP="0023495D" w:rsidRDefault="0023495D" w14:paraId="192966D3" w14:textId="684E2350">
      <w:pPr>
        <w:spacing w:after="0" w:line="276" w:lineRule="auto"/>
        <w:jc w:val="both"/>
        <w:rPr>
          <w:rFonts w:ascii="Arial" w:hAnsi="Arial" w:cs="Arial"/>
        </w:rPr>
      </w:pPr>
      <w:r w:rsidRPr="0032511F">
        <w:rPr>
          <w:rFonts w:ascii="Arial" w:hAnsi="Arial" w:cs="Arial"/>
        </w:rPr>
        <w:t xml:space="preserve">El Fondo Social para la Vivienda ha visto incrementado la </w:t>
      </w:r>
      <w:r w:rsidRPr="0032511F" w:rsidR="00335AC8">
        <w:rPr>
          <w:rFonts w:ascii="Arial" w:hAnsi="Arial" w:cs="Arial"/>
        </w:rPr>
        <w:t xml:space="preserve">oferta de </w:t>
      </w:r>
      <w:r w:rsidRPr="0032511F">
        <w:rPr>
          <w:rFonts w:ascii="Arial" w:hAnsi="Arial" w:cs="Arial"/>
        </w:rPr>
        <w:t>vivienda nueva</w:t>
      </w:r>
      <w:r w:rsidRPr="0032511F" w:rsidR="00335AC8">
        <w:rPr>
          <w:rFonts w:ascii="Arial" w:hAnsi="Arial" w:cs="Arial"/>
        </w:rPr>
        <w:t xml:space="preserve">, es decir, que </w:t>
      </w:r>
      <w:r w:rsidRPr="0032511F" w:rsidR="0031123F">
        <w:rPr>
          <w:rFonts w:ascii="Arial" w:hAnsi="Arial" w:cs="Arial"/>
        </w:rPr>
        <w:t xml:space="preserve">ha sido mayor la cantidad de </w:t>
      </w:r>
      <w:r w:rsidRPr="0032511F" w:rsidR="00335AC8">
        <w:rPr>
          <w:rFonts w:ascii="Arial" w:hAnsi="Arial" w:cs="Arial"/>
        </w:rPr>
        <w:t xml:space="preserve">desarrolladores de vivienda que son </w:t>
      </w:r>
      <w:r w:rsidRPr="0032511F">
        <w:rPr>
          <w:rFonts w:ascii="Arial" w:hAnsi="Arial" w:cs="Arial"/>
        </w:rPr>
        <w:t>propietari</w:t>
      </w:r>
      <w:r w:rsidRPr="0032511F" w:rsidR="00DD6D07">
        <w:rPr>
          <w:rFonts w:ascii="Arial" w:hAnsi="Arial" w:cs="Arial"/>
        </w:rPr>
        <w:t>o</w:t>
      </w:r>
      <w:r w:rsidRPr="0032511F" w:rsidR="00335AC8">
        <w:rPr>
          <w:rFonts w:ascii="Arial" w:hAnsi="Arial" w:cs="Arial"/>
        </w:rPr>
        <w:t>s</w:t>
      </w:r>
      <w:r w:rsidRPr="0032511F">
        <w:rPr>
          <w:rFonts w:ascii="Arial" w:hAnsi="Arial" w:cs="Arial"/>
        </w:rPr>
        <w:t xml:space="preserve"> de</w:t>
      </w:r>
      <w:r w:rsidRPr="0032511F" w:rsidR="00335AC8">
        <w:rPr>
          <w:rFonts w:ascii="Arial" w:hAnsi="Arial" w:cs="Arial"/>
        </w:rPr>
        <w:t xml:space="preserve"> </w:t>
      </w:r>
      <w:r w:rsidRPr="0032511F">
        <w:rPr>
          <w:rFonts w:ascii="Arial" w:hAnsi="Arial" w:cs="Arial"/>
        </w:rPr>
        <w:t>proyecto</w:t>
      </w:r>
      <w:r w:rsidRPr="0032511F" w:rsidR="00335AC8">
        <w:rPr>
          <w:rFonts w:ascii="Arial" w:hAnsi="Arial" w:cs="Arial"/>
        </w:rPr>
        <w:t>s</w:t>
      </w:r>
      <w:r w:rsidRPr="0032511F">
        <w:rPr>
          <w:rFonts w:ascii="Arial" w:hAnsi="Arial" w:cs="Arial"/>
        </w:rPr>
        <w:t xml:space="preserve"> habitacional</w:t>
      </w:r>
      <w:r w:rsidRPr="0032511F" w:rsidR="00335AC8">
        <w:rPr>
          <w:rFonts w:ascii="Arial" w:hAnsi="Arial" w:cs="Arial"/>
        </w:rPr>
        <w:t xml:space="preserve">es </w:t>
      </w:r>
      <w:r w:rsidRPr="0032511F" w:rsidR="0031123F">
        <w:rPr>
          <w:rFonts w:ascii="Arial" w:hAnsi="Arial" w:cs="Arial"/>
        </w:rPr>
        <w:t xml:space="preserve">que </w:t>
      </w:r>
      <w:r w:rsidRPr="0032511F" w:rsidR="00335AC8">
        <w:rPr>
          <w:rFonts w:ascii="Arial" w:hAnsi="Arial" w:cs="Arial"/>
        </w:rPr>
        <w:t xml:space="preserve">han solicitado </w:t>
      </w:r>
      <w:r w:rsidRPr="0032511F">
        <w:rPr>
          <w:rFonts w:ascii="Arial" w:hAnsi="Arial" w:cs="Arial"/>
        </w:rPr>
        <w:t>factibilidad</w:t>
      </w:r>
      <w:r w:rsidRPr="0032511F" w:rsidR="00335AC8">
        <w:rPr>
          <w:rFonts w:ascii="Arial" w:hAnsi="Arial" w:cs="Arial"/>
        </w:rPr>
        <w:t>es</w:t>
      </w:r>
      <w:r w:rsidRPr="0032511F">
        <w:rPr>
          <w:rFonts w:ascii="Arial" w:hAnsi="Arial" w:cs="Arial"/>
        </w:rPr>
        <w:t xml:space="preserve"> de financiamiento a largo plazo para sus clientes que desean financiar la compra de su vivienda por medio de crédito en el FSV</w:t>
      </w:r>
      <w:r w:rsidRPr="0032511F" w:rsidR="00335AC8">
        <w:rPr>
          <w:rFonts w:ascii="Arial" w:hAnsi="Arial" w:cs="Arial"/>
        </w:rPr>
        <w:t>, calificando sus proyectos habitacionales presentando toda la documentación requerida y todas las aprobaciones de las entidades reguladoras para la construcción de vivienda</w:t>
      </w:r>
      <w:r w:rsidRPr="0032511F">
        <w:rPr>
          <w:rFonts w:ascii="Arial" w:hAnsi="Arial" w:cs="Arial"/>
        </w:rPr>
        <w:t>.</w:t>
      </w:r>
    </w:p>
    <w:p w:rsidRPr="0032511F" w:rsidR="00335AC8" w:rsidP="0023495D" w:rsidRDefault="00335AC8" w14:paraId="4E3203C3" w14:textId="77777777">
      <w:pPr>
        <w:pStyle w:val="ListParagraph"/>
        <w:spacing w:after="0" w:line="276" w:lineRule="auto"/>
        <w:ind w:left="0"/>
        <w:jc w:val="both"/>
        <w:rPr>
          <w:rFonts w:ascii="Arial" w:hAnsi="Arial" w:cs="Arial"/>
        </w:rPr>
      </w:pPr>
    </w:p>
    <w:p w:rsidRPr="0032511F" w:rsidR="00955389" w:rsidP="0023495D" w:rsidRDefault="00335AC8" w14:paraId="02BA848A" w14:textId="4128B478">
      <w:pPr>
        <w:pStyle w:val="ListParagraph"/>
        <w:spacing w:after="0" w:line="276" w:lineRule="auto"/>
        <w:ind w:left="0"/>
        <w:jc w:val="both"/>
        <w:rPr>
          <w:rFonts w:ascii="Arial" w:hAnsi="Arial" w:cs="Arial"/>
        </w:rPr>
      </w:pPr>
      <w:r w:rsidRPr="0032511F">
        <w:rPr>
          <w:rFonts w:ascii="Arial" w:hAnsi="Arial" w:cs="Arial"/>
        </w:rPr>
        <w:t>Cuando el FSV otorga una fa</w:t>
      </w:r>
      <w:r w:rsidRPr="0032511F" w:rsidR="0023495D">
        <w:rPr>
          <w:rFonts w:ascii="Arial" w:hAnsi="Arial" w:cs="Arial"/>
        </w:rPr>
        <w:t xml:space="preserve">ctibilidad de </w:t>
      </w:r>
      <w:r w:rsidRPr="0032511F">
        <w:rPr>
          <w:rFonts w:ascii="Arial" w:hAnsi="Arial" w:cs="Arial"/>
        </w:rPr>
        <w:t>f</w:t>
      </w:r>
      <w:r w:rsidRPr="0032511F" w:rsidR="0023495D">
        <w:rPr>
          <w:rFonts w:ascii="Arial" w:hAnsi="Arial" w:cs="Arial"/>
        </w:rPr>
        <w:t xml:space="preserve">inanciamiento </w:t>
      </w:r>
      <w:r w:rsidRPr="0032511F" w:rsidR="00361A2F">
        <w:rPr>
          <w:rFonts w:ascii="Arial" w:hAnsi="Arial" w:cs="Arial"/>
        </w:rPr>
        <w:t>a los proyectos habitacionales</w:t>
      </w:r>
      <w:r w:rsidRPr="0032511F">
        <w:rPr>
          <w:rFonts w:ascii="Arial" w:hAnsi="Arial" w:cs="Arial"/>
        </w:rPr>
        <w:t xml:space="preserve">, está otorgando el aval para </w:t>
      </w:r>
      <w:r w:rsidRPr="0032511F" w:rsidR="0023495D">
        <w:rPr>
          <w:rFonts w:ascii="Arial" w:hAnsi="Arial" w:cs="Arial"/>
        </w:rPr>
        <w:t xml:space="preserve">atender a los </w:t>
      </w:r>
      <w:r w:rsidRPr="0032511F">
        <w:rPr>
          <w:rFonts w:ascii="Arial" w:hAnsi="Arial" w:cs="Arial"/>
        </w:rPr>
        <w:t>clientes de la empresa constructora que estén</w:t>
      </w:r>
      <w:r w:rsidRPr="0032511F" w:rsidR="0023495D">
        <w:rPr>
          <w:rFonts w:ascii="Arial" w:hAnsi="Arial" w:cs="Arial"/>
        </w:rPr>
        <w:t xml:space="preserve"> interesados en adquirir viviendas nuevas de los proyectos calificados</w:t>
      </w:r>
      <w:r w:rsidRPr="0032511F">
        <w:rPr>
          <w:rFonts w:ascii="Arial" w:hAnsi="Arial" w:cs="Arial"/>
        </w:rPr>
        <w:t xml:space="preserve"> y que requieren un crédito para poder realizar la compra de la vivienda que ha sido de su interés.</w:t>
      </w:r>
    </w:p>
    <w:p w:rsidRPr="0032511F" w:rsidR="00335AC8" w:rsidP="0023495D" w:rsidRDefault="00335AC8" w14:paraId="1C961121" w14:textId="441BED37">
      <w:pPr>
        <w:pStyle w:val="ListParagraph"/>
        <w:spacing w:after="0" w:line="276" w:lineRule="auto"/>
        <w:ind w:left="0"/>
        <w:jc w:val="both"/>
        <w:rPr>
          <w:rFonts w:ascii="Arial" w:hAnsi="Arial" w:cs="Arial"/>
        </w:rPr>
      </w:pPr>
    </w:p>
    <w:p w:rsidRPr="0032511F" w:rsidR="00335AC8" w:rsidP="0023495D" w:rsidRDefault="00335AC8" w14:paraId="7E6822BB" w14:textId="77A292D4">
      <w:pPr>
        <w:pStyle w:val="ListParagraph"/>
        <w:spacing w:after="0" w:line="276" w:lineRule="auto"/>
        <w:ind w:left="0"/>
        <w:jc w:val="both"/>
        <w:rPr>
          <w:rFonts w:ascii="Arial" w:hAnsi="Arial" w:cs="Arial"/>
        </w:rPr>
      </w:pPr>
      <w:r w:rsidRPr="0032511F">
        <w:rPr>
          <w:rFonts w:ascii="Arial" w:hAnsi="Arial" w:cs="Arial"/>
        </w:rPr>
        <w:lastRenderedPageBreak/>
        <w:t xml:space="preserve">Como </w:t>
      </w:r>
      <w:r w:rsidRPr="0032511F" w:rsidR="0031123F">
        <w:rPr>
          <w:rFonts w:ascii="Arial" w:hAnsi="Arial" w:cs="Arial"/>
        </w:rPr>
        <w:t>se puede observar comparativamente entre el año 2018 y el año 2019 hemos tenido un crecimiento de las factibilidades de vivienda</w:t>
      </w:r>
      <w:r w:rsidRPr="0032511F" w:rsidR="00710EA2">
        <w:rPr>
          <w:rFonts w:ascii="Arial" w:hAnsi="Arial" w:cs="Arial"/>
        </w:rPr>
        <w:t>s</w:t>
      </w:r>
      <w:r w:rsidRPr="0032511F" w:rsidR="0031123F">
        <w:rPr>
          <w:rFonts w:ascii="Arial" w:hAnsi="Arial" w:cs="Arial"/>
        </w:rPr>
        <w:t>, se tiene un crecimiento del 67</w:t>
      </w:r>
      <w:r w:rsidR="0088023D">
        <w:rPr>
          <w:rFonts w:ascii="Arial" w:hAnsi="Arial" w:cs="Arial"/>
        </w:rPr>
        <w:t>,</w:t>
      </w:r>
      <w:r w:rsidRPr="0032511F" w:rsidR="0031123F">
        <w:rPr>
          <w:rFonts w:ascii="Arial" w:hAnsi="Arial" w:cs="Arial"/>
        </w:rPr>
        <w:t>4% en el número de vivienda y un 106</w:t>
      </w:r>
      <w:r w:rsidR="0088023D">
        <w:rPr>
          <w:rFonts w:ascii="Arial" w:hAnsi="Arial" w:cs="Arial"/>
        </w:rPr>
        <w:t>,</w:t>
      </w:r>
      <w:r w:rsidRPr="0032511F" w:rsidR="0031123F">
        <w:rPr>
          <w:rFonts w:ascii="Arial" w:hAnsi="Arial" w:cs="Arial"/>
        </w:rPr>
        <w:t>5% en el monto de los proyectos habitacionales.</w:t>
      </w:r>
      <w:r w:rsidRPr="0032511F" w:rsidR="00A2063D">
        <w:rPr>
          <w:rFonts w:ascii="Arial" w:hAnsi="Arial" w:cs="Arial"/>
        </w:rPr>
        <w:t xml:space="preserve"> Con cual nos deja con un inventario de viviendas que se están desarrollando por 2</w:t>
      </w:r>
      <w:r w:rsidR="0088023D">
        <w:rPr>
          <w:rFonts w:ascii="Arial" w:hAnsi="Arial" w:cs="Arial"/>
        </w:rPr>
        <w:t>.</w:t>
      </w:r>
      <w:r w:rsidRPr="0032511F" w:rsidR="00A2063D">
        <w:rPr>
          <w:rFonts w:ascii="Arial" w:hAnsi="Arial" w:cs="Arial"/>
        </w:rPr>
        <w:t>072 viviendas por US$86</w:t>
      </w:r>
      <w:r w:rsidR="0088023D">
        <w:rPr>
          <w:rFonts w:ascii="Arial" w:hAnsi="Arial" w:cs="Arial"/>
        </w:rPr>
        <w:t>,</w:t>
      </w:r>
      <w:r w:rsidRPr="0032511F" w:rsidR="00A2063D">
        <w:rPr>
          <w:rFonts w:ascii="Arial" w:hAnsi="Arial" w:cs="Arial"/>
        </w:rPr>
        <w:t>14 millones</w:t>
      </w:r>
      <w:r w:rsidRPr="0032511F" w:rsidR="00710EA2">
        <w:rPr>
          <w:rFonts w:ascii="Arial" w:hAnsi="Arial" w:cs="Arial"/>
        </w:rPr>
        <w:t>, de estos 1</w:t>
      </w:r>
      <w:r w:rsidR="0088023D">
        <w:rPr>
          <w:rFonts w:ascii="Arial" w:hAnsi="Arial" w:cs="Arial"/>
        </w:rPr>
        <w:t>.</w:t>
      </w:r>
      <w:r w:rsidRPr="0032511F" w:rsidR="00710EA2">
        <w:rPr>
          <w:rFonts w:ascii="Arial" w:hAnsi="Arial" w:cs="Arial"/>
        </w:rPr>
        <w:t>731 inmuebles por US$57</w:t>
      </w:r>
      <w:r w:rsidR="0088023D">
        <w:rPr>
          <w:rFonts w:ascii="Arial" w:hAnsi="Arial" w:cs="Arial"/>
        </w:rPr>
        <w:t>,</w:t>
      </w:r>
      <w:r w:rsidRPr="0032511F" w:rsidR="00710EA2">
        <w:rPr>
          <w:rFonts w:ascii="Arial" w:hAnsi="Arial" w:cs="Arial"/>
        </w:rPr>
        <w:t>63 millones corresponden al segmento de hasta 4 salarios mínimos que seguro son solicitudes de créditos que el FSV tendrá que atender.</w:t>
      </w:r>
    </w:p>
    <w:p w:rsidRPr="0032511F" w:rsidR="00955389" w:rsidP="00BF3655" w:rsidRDefault="00955389" w14:paraId="3EC3D105" w14:textId="77777777">
      <w:pPr>
        <w:pStyle w:val="ListParagraph"/>
        <w:spacing w:after="0" w:line="276" w:lineRule="auto"/>
        <w:ind w:left="0"/>
        <w:jc w:val="both"/>
        <w:rPr>
          <w:rFonts w:ascii="Arial" w:hAnsi="Arial" w:cs="Arial"/>
        </w:rPr>
      </w:pPr>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600" w:firstRow="0" w:lastRow="0" w:firstColumn="0" w:lastColumn="0" w:noHBand="1" w:noVBand="1"/>
      </w:tblPr>
      <w:tblGrid>
        <w:gridCol w:w="1443"/>
        <w:gridCol w:w="1134"/>
        <w:gridCol w:w="926"/>
        <w:gridCol w:w="1134"/>
        <w:gridCol w:w="1134"/>
        <w:gridCol w:w="1124"/>
        <w:gridCol w:w="1059"/>
        <w:gridCol w:w="1059"/>
        <w:gridCol w:w="1057"/>
      </w:tblGrid>
      <w:tr w:rsidRPr="0032511F" w:rsidR="00E47364" w:rsidTr="00AB47AA" w14:paraId="1507BB3E" w14:textId="77777777">
        <w:trPr>
          <w:trHeight w:val="307"/>
          <w:jc w:val="center"/>
        </w:trPr>
        <w:tc>
          <w:tcPr>
            <w:tcW w:w="716" w:type="pct"/>
            <w:vMerge w:val="restart"/>
            <w:shd w:val="clear" w:color="auto" w:fill="auto"/>
            <w:tcMar>
              <w:top w:w="15" w:type="dxa"/>
              <w:left w:w="57" w:type="dxa"/>
              <w:bottom w:w="0" w:type="dxa"/>
              <w:right w:w="57" w:type="dxa"/>
            </w:tcMar>
            <w:vAlign w:val="center"/>
          </w:tcPr>
          <w:p w:rsidRPr="0032511F" w:rsidR="00E47364" w:rsidP="00955389" w:rsidRDefault="00E47364" w14:paraId="1850B736" w14:textId="77777777">
            <w:pPr>
              <w:spacing w:after="0" w:line="240" w:lineRule="auto"/>
              <w:textAlignment w:val="center"/>
              <w:rPr>
                <w:rFonts w:ascii="Arial" w:hAnsi="Arial" w:eastAsia="Times New Roman" w:cs="Arial"/>
                <w:sz w:val="18"/>
                <w:szCs w:val="18"/>
                <w:lang w:eastAsia="es-SV"/>
              </w:rPr>
            </w:pPr>
          </w:p>
        </w:tc>
        <w:tc>
          <w:tcPr>
            <w:tcW w:w="1023" w:type="pct"/>
            <w:gridSpan w:val="2"/>
            <w:shd w:val="clear" w:color="auto" w:fill="DEEBF7"/>
            <w:tcMar>
              <w:top w:w="15" w:type="dxa"/>
              <w:left w:w="57" w:type="dxa"/>
              <w:bottom w:w="0" w:type="dxa"/>
              <w:right w:w="57" w:type="dxa"/>
            </w:tcMar>
            <w:vAlign w:val="center"/>
          </w:tcPr>
          <w:p w:rsidRPr="0032511F" w:rsidR="00E47364" w:rsidP="00955389" w:rsidRDefault="00E47364" w14:paraId="3E5D8259" w14:textId="46F93B55">
            <w:pPr>
              <w:spacing w:after="0" w:line="240" w:lineRule="auto"/>
              <w:jc w:val="center"/>
              <w:textAlignment w:val="center"/>
              <w:rPr>
                <w:rFonts w:ascii="Arial" w:hAnsi="Arial" w:eastAsia="Times New Roman" w:cs="Arial"/>
                <w:b/>
                <w:bCs/>
                <w:color w:val="000000"/>
                <w:kern w:val="24"/>
                <w:sz w:val="18"/>
                <w:szCs w:val="18"/>
                <w:lang w:eastAsia="es-SV"/>
              </w:rPr>
            </w:pPr>
            <w:r w:rsidRPr="0032511F">
              <w:rPr>
                <w:rFonts w:ascii="Arial" w:hAnsi="Arial" w:eastAsia="Times New Roman" w:cs="Arial"/>
                <w:b/>
                <w:bCs/>
                <w:color w:val="000000"/>
                <w:kern w:val="24"/>
                <w:sz w:val="18"/>
                <w:szCs w:val="18"/>
                <w:lang w:eastAsia="es-SV"/>
              </w:rPr>
              <w:t>2018</w:t>
            </w:r>
          </w:p>
        </w:tc>
        <w:tc>
          <w:tcPr>
            <w:tcW w:w="1125" w:type="pct"/>
            <w:gridSpan w:val="2"/>
            <w:shd w:val="clear" w:color="auto" w:fill="DEEBF7"/>
            <w:tcMar>
              <w:top w:w="15" w:type="dxa"/>
              <w:left w:w="57" w:type="dxa"/>
              <w:bottom w:w="0" w:type="dxa"/>
              <w:right w:w="57" w:type="dxa"/>
            </w:tcMar>
            <w:vAlign w:val="center"/>
          </w:tcPr>
          <w:p w:rsidRPr="0032511F" w:rsidR="00E47364" w:rsidP="00955389" w:rsidRDefault="00E47364" w14:paraId="569D1A53" w14:textId="1755FE61">
            <w:pPr>
              <w:spacing w:after="0" w:line="240" w:lineRule="auto"/>
              <w:jc w:val="center"/>
              <w:textAlignment w:val="center"/>
              <w:rPr>
                <w:rFonts w:ascii="Arial" w:hAnsi="Arial" w:eastAsia="Times New Roman" w:cs="Arial"/>
                <w:b/>
                <w:bCs/>
                <w:color w:val="000000"/>
                <w:kern w:val="24"/>
                <w:sz w:val="18"/>
                <w:szCs w:val="18"/>
                <w:lang w:eastAsia="es-SV"/>
              </w:rPr>
            </w:pPr>
            <w:r w:rsidRPr="0032511F">
              <w:rPr>
                <w:rFonts w:ascii="Arial" w:hAnsi="Arial" w:eastAsia="Times New Roman" w:cs="Arial"/>
                <w:b/>
                <w:bCs/>
                <w:color w:val="000000"/>
                <w:kern w:val="24"/>
                <w:sz w:val="18"/>
                <w:szCs w:val="18"/>
                <w:lang w:eastAsia="es-SV"/>
              </w:rPr>
              <w:t>2019</w:t>
            </w:r>
          </w:p>
        </w:tc>
        <w:tc>
          <w:tcPr>
            <w:tcW w:w="2136" w:type="pct"/>
            <w:gridSpan w:val="4"/>
            <w:shd w:val="clear" w:color="auto" w:fill="DEEBF7"/>
            <w:tcMar>
              <w:top w:w="15" w:type="dxa"/>
              <w:left w:w="57" w:type="dxa"/>
              <w:bottom w:w="0" w:type="dxa"/>
              <w:right w:w="57" w:type="dxa"/>
            </w:tcMar>
            <w:vAlign w:val="center"/>
          </w:tcPr>
          <w:p w:rsidRPr="0032511F" w:rsidR="00E47364" w:rsidP="00955389" w:rsidRDefault="00E47364" w14:paraId="1A2B9534" w14:textId="5F4193D2">
            <w:pPr>
              <w:spacing w:after="0" w:line="240" w:lineRule="auto"/>
              <w:jc w:val="center"/>
              <w:textAlignment w:val="center"/>
              <w:rPr>
                <w:rFonts w:ascii="Arial" w:hAnsi="Arial" w:eastAsia="Times New Roman" w:cs="Arial"/>
                <w:b/>
                <w:bCs/>
                <w:color w:val="000000"/>
                <w:kern w:val="24"/>
                <w:sz w:val="18"/>
                <w:szCs w:val="18"/>
                <w:lang w:eastAsia="es-SV"/>
              </w:rPr>
            </w:pPr>
            <w:r w:rsidRPr="0032511F">
              <w:rPr>
                <w:rFonts w:ascii="Arial" w:hAnsi="Arial" w:eastAsia="Times New Roman" w:cs="Arial"/>
                <w:b/>
                <w:bCs/>
                <w:color w:val="000000"/>
                <w:kern w:val="24"/>
                <w:sz w:val="18"/>
                <w:szCs w:val="18"/>
                <w:lang w:eastAsia="es-SV"/>
              </w:rPr>
              <w:t>Variación</w:t>
            </w:r>
          </w:p>
        </w:tc>
      </w:tr>
      <w:tr w:rsidRPr="0032511F" w:rsidR="00E47364" w:rsidTr="00AB47AA" w14:paraId="37A1A391" w14:textId="77777777">
        <w:trPr>
          <w:trHeight w:val="307"/>
          <w:jc w:val="center"/>
        </w:trPr>
        <w:tc>
          <w:tcPr>
            <w:tcW w:w="716" w:type="pct"/>
            <w:vMerge/>
            <w:shd w:val="clear" w:color="auto" w:fill="auto"/>
            <w:tcMar>
              <w:top w:w="15" w:type="dxa"/>
              <w:left w:w="57" w:type="dxa"/>
              <w:bottom w:w="0" w:type="dxa"/>
              <w:right w:w="57" w:type="dxa"/>
            </w:tcMar>
            <w:vAlign w:val="center"/>
            <w:hideMark/>
          </w:tcPr>
          <w:p w:rsidRPr="0032511F" w:rsidR="00E47364" w:rsidP="00955389" w:rsidRDefault="00E47364" w14:paraId="305C5B60" w14:textId="4EDF3FDC">
            <w:pPr>
              <w:spacing w:after="0" w:line="240" w:lineRule="auto"/>
              <w:textAlignment w:val="center"/>
              <w:rPr>
                <w:rFonts w:ascii="Arial" w:hAnsi="Arial" w:eastAsia="Times New Roman" w:cs="Arial"/>
                <w:sz w:val="18"/>
                <w:szCs w:val="18"/>
                <w:lang w:eastAsia="es-SV"/>
              </w:rPr>
            </w:pPr>
          </w:p>
        </w:tc>
        <w:tc>
          <w:tcPr>
            <w:tcW w:w="563" w:type="pct"/>
            <w:shd w:val="clear" w:color="auto" w:fill="DEEBF7"/>
            <w:tcMar>
              <w:top w:w="15" w:type="dxa"/>
              <w:left w:w="57" w:type="dxa"/>
              <w:bottom w:w="0" w:type="dxa"/>
              <w:right w:w="57" w:type="dxa"/>
            </w:tcMar>
            <w:vAlign w:val="center"/>
            <w:hideMark/>
          </w:tcPr>
          <w:p w:rsidRPr="0032511F" w:rsidR="00E47364" w:rsidP="00955389" w:rsidRDefault="00E47364" w14:paraId="622A4123" w14:textId="77777777">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Viviendas</w:t>
            </w:r>
          </w:p>
        </w:tc>
        <w:tc>
          <w:tcPr>
            <w:tcW w:w="460" w:type="pct"/>
            <w:shd w:val="clear" w:color="auto" w:fill="DEEBF7"/>
            <w:tcMar>
              <w:top w:w="15" w:type="dxa"/>
              <w:left w:w="57" w:type="dxa"/>
              <w:bottom w:w="0" w:type="dxa"/>
              <w:right w:w="57" w:type="dxa"/>
            </w:tcMar>
            <w:vAlign w:val="center"/>
            <w:hideMark/>
          </w:tcPr>
          <w:p w:rsidRPr="0032511F" w:rsidR="00E47364" w:rsidP="00955389" w:rsidRDefault="00E47364" w14:paraId="0A11D36B" w14:textId="5141A773">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Monto</w:t>
            </w:r>
          </w:p>
        </w:tc>
        <w:tc>
          <w:tcPr>
            <w:tcW w:w="563" w:type="pct"/>
            <w:shd w:val="clear" w:color="auto" w:fill="DEEBF7"/>
            <w:tcMar>
              <w:top w:w="15" w:type="dxa"/>
              <w:left w:w="57" w:type="dxa"/>
              <w:bottom w:w="0" w:type="dxa"/>
              <w:right w:w="57" w:type="dxa"/>
            </w:tcMar>
            <w:vAlign w:val="center"/>
            <w:hideMark/>
          </w:tcPr>
          <w:p w:rsidRPr="0032511F" w:rsidR="00E47364" w:rsidP="00955389" w:rsidRDefault="00E47364" w14:paraId="345254DC" w14:textId="77777777">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Viviendas</w:t>
            </w:r>
          </w:p>
        </w:tc>
        <w:tc>
          <w:tcPr>
            <w:tcW w:w="563" w:type="pct"/>
            <w:shd w:val="clear" w:color="auto" w:fill="DEEBF7"/>
            <w:tcMar>
              <w:top w:w="15" w:type="dxa"/>
              <w:left w:w="57" w:type="dxa"/>
              <w:bottom w:w="0" w:type="dxa"/>
              <w:right w:w="57" w:type="dxa"/>
            </w:tcMar>
            <w:vAlign w:val="center"/>
            <w:hideMark/>
          </w:tcPr>
          <w:p w:rsidRPr="0032511F" w:rsidR="00E47364" w:rsidP="00955389" w:rsidRDefault="00E47364" w14:paraId="558E5B3B" w14:textId="1414ED1D">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Monto</w:t>
            </w:r>
          </w:p>
        </w:tc>
        <w:tc>
          <w:tcPr>
            <w:tcW w:w="558" w:type="pct"/>
            <w:shd w:val="clear" w:color="auto" w:fill="DEEBF7"/>
            <w:tcMar>
              <w:top w:w="15" w:type="dxa"/>
              <w:left w:w="57" w:type="dxa"/>
              <w:bottom w:w="0" w:type="dxa"/>
              <w:right w:w="57" w:type="dxa"/>
            </w:tcMar>
            <w:vAlign w:val="center"/>
            <w:hideMark/>
          </w:tcPr>
          <w:p w:rsidRPr="0032511F" w:rsidR="00E47364" w:rsidP="00955389" w:rsidRDefault="00E47364" w14:paraId="55780BFF" w14:textId="77777777">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Viviendas</w:t>
            </w:r>
          </w:p>
        </w:tc>
        <w:tc>
          <w:tcPr>
            <w:tcW w:w="526" w:type="pct"/>
            <w:shd w:val="clear" w:color="auto" w:fill="DEEBF7"/>
            <w:tcMar>
              <w:top w:w="15" w:type="dxa"/>
              <w:left w:w="57" w:type="dxa"/>
              <w:bottom w:w="0" w:type="dxa"/>
              <w:right w:w="57" w:type="dxa"/>
            </w:tcMar>
            <w:vAlign w:val="center"/>
            <w:hideMark/>
          </w:tcPr>
          <w:p w:rsidRPr="0032511F" w:rsidR="00E47364" w:rsidP="00955389" w:rsidRDefault="00E47364" w14:paraId="79711F35" w14:textId="77777777">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w:t>
            </w:r>
          </w:p>
        </w:tc>
        <w:tc>
          <w:tcPr>
            <w:tcW w:w="526" w:type="pct"/>
            <w:shd w:val="clear" w:color="auto" w:fill="DEEBF7"/>
            <w:tcMar>
              <w:top w:w="15" w:type="dxa"/>
              <w:left w:w="57" w:type="dxa"/>
              <w:bottom w:w="0" w:type="dxa"/>
              <w:right w:w="57" w:type="dxa"/>
            </w:tcMar>
            <w:vAlign w:val="center"/>
            <w:hideMark/>
          </w:tcPr>
          <w:p w:rsidRPr="0032511F" w:rsidR="00E47364" w:rsidP="00955389" w:rsidRDefault="00E47364" w14:paraId="03C731D6" w14:textId="2176A8CC">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Monto</w:t>
            </w:r>
          </w:p>
        </w:tc>
        <w:tc>
          <w:tcPr>
            <w:tcW w:w="527" w:type="pct"/>
            <w:shd w:val="clear" w:color="auto" w:fill="DEEBF7"/>
            <w:tcMar>
              <w:top w:w="15" w:type="dxa"/>
              <w:left w:w="57" w:type="dxa"/>
              <w:bottom w:w="0" w:type="dxa"/>
              <w:right w:w="57" w:type="dxa"/>
            </w:tcMar>
            <w:vAlign w:val="center"/>
            <w:hideMark/>
          </w:tcPr>
          <w:p w:rsidRPr="0032511F" w:rsidR="00E47364" w:rsidP="00955389" w:rsidRDefault="00E47364" w14:paraId="0BCFA2B5" w14:textId="77777777">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w:t>
            </w:r>
          </w:p>
        </w:tc>
      </w:tr>
      <w:tr w:rsidRPr="0032511F" w:rsidR="00955389" w:rsidTr="00AB47AA" w14:paraId="5A0F21E1" w14:textId="77777777">
        <w:trPr>
          <w:trHeight w:val="307"/>
          <w:jc w:val="center"/>
        </w:trPr>
        <w:tc>
          <w:tcPr>
            <w:tcW w:w="716" w:type="pct"/>
            <w:shd w:val="clear" w:color="auto" w:fill="auto"/>
            <w:tcMar>
              <w:top w:w="15" w:type="dxa"/>
              <w:left w:w="57" w:type="dxa"/>
              <w:bottom w:w="0" w:type="dxa"/>
              <w:right w:w="57" w:type="dxa"/>
            </w:tcMar>
            <w:vAlign w:val="center"/>
            <w:hideMark/>
          </w:tcPr>
          <w:p w:rsidRPr="0032511F" w:rsidR="00955389" w:rsidP="0023495D" w:rsidRDefault="00955389" w14:paraId="4F0CB2CA" w14:textId="77777777">
            <w:pPr>
              <w:spacing w:after="0" w:line="240" w:lineRule="auto"/>
              <w:jc w:val="both"/>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Hasta 4 salarios mínimos</w:t>
            </w:r>
          </w:p>
        </w:tc>
        <w:tc>
          <w:tcPr>
            <w:tcW w:w="563" w:type="pct"/>
            <w:shd w:val="clear" w:color="auto" w:fill="auto"/>
            <w:tcMar>
              <w:top w:w="15" w:type="dxa"/>
              <w:left w:w="57" w:type="dxa"/>
              <w:bottom w:w="0" w:type="dxa"/>
              <w:right w:w="57" w:type="dxa"/>
            </w:tcMar>
            <w:vAlign w:val="center"/>
            <w:hideMark/>
          </w:tcPr>
          <w:p w:rsidRPr="0032511F" w:rsidR="00955389" w:rsidP="00955389" w:rsidRDefault="00955389" w14:paraId="3533C34E" w14:textId="6359750A">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1</w:t>
            </w:r>
            <w:r w:rsidR="002E48CC">
              <w:rPr>
                <w:rFonts w:ascii="Arial" w:hAnsi="Arial" w:eastAsia="Times New Roman" w:cs="Arial"/>
                <w:color w:val="000000"/>
                <w:kern w:val="24"/>
                <w:sz w:val="18"/>
                <w:szCs w:val="18"/>
                <w:lang w:eastAsia="es-SV"/>
              </w:rPr>
              <w:t>.</w:t>
            </w:r>
            <w:r w:rsidRPr="0032511F">
              <w:rPr>
                <w:rFonts w:ascii="Arial" w:hAnsi="Arial" w:eastAsia="Times New Roman" w:cs="Arial"/>
                <w:color w:val="000000"/>
                <w:kern w:val="24"/>
                <w:sz w:val="18"/>
                <w:szCs w:val="18"/>
                <w:lang w:eastAsia="es-SV"/>
              </w:rPr>
              <w:t>016</w:t>
            </w:r>
          </w:p>
        </w:tc>
        <w:tc>
          <w:tcPr>
            <w:tcW w:w="460" w:type="pct"/>
            <w:shd w:val="clear" w:color="auto" w:fill="auto"/>
            <w:tcMar>
              <w:top w:w="15" w:type="dxa"/>
              <w:left w:w="57" w:type="dxa"/>
              <w:bottom w:w="0" w:type="dxa"/>
              <w:right w:w="57" w:type="dxa"/>
            </w:tcMar>
            <w:vAlign w:val="center"/>
            <w:hideMark/>
          </w:tcPr>
          <w:p w:rsidRPr="0032511F" w:rsidR="00955389" w:rsidP="00955389" w:rsidRDefault="00955389" w14:paraId="1DD84B99" w14:textId="04AD748A">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$28</w:t>
            </w:r>
            <w:r w:rsidR="002E48CC">
              <w:rPr>
                <w:rFonts w:ascii="Arial" w:hAnsi="Arial" w:eastAsia="Times New Roman" w:cs="Arial"/>
                <w:color w:val="000000"/>
                <w:kern w:val="24"/>
                <w:sz w:val="18"/>
                <w:szCs w:val="18"/>
                <w:lang w:eastAsia="es-SV"/>
              </w:rPr>
              <w:t>,</w:t>
            </w:r>
            <w:r w:rsidRPr="0032511F">
              <w:rPr>
                <w:rFonts w:ascii="Arial" w:hAnsi="Arial" w:eastAsia="Times New Roman" w:cs="Arial"/>
                <w:color w:val="000000"/>
                <w:kern w:val="24"/>
                <w:sz w:val="18"/>
                <w:szCs w:val="18"/>
                <w:lang w:eastAsia="es-SV"/>
              </w:rPr>
              <w:t>02</w:t>
            </w:r>
          </w:p>
        </w:tc>
        <w:tc>
          <w:tcPr>
            <w:tcW w:w="563" w:type="pct"/>
            <w:shd w:val="clear" w:color="auto" w:fill="auto"/>
            <w:tcMar>
              <w:top w:w="15" w:type="dxa"/>
              <w:left w:w="57" w:type="dxa"/>
              <w:bottom w:w="0" w:type="dxa"/>
              <w:right w:w="57" w:type="dxa"/>
            </w:tcMar>
            <w:vAlign w:val="center"/>
            <w:hideMark/>
          </w:tcPr>
          <w:p w:rsidRPr="0032511F" w:rsidR="00955389" w:rsidP="00955389" w:rsidRDefault="00955389" w14:paraId="56D2F1B2" w14:textId="1E341F0D">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1</w:t>
            </w:r>
            <w:r w:rsidR="002E48CC">
              <w:rPr>
                <w:rFonts w:ascii="Arial" w:hAnsi="Arial" w:eastAsia="Times New Roman" w:cs="Arial"/>
                <w:color w:val="000000"/>
                <w:kern w:val="24"/>
                <w:sz w:val="18"/>
                <w:szCs w:val="18"/>
                <w:lang w:eastAsia="es-SV"/>
              </w:rPr>
              <w:t>.</w:t>
            </w:r>
            <w:r w:rsidRPr="0032511F">
              <w:rPr>
                <w:rFonts w:ascii="Arial" w:hAnsi="Arial" w:eastAsia="Times New Roman" w:cs="Arial"/>
                <w:color w:val="000000"/>
                <w:kern w:val="24"/>
                <w:sz w:val="18"/>
                <w:szCs w:val="18"/>
                <w:lang w:eastAsia="es-SV"/>
              </w:rPr>
              <w:t>731</w:t>
            </w:r>
          </w:p>
        </w:tc>
        <w:tc>
          <w:tcPr>
            <w:tcW w:w="563" w:type="pct"/>
            <w:shd w:val="clear" w:color="auto" w:fill="auto"/>
            <w:tcMar>
              <w:top w:w="15" w:type="dxa"/>
              <w:left w:w="57" w:type="dxa"/>
              <w:bottom w:w="0" w:type="dxa"/>
              <w:right w:w="57" w:type="dxa"/>
            </w:tcMar>
            <w:vAlign w:val="center"/>
            <w:hideMark/>
          </w:tcPr>
          <w:p w:rsidRPr="0032511F" w:rsidR="00955389" w:rsidP="00955389" w:rsidRDefault="00955389" w14:paraId="758F0F14" w14:textId="35FF98C5">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$57</w:t>
            </w:r>
            <w:r w:rsidR="002E48CC">
              <w:rPr>
                <w:rFonts w:ascii="Arial" w:hAnsi="Arial" w:eastAsia="Times New Roman" w:cs="Arial"/>
                <w:color w:val="000000"/>
                <w:kern w:val="24"/>
                <w:sz w:val="18"/>
                <w:szCs w:val="18"/>
                <w:lang w:eastAsia="es-SV"/>
              </w:rPr>
              <w:t>,</w:t>
            </w:r>
            <w:r w:rsidRPr="0032511F">
              <w:rPr>
                <w:rFonts w:ascii="Arial" w:hAnsi="Arial" w:eastAsia="Times New Roman" w:cs="Arial"/>
                <w:color w:val="000000"/>
                <w:kern w:val="24"/>
                <w:sz w:val="18"/>
                <w:szCs w:val="18"/>
                <w:lang w:eastAsia="es-SV"/>
              </w:rPr>
              <w:t>63</w:t>
            </w:r>
          </w:p>
        </w:tc>
        <w:tc>
          <w:tcPr>
            <w:tcW w:w="558" w:type="pct"/>
            <w:shd w:val="clear" w:color="auto" w:fill="auto"/>
            <w:tcMar>
              <w:top w:w="15" w:type="dxa"/>
              <w:left w:w="57" w:type="dxa"/>
              <w:bottom w:w="0" w:type="dxa"/>
              <w:right w:w="57" w:type="dxa"/>
            </w:tcMar>
            <w:vAlign w:val="center"/>
            <w:hideMark/>
          </w:tcPr>
          <w:p w:rsidRPr="0032511F" w:rsidR="00955389" w:rsidP="00955389" w:rsidRDefault="00955389" w14:paraId="6C95B2AF" w14:textId="77777777">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715</w:t>
            </w:r>
          </w:p>
        </w:tc>
        <w:tc>
          <w:tcPr>
            <w:tcW w:w="526" w:type="pct"/>
            <w:shd w:val="clear" w:color="auto" w:fill="auto"/>
            <w:tcMar>
              <w:top w:w="15" w:type="dxa"/>
              <w:left w:w="57" w:type="dxa"/>
              <w:bottom w:w="0" w:type="dxa"/>
              <w:right w:w="57" w:type="dxa"/>
            </w:tcMar>
            <w:vAlign w:val="center"/>
            <w:hideMark/>
          </w:tcPr>
          <w:p w:rsidRPr="0032511F" w:rsidR="00955389" w:rsidP="00955389" w:rsidRDefault="00955389" w14:paraId="45F4C907" w14:textId="73F6185A">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70</w:t>
            </w:r>
            <w:r w:rsidR="002E48CC">
              <w:rPr>
                <w:rFonts w:ascii="Arial" w:hAnsi="Arial" w:eastAsia="Times New Roman" w:cs="Arial"/>
                <w:color w:val="000000"/>
                <w:kern w:val="24"/>
                <w:sz w:val="18"/>
                <w:szCs w:val="18"/>
                <w:lang w:eastAsia="es-SV"/>
              </w:rPr>
              <w:t>,</w:t>
            </w:r>
            <w:r w:rsidRPr="0032511F">
              <w:rPr>
                <w:rFonts w:ascii="Arial" w:hAnsi="Arial" w:eastAsia="Times New Roman" w:cs="Arial"/>
                <w:color w:val="000000"/>
                <w:kern w:val="24"/>
                <w:sz w:val="18"/>
                <w:szCs w:val="18"/>
                <w:lang w:eastAsia="es-SV"/>
              </w:rPr>
              <w:t>4%</w:t>
            </w:r>
          </w:p>
        </w:tc>
        <w:tc>
          <w:tcPr>
            <w:tcW w:w="526" w:type="pct"/>
            <w:shd w:val="clear" w:color="auto" w:fill="auto"/>
            <w:tcMar>
              <w:top w:w="15" w:type="dxa"/>
              <w:left w:w="57" w:type="dxa"/>
              <w:bottom w:w="0" w:type="dxa"/>
              <w:right w:w="57" w:type="dxa"/>
            </w:tcMar>
            <w:vAlign w:val="center"/>
            <w:hideMark/>
          </w:tcPr>
          <w:p w:rsidRPr="0032511F" w:rsidR="00955389" w:rsidP="00955389" w:rsidRDefault="00955389" w14:paraId="5AD0E948" w14:textId="39D4DF41">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$29</w:t>
            </w:r>
            <w:r w:rsidR="002E48CC">
              <w:rPr>
                <w:rFonts w:ascii="Arial" w:hAnsi="Arial" w:eastAsia="Times New Roman" w:cs="Arial"/>
                <w:color w:val="000000"/>
                <w:kern w:val="24"/>
                <w:sz w:val="18"/>
                <w:szCs w:val="18"/>
                <w:lang w:eastAsia="es-SV"/>
              </w:rPr>
              <w:t>,</w:t>
            </w:r>
            <w:r w:rsidRPr="0032511F">
              <w:rPr>
                <w:rFonts w:ascii="Arial" w:hAnsi="Arial" w:eastAsia="Times New Roman" w:cs="Arial"/>
                <w:color w:val="000000"/>
                <w:kern w:val="24"/>
                <w:sz w:val="18"/>
                <w:szCs w:val="18"/>
                <w:lang w:eastAsia="es-SV"/>
              </w:rPr>
              <w:t>61</w:t>
            </w:r>
          </w:p>
        </w:tc>
        <w:tc>
          <w:tcPr>
            <w:tcW w:w="527" w:type="pct"/>
            <w:shd w:val="clear" w:color="auto" w:fill="auto"/>
            <w:tcMar>
              <w:top w:w="15" w:type="dxa"/>
              <w:left w:w="57" w:type="dxa"/>
              <w:bottom w:w="0" w:type="dxa"/>
              <w:right w:w="57" w:type="dxa"/>
            </w:tcMar>
            <w:vAlign w:val="center"/>
            <w:hideMark/>
          </w:tcPr>
          <w:p w:rsidRPr="0032511F" w:rsidR="00955389" w:rsidP="00955389" w:rsidRDefault="00955389" w14:paraId="1B9263E6" w14:textId="1F72617D">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105</w:t>
            </w:r>
            <w:r w:rsidR="002E48CC">
              <w:rPr>
                <w:rFonts w:ascii="Arial" w:hAnsi="Arial" w:eastAsia="Times New Roman" w:cs="Arial"/>
                <w:color w:val="000000"/>
                <w:kern w:val="24"/>
                <w:sz w:val="18"/>
                <w:szCs w:val="18"/>
                <w:lang w:eastAsia="es-SV"/>
              </w:rPr>
              <w:t>,</w:t>
            </w:r>
            <w:r w:rsidRPr="0032511F">
              <w:rPr>
                <w:rFonts w:ascii="Arial" w:hAnsi="Arial" w:eastAsia="Times New Roman" w:cs="Arial"/>
                <w:color w:val="000000"/>
                <w:kern w:val="24"/>
                <w:sz w:val="18"/>
                <w:szCs w:val="18"/>
                <w:lang w:eastAsia="es-SV"/>
              </w:rPr>
              <w:t>7%</w:t>
            </w:r>
          </w:p>
        </w:tc>
      </w:tr>
      <w:tr w:rsidRPr="0032511F" w:rsidR="00955389" w:rsidTr="00AB47AA" w14:paraId="4DDF0563" w14:textId="77777777">
        <w:trPr>
          <w:trHeight w:val="307"/>
          <w:jc w:val="center"/>
        </w:trPr>
        <w:tc>
          <w:tcPr>
            <w:tcW w:w="716" w:type="pct"/>
            <w:shd w:val="clear" w:color="auto" w:fill="auto"/>
            <w:tcMar>
              <w:top w:w="15" w:type="dxa"/>
              <w:left w:w="57" w:type="dxa"/>
              <w:bottom w:w="0" w:type="dxa"/>
              <w:right w:w="57" w:type="dxa"/>
            </w:tcMar>
            <w:vAlign w:val="center"/>
            <w:hideMark/>
          </w:tcPr>
          <w:p w:rsidRPr="0032511F" w:rsidR="00955389" w:rsidP="0023495D" w:rsidRDefault="00955389" w14:paraId="11939ED7" w14:textId="77777777">
            <w:pPr>
              <w:spacing w:after="0" w:line="240" w:lineRule="auto"/>
              <w:jc w:val="both"/>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val="es-ES" w:eastAsia="es-SV"/>
              </w:rPr>
              <w:t>Mayores de 4 salarios mínimos</w:t>
            </w:r>
          </w:p>
        </w:tc>
        <w:tc>
          <w:tcPr>
            <w:tcW w:w="563" w:type="pct"/>
            <w:shd w:val="clear" w:color="auto" w:fill="auto"/>
            <w:tcMar>
              <w:top w:w="15" w:type="dxa"/>
              <w:left w:w="57" w:type="dxa"/>
              <w:bottom w:w="0" w:type="dxa"/>
              <w:right w:w="57" w:type="dxa"/>
            </w:tcMar>
            <w:vAlign w:val="center"/>
            <w:hideMark/>
          </w:tcPr>
          <w:p w:rsidRPr="0032511F" w:rsidR="00955389" w:rsidP="00955389" w:rsidRDefault="00955389" w14:paraId="6741595F" w14:textId="77777777">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222</w:t>
            </w:r>
          </w:p>
        </w:tc>
        <w:tc>
          <w:tcPr>
            <w:tcW w:w="460" w:type="pct"/>
            <w:shd w:val="clear" w:color="auto" w:fill="auto"/>
            <w:tcMar>
              <w:top w:w="15" w:type="dxa"/>
              <w:left w:w="57" w:type="dxa"/>
              <w:bottom w:w="0" w:type="dxa"/>
              <w:right w:w="57" w:type="dxa"/>
            </w:tcMar>
            <w:vAlign w:val="center"/>
            <w:hideMark/>
          </w:tcPr>
          <w:p w:rsidRPr="0032511F" w:rsidR="00955389" w:rsidP="00955389" w:rsidRDefault="00955389" w14:paraId="510E855A" w14:textId="3128473A">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$13</w:t>
            </w:r>
            <w:r w:rsidR="002E48CC">
              <w:rPr>
                <w:rFonts w:ascii="Arial" w:hAnsi="Arial" w:eastAsia="Times New Roman" w:cs="Arial"/>
                <w:color w:val="000000"/>
                <w:kern w:val="24"/>
                <w:sz w:val="18"/>
                <w:szCs w:val="18"/>
                <w:lang w:eastAsia="es-SV"/>
              </w:rPr>
              <w:t>,</w:t>
            </w:r>
            <w:r w:rsidRPr="0032511F">
              <w:rPr>
                <w:rFonts w:ascii="Arial" w:hAnsi="Arial" w:eastAsia="Times New Roman" w:cs="Arial"/>
                <w:color w:val="000000"/>
                <w:kern w:val="24"/>
                <w:sz w:val="18"/>
                <w:szCs w:val="18"/>
                <w:lang w:eastAsia="es-SV"/>
              </w:rPr>
              <w:t>69</w:t>
            </w:r>
          </w:p>
        </w:tc>
        <w:tc>
          <w:tcPr>
            <w:tcW w:w="563" w:type="pct"/>
            <w:shd w:val="clear" w:color="auto" w:fill="auto"/>
            <w:tcMar>
              <w:top w:w="15" w:type="dxa"/>
              <w:left w:w="57" w:type="dxa"/>
              <w:bottom w:w="0" w:type="dxa"/>
              <w:right w:w="57" w:type="dxa"/>
            </w:tcMar>
            <w:vAlign w:val="center"/>
            <w:hideMark/>
          </w:tcPr>
          <w:p w:rsidRPr="0032511F" w:rsidR="00955389" w:rsidP="00955389" w:rsidRDefault="00955389" w14:paraId="72FFD098" w14:textId="77777777">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341</w:t>
            </w:r>
          </w:p>
        </w:tc>
        <w:tc>
          <w:tcPr>
            <w:tcW w:w="563" w:type="pct"/>
            <w:shd w:val="clear" w:color="auto" w:fill="auto"/>
            <w:tcMar>
              <w:top w:w="15" w:type="dxa"/>
              <w:left w:w="57" w:type="dxa"/>
              <w:bottom w:w="0" w:type="dxa"/>
              <w:right w:w="57" w:type="dxa"/>
            </w:tcMar>
            <w:vAlign w:val="center"/>
            <w:hideMark/>
          </w:tcPr>
          <w:p w:rsidRPr="0032511F" w:rsidR="00955389" w:rsidP="00955389" w:rsidRDefault="00955389" w14:paraId="5AF25AB7" w14:textId="4122E940">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$28</w:t>
            </w:r>
            <w:r w:rsidR="002E48CC">
              <w:rPr>
                <w:rFonts w:ascii="Arial" w:hAnsi="Arial" w:eastAsia="Times New Roman" w:cs="Arial"/>
                <w:color w:val="000000"/>
                <w:kern w:val="24"/>
                <w:sz w:val="18"/>
                <w:szCs w:val="18"/>
                <w:lang w:eastAsia="es-SV"/>
              </w:rPr>
              <w:t>,</w:t>
            </w:r>
            <w:r w:rsidRPr="0032511F">
              <w:rPr>
                <w:rFonts w:ascii="Arial" w:hAnsi="Arial" w:eastAsia="Times New Roman" w:cs="Arial"/>
                <w:color w:val="000000"/>
                <w:kern w:val="24"/>
                <w:sz w:val="18"/>
                <w:szCs w:val="18"/>
                <w:lang w:eastAsia="es-SV"/>
              </w:rPr>
              <w:t>51</w:t>
            </w:r>
          </w:p>
        </w:tc>
        <w:tc>
          <w:tcPr>
            <w:tcW w:w="558" w:type="pct"/>
            <w:shd w:val="clear" w:color="auto" w:fill="auto"/>
            <w:tcMar>
              <w:top w:w="15" w:type="dxa"/>
              <w:left w:w="57" w:type="dxa"/>
              <w:bottom w:w="0" w:type="dxa"/>
              <w:right w:w="57" w:type="dxa"/>
            </w:tcMar>
            <w:vAlign w:val="center"/>
            <w:hideMark/>
          </w:tcPr>
          <w:p w:rsidRPr="0032511F" w:rsidR="00955389" w:rsidP="00955389" w:rsidRDefault="00955389" w14:paraId="7256FFBA" w14:textId="77777777">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119</w:t>
            </w:r>
          </w:p>
        </w:tc>
        <w:tc>
          <w:tcPr>
            <w:tcW w:w="526" w:type="pct"/>
            <w:shd w:val="clear" w:color="auto" w:fill="auto"/>
            <w:tcMar>
              <w:top w:w="15" w:type="dxa"/>
              <w:left w:w="57" w:type="dxa"/>
              <w:bottom w:w="0" w:type="dxa"/>
              <w:right w:w="57" w:type="dxa"/>
            </w:tcMar>
            <w:vAlign w:val="center"/>
            <w:hideMark/>
          </w:tcPr>
          <w:p w:rsidRPr="0032511F" w:rsidR="00955389" w:rsidP="00955389" w:rsidRDefault="00955389" w14:paraId="0E9D8386" w14:textId="0380CBD4">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53</w:t>
            </w:r>
            <w:r w:rsidR="002E48CC">
              <w:rPr>
                <w:rFonts w:ascii="Arial" w:hAnsi="Arial" w:eastAsia="Times New Roman" w:cs="Arial"/>
                <w:color w:val="000000"/>
                <w:kern w:val="24"/>
                <w:sz w:val="18"/>
                <w:szCs w:val="18"/>
                <w:lang w:eastAsia="es-SV"/>
              </w:rPr>
              <w:t>,</w:t>
            </w:r>
            <w:r w:rsidRPr="0032511F">
              <w:rPr>
                <w:rFonts w:ascii="Arial" w:hAnsi="Arial" w:eastAsia="Times New Roman" w:cs="Arial"/>
                <w:color w:val="000000"/>
                <w:kern w:val="24"/>
                <w:sz w:val="18"/>
                <w:szCs w:val="18"/>
                <w:lang w:eastAsia="es-SV"/>
              </w:rPr>
              <w:t>6%</w:t>
            </w:r>
          </w:p>
        </w:tc>
        <w:tc>
          <w:tcPr>
            <w:tcW w:w="526" w:type="pct"/>
            <w:shd w:val="clear" w:color="auto" w:fill="auto"/>
            <w:tcMar>
              <w:top w:w="15" w:type="dxa"/>
              <w:left w:w="57" w:type="dxa"/>
              <w:bottom w:w="0" w:type="dxa"/>
              <w:right w:w="57" w:type="dxa"/>
            </w:tcMar>
            <w:vAlign w:val="center"/>
            <w:hideMark/>
          </w:tcPr>
          <w:p w:rsidRPr="0032511F" w:rsidR="00955389" w:rsidP="00955389" w:rsidRDefault="00955389" w14:paraId="4BCB7662" w14:textId="3E9A24C7">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$14</w:t>
            </w:r>
            <w:r w:rsidR="002E48CC">
              <w:rPr>
                <w:rFonts w:ascii="Arial" w:hAnsi="Arial" w:eastAsia="Times New Roman" w:cs="Arial"/>
                <w:color w:val="000000"/>
                <w:kern w:val="24"/>
                <w:sz w:val="18"/>
                <w:szCs w:val="18"/>
                <w:lang w:eastAsia="es-SV"/>
              </w:rPr>
              <w:t>,</w:t>
            </w:r>
            <w:r w:rsidRPr="0032511F">
              <w:rPr>
                <w:rFonts w:ascii="Arial" w:hAnsi="Arial" w:eastAsia="Times New Roman" w:cs="Arial"/>
                <w:color w:val="000000"/>
                <w:kern w:val="24"/>
                <w:sz w:val="18"/>
                <w:szCs w:val="18"/>
                <w:lang w:eastAsia="es-SV"/>
              </w:rPr>
              <w:t>82</w:t>
            </w:r>
          </w:p>
        </w:tc>
        <w:tc>
          <w:tcPr>
            <w:tcW w:w="527" w:type="pct"/>
            <w:shd w:val="clear" w:color="auto" w:fill="auto"/>
            <w:tcMar>
              <w:top w:w="15" w:type="dxa"/>
              <w:left w:w="57" w:type="dxa"/>
              <w:bottom w:w="0" w:type="dxa"/>
              <w:right w:w="57" w:type="dxa"/>
            </w:tcMar>
            <w:vAlign w:val="center"/>
            <w:hideMark/>
          </w:tcPr>
          <w:p w:rsidRPr="0032511F" w:rsidR="00955389" w:rsidP="00955389" w:rsidRDefault="00955389" w14:paraId="57896B1C" w14:textId="268339A6">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color w:val="000000"/>
                <w:kern w:val="24"/>
                <w:sz w:val="18"/>
                <w:szCs w:val="18"/>
                <w:lang w:eastAsia="es-SV"/>
              </w:rPr>
              <w:t>108</w:t>
            </w:r>
            <w:r w:rsidR="002E48CC">
              <w:rPr>
                <w:rFonts w:ascii="Arial" w:hAnsi="Arial" w:eastAsia="Times New Roman" w:cs="Arial"/>
                <w:color w:val="000000"/>
                <w:kern w:val="24"/>
                <w:sz w:val="18"/>
                <w:szCs w:val="18"/>
                <w:lang w:eastAsia="es-SV"/>
              </w:rPr>
              <w:t>,</w:t>
            </w:r>
            <w:r w:rsidRPr="0032511F">
              <w:rPr>
                <w:rFonts w:ascii="Arial" w:hAnsi="Arial" w:eastAsia="Times New Roman" w:cs="Arial"/>
                <w:color w:val="000000"/>
                <w:kern w:val="24"/>
                <w:sz w:val="18"/>
                <w:szCs w:val="18"/>
                <w:lang w:eastAsia="es-SV"/>
              </w:rPr>
              <w:t>3%</w:t>
            </w:r>
          </w:p>
        </w:tc>
      </w:tr>
      <w:tr w:rsidRPr="0032511F" w:rsidR="00955389" w:rsidTr="00AB47AA" w14:paraId="37349DDE" w14:textId="77777777">
        <w:trPr>
          <w:trHeight w:val="307"/>
          <w:jc w:val="center"/>
        </w:trPr>
        <w:tc>
          <w:tcPr>
            <w:tcW w:w="716" w:type="pct"/>
            <w:shd w:val="clear" w:color="auto" w:fill="DEEBF7"/>
            <w:tcMar>
              <w:top w:w="15" w:type="dxa"/>
              <w:left w:w="57" w:type="dxa"/>
              <w:bottom w:w="0" w:type="dxa"/>
              <w:right w:w="57" w:type="dxa"/>
            </w:tcMar>
            <w:vAlign w:val="center"/>
            <w:hideMark/>
          </w:tcPr>
          <w:p w:rsidRPr="0032511F" w:rsidR="00955389" w:rsidP="00955389" w:rsidRDefault="00955389" w14:paraId="7FDE763C" w14:textId="77777777">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Total</w:t>
            </w:r>
          </w:p>
        </w:tc>
        <w:tc>
          <w:tcPr>
            <w:tcW w:w="563" w:type="pct"/>
            <w:shd w:val="clear" w:color="auto" w:fill="DEEBF7"/>
            <w:tcMar>
              <w:top w:w="15" w:type="dxa"/>
              <w:left w:w="57" w:type="dxa"/>
              <w:bottom w:w="0" w:type="dxa"/>
              <w:right w:w="57" w:type="dxa"/>
            </w:tcMar>
            <w:vAlign w:val="center"/>
            <w:hideMark/>
          </w:tcPr>
          <w:p w:rsidRPr="0032511F" w:rsidR="00955389" w:rsidP="00955389" w:rsidRDefault="00955389" w14:paraId="146AE2BF" w14:textId="68DB5D9C">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1</w:t>
            </w:r>
            <w:r w:rsidR="002E48CC">
              <w:rPr>
                <w:rFonts w:ascii="Arial" w:hAnsi="Arial" w:eastAsia="Times New Roman" w:cs="Arial"/>
                <w:b/>
                <w:bCs/>
                <w:color w:val="000000"/>
                <w:kern w:val="24"/>
                <w:sz w:val="18"/>
                <w:szCs w:val="18"/>
                <w:lang w:eastAsia="es-SV"/>
              </w:rPr>
              <w:t>.</w:t>
            </w:r>
            <w:r w:rsidRPr="0032511F">
              <w:rPr>
                <w:rFonts w:ascii="Arial" w:hAnsi="Arial" w:eastAsia="Times New Roman" w:cs="Arial"/>
                <w:b/>
                <w:bCs/>
                <w:color w:val="000000"/>
                <w:kern w:val="24"/>
                <w:sz w:val="18"/>
                <w:szCs w:val="18"/>
                <w:lang w:eastAsia="es-SV"/>
              </w:rPr>
              <w:t>238</w:t>
            </w:r>
          </w:p>
        </w:tc>
        <w:tc>
          <w:tcPr>
            <w:tcW w:w="460" w:type="pct"/>
            <w:shd w:val="clear" w:color="auto" w:fill="DEEBF7"/>
            <w:tcMar>
              <w:top w:w="15" w:type="dxa"/>
              <w:left w:w="57" w:type="dxa"/>
              <w:bottom w:w="0" w:type="dxa"/>
              <w:right w:w="57" w:type="dxa"/>
            </w:tcMar>
            <w:vAlign w:val="center"/>
            <w:hideMark/>
          </w:tcPr>
          <w:p w:rsidRPr="0032511F" w:rsidR="00955389" w:rsidP="00955389" w:rsidRDefault="00955389" w14:paraId="6389721B" w14:textId="6E005190">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$41</w:t>
            </w:r>
            <w:r w:rsidR="002E48CC">
              <w:rPr>
                <w:rFonts w:ascii="Arial" w:hAnsi="Arial" w:eastAsia="Times New Roman" w:cs="Arial"/>
                <w:b/>
                <w:bCs/>
                <w:color w:val="000000"/>
                <w:kern w:val="24"/>
                <w:sz w:val="18"/>
                <w:szCs w:val="18"/>
                <w:lang w:eastAsia="es-SV"/>
              </w:rPr>
              <w:t>,</w:t>
            </w:r>
            <w:r w:rsidRPr="0032511F">
              <w:rPr>
                <w:rFonts w:ascii="Arial" w:hAnsi="Arial" w:eastAsia="Times New Roman" w:cs="Arial"/>
                <w:b/>
                <w:bCs/>
                <w:color w:val="000000"/>
                <w:kern w:val="24"/>
                <w:sz w:val="18"/>
                <w:szCs w:val="18"/>
                <w:lang w:eastAsia="es-SV"/>
              </w:rPr>
              <w:t>71</w:t>
            </w:r>
          </w:p>
        </w:tc>
        <w:tc>
          <w:tcPr>
            <w:tcW w:w="563" w:type="pct"/>
            <w:shd w:val="clear" w:color="auto" w:fill="DEEBF7"/>
            <w:tcMar>
              <w:top w:w="15" w:type="dxa"/>
              <w:left w:w="57" w:type="dxa"/>
              <w:bottom w:w="0" w:type="dxa"/>
              <w:right w:w="57" w:type="dxa"/>
            </w:tcMar>
            <w:vAlign w:val="center"/>
            <w:hideMark/>
          </w:tcPr>
          <w:p w:rsidRPr="0032511F" w:rsidR="00955389" w:rsidP="00955389" w:rsidRDefault="00955389" w14:paraId="233E23BE" w14:textId="72CB0DCE">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2</w:t>
            </w:r>
            <w:r w:rsidR="002E48CC">
              <w:rPr>
                <w:rFonts w:ascii="Arial" w:hAnsi="Arial" w:eastAsia="Times New Roman" w:cs="Arial"/>
                <w:b/>
                <w:bCs/>
                <w:color w:val="000000"/>
                <w:kern w:val="24"/>
                <w:sz w:val="18"/>
                <w:szCs w:val="18"/>
                <w:lang w:eastAsia="es-SV"/>
              </w:rPr>
              <w:t>.</w:t>
            </w:r>
            <w:r w:rsidRPr="0032511F">
              <w:rPr>
                <w:rFonts w:ascii="Arial" w:hAnsi="Arial" w:eastAsia="Times New Roman" w:cs="Arial"/>
                <w:b/>
                <w:bCs/>
                <w:color w:val="000000"/>
                <w:kern w:val="24"/>
                <w:sz w:val="18"/>
                <w:szCs w:val="18"/>
                <w:lang w:eastAsia="es-SV"/>
              </w:rPr>
              <w:t>072</w:t>
            </w:r>
          </w:p>
        </w:tc>
        <w:tc>
          <w:tcPr>
            <w:tcW w:w="563" w:type="pct"/>
            <w:shd w:val="clear" w:color="auto" w:fill="DEEBF7"/>
            <w:tcMar>
              <w:top w:w="15" w:type="dxa"/>
              <w:left w:w="57" w:type="dxa"/>
              <w:bottom w:w="0" w:type="dxa"/>
              <w:right w:w="57" w:type="dxa"/>
            </w:tcMar>
            <w:vAlign w:val="center"/>
            <w:hideMark/>
          </w:tcPr>
          <w:p w:rsidRPr="0032511F" w:rsidR="00955389" w:rsidP="00955389" w:rsidRDefault="00955389" w14:paraId="21EDF21D" w14:textId="09A773CE">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$86</w:t>
            </w:r>
            <w:r w:rsidR="002E48CC">
              <w:rPr>
                <w:rFonts w:ascii="Arial" w:hAnsi="Arial" w:eastAsia="Times New Roman" w:cs="Arial"/>
                <w:b/>
                <w:bCs/>
                <w:color w:val="000000"/>
                <w:kern w:val="24"/>
                <w:sz w:val="18"/>
                <w:szCs w:val="18"/>
                <w:lang w:eastAsia="es-SV"/>
              </w:rPr>
              <w:t>,</w:t>
            </w:r>
            <w:r w:rsidRPr="0032511F">
              <w:rPr>
                <w:rFonts w:ascii="Arial" w:hAnsi="Arial" w:eastAsia="Times New Roman" w:cs="Arial"/>
                <w:b/>
                <w:bCs/>
                <w:color w:val="000000"/>
                <w:kern w:val="24"/>
                <w:sz w:val="18"/>
                <w:szCs w:val="18"/>
                <w:lang w:eastAsia="es-SV"/>
              </w:rPr>
              <w:t>14</w:t>
            </w:r>
          </w:p>
        </w:tc>
        <w:tc>
          <w:tcPr>
            <w:tcW w:w="558" w:type="pct"/>
            <w:shd w:val="clear" w:color="auto" w:fill="DEEBF7"/>
            <w:tcMar>
              <w:top w:w="15" w:type="dxa"/>
              <w:left w:w="57" w:type="dxa"/>
              <w:bottom w:w="0" w:type="dxa"/>
              <w:right w:w="57" w:type="dxa"/>
            </w:tcMar>
            <w:vAlign w:val="center"/>
            <w:hideMark/>
          </w:tcPr>
          <w:p w:rsidRPr="0032511F" w:rsidR="00955389" w:rsidP="00955389" w:rsidRDefault="00955389" w14:paraId="56B4550D" w14:textId="77777777">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834</w:t>
            </w:r>
          </w:p>
        </w:tc>
        <w:tc>
          <w:tcPr>
            <w:tcW w:w="526" w:type="pct"/>
            <w:shd w:val="clear" w:color="auto" w:fill="DEEBF7"/>
            <w:tcMar>
              <w:top w:w="15" w:type="dxa"/>
              <w:left w:w="57" w:type="dxa"/>
              <w:bottom w:w="0" w:type="dxa"/>
              <w:right w:w="57" w:type="dxa"/>
            </w:tcMar>
            <w:vAlign w:val="center"/>
            <w:hideMark/>
          </w:tcPr>
          <w:p w:rsidRPr="0032511F" w:rsidR="00955389" w:rsidP="00955389" w:rsidRDefault="00955389" w14:paraId="5F2FC4A3" w14:textId="5C556E21">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67</w:t>
            </w:r>
            <w:r w:rsidR="002E48CC">
              <w:rPr>
                <w:rFonts w:ascii="Arial" w:hAnsi="Arial" w:eastAsia="Times New Roman" w:cs="Arial"/>
                <w:b/>
                <w:bCs/>
                <w:color w:val="000000"/>
                <w:kern w:val="24"/>
                <w:sz w:val="18"/>
                <w:szCs w:val="18"/>
                <w:lang w:eastAsia="es-SV"/>
              </w:rPr>
              <w:t>,</w:t>
            </w:r>
            <w:r w:rsidRPr="0032511F">
              <w:rPr>
                <w:rFonts w:ascii="Arial" w:hAnsi="Arial" w:eastAsia="Times New Roman" w:cs="Arial"/>
                <w:b/>
                <w:bCs/>
                <w:color w:val="000000"/>
                <w:kern w:val="24"/>
                <w:sz w:val="18"/>
                <w:szCs w:val="18"/>
                <w:lang w:eastAsia="es-SV"/>
              </w:rPr>
              <w:t>4%</w:t>
            </w:r>
          </w:p>
        </w:tc>
        <w:tc>
          <w:tcPr>
            <w:tcW w:w="526" w:type="pct"/>
            <w:shd w:val="clear" w:color="auto" w:fill="DEEBF7"/>
            <w:tcMar>
              <w:top w:w="15" w:type="dxa"/>
              <w:left w:w="57" w:type="dxa"/>
              <w:bottom w:w="0" w:type="dxa"/>
              <w:right w:w="57" w:type="dxa"/>
            </w:tcMar>
            <w:vAlign w:val="center"/>
            <w:hideMark/>
          </w:tcPr>
          <w:p w:rsidRPr="0032511F" w:rsidR="00955389" w:rsidP="00955389" w:rsidRDefault="00955389" w14:paraId="46979727" w14:textId="4C5AFF8E">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$44</w:t>
            </w:r>
            <w:r w:rsidR="002E48CC">
              <w:rPr>
                <w:rFonts w:ascii="Arial" w:hAnsi="Arial" w:eastAsia="Times New Roman" w:cs="Arial"/>
                <w:b/>
                <w:bCs/>
                <w:color w:val="000000"/>
                <w:kern w:val="24"/>
                <w:sz w:val="18"/>
                <w:szCs w:val="18"/>
                <w:lang w:eastAsia="es-SV"/>
              </w:rPr>
              <w:t>,</w:t>
            </w:r>
            <w:r w:rsidRPr="0032511F">
              <w:rPr>
                <w:rFonts w:ascii="Arial" w:hAnsi="Arial" w:eastAsia="Times New Roman" w:cs="Arial"/>
                <w:b/>
                <w:bCs/>
                <w:color w:val="000000"/>
                <w:kern w:val="24"/>
                <w:sz w:val="18"/>
                <w:szCs w:val="18"/>
                <w:lang w:eastAsia="es-SV"/>
              </w:rPr>
              <w:t>43</w:t>
            </w:r>
          </w:p>
        </w:tc>
        <w:tc>
          <w:tcPr>
            <w:tcW w:w="527" w:type="pct"/>
            <w:shd w:val="clear" w:color="auto" w:fill="DEEBF7"/>
            <w:tcMar>
              <w:top w:w="15" w:type="dxa"/>
              <w:left w:w="57" w:type="dxa"/>
              <w:bottom w:w="0" w:type="dxa"/>
              <w:right w:w="57" w:type="dxa"/>
            </w:tcMar>
            <w:vAlign w:val="center"/>
            <w:hideMark/>
          </w:tcPr>
          <w:p w:rsidRPr="0032511F" w:rsidR="00955389" w:rsidP="00955389" w:rsidRDefault="00955389" w14:paraId="408E8943" w14:textId="340D234F">
            <w:pPr>
              <w:spacing w:after="0" w:line="240" w:lineRule="auto"/>
              <w:jc w:val="center"/>
              <w:textAlignment w:val="center"/>
              <w:rPr>
                <w:rFonts w:ascii="Arial" w:hAnsi="Arial" w:eastAsia="Times New Roman" w:cs="Arial"/>
                <w:sz w:val="18"/>
                <w:szCs w:val="18"/>
                <w:lang w:eastAsia="es-SV"/>
              </w:rPr>
            </w:pPr>
            <w:r w:rsidRPr="0032511F">
              <w:rPr>
                <w:rFonts w:ascii="Arial" w:hAnsi="Arial" w:eastAsia="Times New Roman" w:cs="Arial"/>
                <w:b/>
                <w:bCs/>
                <w:color w:val="000000"/>
                <w:kern w:val="24"/>
                <w:sz w:val="18"/>
                <w:szCs w:val="18"/>
                <w:lang w:eastAsia="es-SV"/>
              </w:rPr>
              <w:t>106</w:t>
            </w:r>
            <w:r w:rsidR="002E48CC">
              <w:rPr>
                <w:rFonts w:ascii="Arial" w:hAnsi="Arial" w:eastAsia="Times New Roman" w:cs="Arial"/>
                <w:b/>
                <w:bCs/>
                <w:color w:val="000000"/>
                <w:kern w:val="24"/>
                <w:sz w:val="18"/>
                <w:szCs w:val="18"/>
                <w:lang w:eastAsia="es-SV"/>
              </w:rPr>
              <w:t>,</w:t>
            </w:r>
            <w:r w:rsidRPr="0032511F">
              <w:rPr>
                <w:rFonts w:ascii="Arial" w:hAnsi="Arial" w:eastAsia="Times New Roman" w:cs="Arial"/>
                <w:b/>
                <w:bCs/>
                <w:color w:val="000000"/>
                <w:kern w:val="24"/>
                <w:sz w:val="18"/>
                <w:szCs w:val="18"/>
                <w:lang w:eastAsia="es-SV"/>
              </w:rPr>
              <w:t>5%</w:t>
            </w:r>
          </w:p>
        </w:tc>
      </w:tr>
    </w:tbl>
    <w:p w:rsidRPr="0032511F" w:rsidR="00955389" w:rsidP="00A702A9" w:rsidRDefault="00010B7F" w14:paraId="3A721769" w14:textId="699C76F4">
      <w:pPr>
        <w:pStyle w:val="ListParagraph"/>
        <w:spacing w:after="0" w:line="276" w:lineRule="auto"/>
        <w:ind w:left="0"/>
        <w:jc w:val="center"/>
        <w:rPr>
          <w:rFonts w:ascii="Arial" w:hAnsi="Arial" w:cs="Arial"/>
        </w:rPr>
      </w:pPr>
      <w:r w:rsidRPr="0032511F">
        <w:rPr>
          <w:rFonts w:ascii="Arial" w:hAnsi="Arial" w:cs="Arial"/>
          <w:sz w:val="18"/>
          <w:szCs w:val="18"/>
        </w:rPr>
        <w:t>Fuente: Gerencia Técnica, Fondo Social para la Vivienda</w:t>
      </w:r>
    </w:p>
    <w:p w:rsidRPr="0032511F" w:rsidR="00F95784" w:rsidP="00BF3655" w:rsidRDefault="00F95784" w14:paraId="0C29E9AA" w14:textId="328C57B2">
      <w:pPr>
        <w:pStyle w:val="ListParagraph"/>
        <w:spacing w:after="0" w:line="276" w:lineRule="auto"/>
        <w:ind w:left="0"/>
        <w:jc w:val="both"/>
        <w:rPr>
          <w:rFonts w:ascii="Arial" w:hAnsi="Arial" w:cs="Arial"/>
        </w:rPr>
      </w:pPr>
    </w:p>
    <w:p w:rsidRPr="0032511F" w:rsidR="00010B7F" w:rsidP="00BF3655" w:rsidRDefault="00FE44F0" w14:paraId="4D0D051B" w14:textId="35FC6B1F">
      <w:pPr>
        <w:pStyle w:val="ListParagraph"/>
        <w:spacing w:after="0" w:line="276" w:lineRule="auto"/>
        <w:ind w:left="0"/>
        <w:jc w:val="both"/>
        <w:rPr>
          <w:rFonts w:ascii="Arial" w:hAnsi="Arial" w:cs="Arial"/>
        </w:rPr>
      </w:pPr>
      <w:r w:rsidRPr="0032511F">
        <w:rPr>
          <w:rFonts w:ascii="Arial" w:hAnsi="Arial" w:cs="Arial"/>
        </w:rPr>
        <w:t xml:space="preserve">Asimismo, </w:t>
      </w:r>
      <w:r w:rsidRPr="0032511F" w:rsidR="00F00355">
        <w:rPr>
          <w:rFonts w:ascii="Arial" w:hAnsi="Arial" w:cs="Arial"/>
        </w:rPr>
        <w:t xml:space="preserve">el Fondo </w:t>
      </w:r>
      <w:r w:rsidRPr="0032511F" w:rsidR="00504B3F">
        <w:rPr>
          <w:rFonts w:ascii="Arial" w:hAnsi="Arial" w:cs="Arial"/>
        </w:rPr>
        <w:t xml:space="preserve">ha sostenido reuniones de trabajo con distintos constructores </w:t>
      </w:r>
      <w:r w:rsidRPr="0032511F" w:rsidR="00F00355">
        <w:rPr>
          <w:rFonts w:ascii="Arial" w:hAnsi="Arial" w:cs="Arial"/>
        </w:rPr>
        <w:t>y se recibe i</w:t>
      </w:r>
      <w:r w:rsidRPr="0032511F" w:rsidR="00504B3F">
        <w:rPr>
          <w:rFonts w:ascii="Arial" w:hAnsi="Arial" w:cs="Arial"/>
        </w:rPr>
        <w:t>nformación sobre reuniones sostenidas por el Ministerio de Vivienda en donde se estima que será mayor la oferta de vivienda</w:t>
      </w:r>
      <w:r w:rsidRPr="0032511F" w:rsidR="00F00355">
        <w:rPr>
          <w:rFonts w:ascii="Arial" w:hAnsi="Arial" w:cs="Arial"/>
        </w:rPr>
        <w:t>;</w:t>
      </w:r>
      <w:r w:rsidRPr="0032511F" w:rsidR="00504B3F">
        <w:rPr>
          <w:rFonts w:ascii="Arial" w:hAnsi="Arial" w:cs="Arial"/>
        </w:rPr>
        <w:t xml:space="preserve"> dado que</w:t>
      </w:r>
      <w:r w:rsidRPr="0032511F" w:rsidR="00F00355">
        <w:rPr>
          <w:rFonts w:ascii="Arial" w:hAnsi="Arial" w:cs="Arial"/>
        </w:rPr>
        <w:t>,</w:t>
      </w:r>
      <w:r w:rsidRPr="0032511F" w:rsidR="00504B3F">
        <w:rPr>
          <w:rFonts w:ascii="Arial" w:hAnsi="Arial" w:cs="Arial"/>
        </w:rPr>
        <w:t xml:space="preserve"> se </w:t>
      </w:r>
      <w:r w:rsidRPr="0032511F" w:rsidR="00710EA2">
        <w:rPr>
          <w:rFonts w:ascii="Arial" w:hAnsi="Arial" w:cs="Arial"/>
        </w:rPr>
        <w:t>está</w:t>
      </w:r>
      <w:r w:rsidRPr="0032511F" w:rsidR="00504B3F">
        <w:rPr>
          <w:rFonts w:ascii="Arial" w:hAnsi="Arial" w:cs="Arial"/>
        </w:rPr>
        <w:t xml:space="preserve"> trabajando para que se faciliten los trámites de autorización de los proyectos habitacionales, lo cual ha sido </w:t>
      </w:r>
      <w:r w:rsidRPr="0032511F" w:rsidR="001F033A">
        <w:rPr>
          <w:rFonts w:ascii="Arial" w:hAnsi="Arial" w:cs="Arial"/>
        </w:rPr>
        <w:t>una</w:t>
      </w:r>
      <w:r w:rsidRPr="0032511F" w:rsidR="00504B3F">
        <w:rPr>
          <w:rFonts w:ascii="Arial" w:hAnsi="Arial" w:cs="Arial"/>
        </w:rPr>
        <w:t xml:space="preserve"> de las principales dificultades </w:t>
      </w:r>
      <w:r w:rsidRPr="0032511F" w:rsidR="001F033A">
        <w:rPr>
          <w:rFonts w:ascii="Arial" w:hAnsi="Arial" w:cs="Arial"/>
        </w:rPr>
        <w:t xml:space="preserve">que los desarrolladores tienen para </w:t>
      </w:r>
      <w:r w:rsidRPr="0032511F" w:rsidR="00504B3F">
        <w:rPr>
          <w:rFonts w:ascii="Arial" w:hAnsi="Arial" w:cs="Arial"/>
        </w:rPr>
        <w:t xml:space="preserve">la generación de </w:t>
      </w:r>
      <w:r w:rsidRPr="0032511F" w:rsidR="00F00355">
        <w:rPr>
          <w:rFonts w:ascii="Arial" w:hAnsi="Arial" w:cs="Arial"/>
        </w:rPr>
        <w:t xml:space="preserve">proyecto habitacionales de </w:t>
      </w:r>
      <w:r w:rsidRPr="0032511F" w:rsidR="00504B3F">
        <w:rPr>
          <w:rFonts w:ascii="Arial" w:hAnsi="Arial" w:cs="Arial"/>
        </w:rPr>
        <w:t>vivienda</w:t>
      </w:r>
      <w:r w:rsidRPr="0032511F" w:rsidR="001F033A">
        <w:rPr>
          <w:rFonts w:ascii="Arial" w:hAnsi="Arial" w:cs="Arial"/>
        </w:rPr>
        <w:t xml:space="preserve"> nueva</w:t>
      </w:r>
      <w:r w:rsidRPr="0032511F" w:rsidR="00504B3F">
        <w:rPr>
          <w:rFonts w:ascii="Arial" w:hAnsi="Arial" w:cs="Arial"/>
        </w:rPr>
        <w:t>.</w:t>
      </w:r>
    </w:p>
    <w:p w:rsidRPr="0032511F" w:rsidR="00010B7F" w:rsidP="00BF3655" w:rsidRDefault="00010B7F" w14:paraId="48E05399" w14:textId="18ADB3E5">
      <w:pPr>
        <w:pStyle w:val="ListParagraph"/>
        <w:spacing w:after="0" w:line="276" w:lineRule="auto"/>
        <w:ind w:left="0"/>
        <w:jc w:val="both"/>
        <w:rPr>
          <w:rFonts w:ascii="Arial" w:hAnsi="Arial" w:cs="Arial"/>
        </w:rPr>
      </w:pPr>
    </w:p>
    <w:p w:rsidRPr="0032511F" w:rsidR="00F95784" w:rsidP="001F033A" w:rsidRDefault="00925D17" w14:paraId="78E52A13" w14:textId="0550BB7A">
      <w:pPr>
        <w:pStyle w:val="ListParagraph"/>
        <w:numPr>
          <w:ilvl w:val="0"/>
          <w:numId w:val="1"/>
        </w:numPr>
        <w:ind w:left="426" w:hanging="426"/>
        <w:jc w:val="both"/>
        <w:rPr>
          <w:rFonts w:ascii="Arial" w:hAnsi="Arial" w:cs="Arial"/>
        </w:rPr>
      </w:pPr>
      <w:r>
        <w:rPr>
          <w:rFonts w:ascii="Arial" w:hAnsi="Arial" w:cs="Arial"/>
          <w:b/>
          <w:u w:val="single"/>
        </w:rPr>
        <w:t>Proyecciones Financieras</w:t>
      </w:r>
    </w:p>
    <w:p w:rsidRPr="0032511F" w:rsidR="008E3214" w:rsidP="00BF3655" w:rsidRDefault="008E3214" w14:paraId="2D0B9C3E" w14:textId="7251CEF2">
      <w:pPr>
        <w:pStyle w:val="ListParagraph"/>
        <w:spacing w:after="0" w:line="276" w:lineRule="auto"/>
        <w:ind w:left="0"/>
        <w:jc w:val="both"/>
        <w:rPr>
          <w:rFonts w:ascii="Arial" w:hAnsi="Arial" w:cs="Arial"/>
        </w:rPr>
      </w:pPr>
    </w:p>
    <w:p w:rsidRPr="0032511F" w:rsidR="00E853FC" w:rsidP="00BF3655" w:rsidRDefault="00856375" w14:paraId="477D0669" w14:textId="2CA2F93A">
      <w:pPr>
        <w:pStyle w:val="ListParagraph"/>
        <w:spacing w:after="0" w:line="276" w:lineRule="auto"/>
        <w:ind w:left="0"/>
        <w:jc w:val="both"/>
        <w:rPr>
          <w:rFonts w:ascii="Arial" w:hAnsi="Arial" w:cs="Arial"/>
        </w:rPr>
      </w:pPr>
      <w:r w:rsidRPr="0032511F">
        <w:rPr>
          <w:rFonts w:ascii="Arial" w:hAnsi="Arial" w:cs="Arial"/>
        </w:rPr>
        <w:t>Con la información de la demanda de créditos y la tendencia que se ha evidenciado y considerando la oferta de vivienda nueva existente y la proyección brindada por la Gerencia Técnica del FSV (encargada de supervisar proyectos de construcción y valuación de garantías de los créditos hipotecarios)</w:t>
      </w:r>
      <w:r w:rsidRPr="0032511F" w:rsidR="009A7301">
        <w:rPr>
          <w:rFonts w:ascii="Arial" w:hAnsi="Arial" w:cs="Arial"/>
        </w:rPr>
        <w:t>; la Gerencia de finanzas con el equipo ejecutivo del FSV preparó las siguientes proyecciones financieras.</w:t>
      </w:r>
    </w:p>
    <w:p w:rsidRPr="0032511F" w:rsidR="00D046CE" w:rsidP="00BF3655" w:rsidRDefault="00D046CE" w14:paraId="3A196F84" w14:textId="7CD7FC6E">
      <w:pPr>
        <w:pStyle w:val="ListParagraph"/>
        <w:spacing w:after="0" w:line="276" w:lineRule="auto"/>
        <w:ind w:left="0"/>
        <w:jc w:val="both"/>
        <w:rPr>
          <w:rFonts w:ascii="Arial" w:hAnsi="Arial" w:cs="Arial"/>
        </w:rPr>
      </w:pPr>
    </w:p>
    <w:tbl>
      <w:tblPr>
        <w:tblW w:w="5000" w:type="pct"/>
        <w:jc w:val="center"/>
        <w:tblCellMar>
          <w:left w:w="70" w:type="dxa"/>
          <w:right w:w="70" w:type="dxa"/>
        </w:tblCellMar>
        <w:tblLook w:val="04A0" w:firstRow="1" w:lastRow="0" w:firstColumn="1" w:lastColumn="0" w:noHBand="0" w:noVBand="1"/>
      </w:tblPr>
      <w:tblGrid>
        <w:gridCol w:w="4030"/>
        <w:gridCol w:w="1007"/>
        <w:gridCol w:w="1007"/>
        <w:gridCol w:w="1007"/>
        <w:gridCol w:w="1007"/>
        <w:gridCol w:w="1007"/>
        <w:gridCol w:w="1005"/>
      </w:tblGrid>
      <w:tr w:rsidRPr="0032511F" w:rsidR="00D046CE" w:rsidTr="005478A8" w14:paraId="6A753FB5" w14:textId="77777777">
        <w:trPr>
          <w:trHeight w:val="300"/>
          <w:jc w:val="center"/>
        </w:trPr>
        <w:tc>
          <w:tcPr>
            <w:tcW w:w="2001" w:type="pct"/>
            <w:tcBorders>
              <w:top w:val="single" w:color="auto" w:sz="4" w:space="0"/>
              <w:left w:val="single" w:color="auto" w:sz="4" w:space="0"/>
              <w:bottom w:val="single" w:color="auto" w:sz="4" w:space="0"/>
              <w:right w:val="single" w:color="auto" w:sz="4" w:space="0"/>
            </w:tcBorders>
            <w:shd w:val="clear" w:color="auto" w:fill="323E4F" w:themeFill="text2" w:themeFillShade="BF"/>
            <w:noWrap/>
            <w:vAlign w:val="center"/>
            <w:hideMark/>
          </w:tcPr>
          <w:p w:rsidRPr="0032511F" w:rsidR="00D046CE" w:rsidP="00D046CE" w:rsidRDefault="00D046CE" w14:paraId="74B81178" w14:textId="77777777">
            <w:pPr>
              <w:spacing w:after="0" w:line="240" w:lineRule="auto"/>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UNIDADES</w:t>
            </w:r>
          </w:p>
        </w:tc>
        <w:tc>
          <w:tcPr>
            <w:tcW w:w="500"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D046CE" w:rsidP="00D046CE" w:rsidRDefault="00D046CE" w14:paraId="54832559"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2020</w:t>
            </w:r>
          </w:p>
        </w:tc>
        <w:tc>
          <w:tcPr>
            <w:tcW w:w="500"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D046CE" w:rsidP="00D046CE" w:rsidRDefault="00D046CE" w14:paraId="463CB1CE"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2021</w:t>
            </w:r>
          </w:p>
        </w:tc>
        <w:tc>
          <w:tcPr>
            <w:tcW w:w="500"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D046CE" w:rsidP="00D046CE" w:rsidRDefault="00D046CE" w14:paraId="217E09F3"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2022</w:t>
            </w:r>
          </w:p>
        </w:tc>
        <w:tc>
          <w:tcPr>
            <w:tcW w:w="500"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D046CE" w:rsidP="00D046CE" w:rsidRDefault="00D046CE" w14:paraId="7B506825"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2023</w:t>
            </w:r>
          </w:p>
        </w:tc>
        <w:tc>
          <w:tcPr>
            <w:tcW w:w="500"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D046CE" w:rsidP="00D046CE" w:rsidRDefault="00D046CE" w14:paraId="56B84E79"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2024</w:t>
            </w:r>
          </w:p>
        </w:tc>
        <w:tc>
          <w:tcPr>
            <w:tcW w:w="500"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D046CE" w:rsidP="00D046CE" w:rsidRDefault="00D046CE" w14:paraId="77A75BAF"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TOTAL</w:t>
            </w:r>
          </w:p>
        </w:tc>
      </w:tr>
      <w:tr w:rsidRPr="0032511F" w:rsidR="00D046CE" w:rsidTr="005478A8" w14:paraId="4F9B2DE3" w14:textId="77777777">
        <w:trPr>
          <w:trHeight w:val="300"/>
          <w:jc w:val="center"/>
        </w:trPr>
        <w:tc>
          <w:tcPr>
            <w:tcW w:w="2001" w:type="pct"/>
            <w:tcBorders>
              <w:top w:val="nil"/>
              <w:left w:val="single" w:color="auto" w:sz="4" w:space="0"/>
              <w:bottom w:val="nil"/>
              <w:right w:val="single" w:color="auto" w:sz="4" w:space="0"/>
            </w:tcBorders>
            <w:shd w:val="clear" w:color="auto" w:fill="auto"/>
            <w:noWrap/>
            <w:vAlign w:val="bottom"/>
            <w:hideMark/>
          </w:tcPr>
          <w:p w:rsidRPr="0032511F" w:rsidR="00D046CE" w:rsidP="00D046CE" w:rsidRDefault="00D046CE" w14:paraId="2F19FBC4" w14:textId="77777777">
            <w:pPr>
              <w:spacing w:after="0" w:line="240" w:lineRule="auto"/>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CREDITOS CON DESEMBOLSO</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12DC4F18" w14:textId="6D1E27BF">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5</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805</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28D30ABC" w14:textId="2AE187D1">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5</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793</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434F9EEB" w14:textId="620411DA">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5</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782</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6090884B" w14:textId="6DE1086E">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5</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496</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23C986CE" w14:textId="70276A70">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5</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496</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05455359" w14:textId="34659D51">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28</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371</w:t>
            </w:r>
          </w:p>
        </w:tc>
      </w:tr>
      <w:tr w:rsidRPr="0032511F" w:rsidR="00D046CE" w:rsidTr="005478A8" w14:paraId="30E98662" w14:textId="77777777">
        <w:trPr>
          <w:trHeight w:val="300"/>
          <w:jc w:val="center"/>
        </w:trPr>
        <w:tc>
          <w:tcPr>
            <w:tcW w:w="2001" w:type="pct"/>
            <w:tcBorders>
              <w:top w:val="nil"/>
              <w:left w:val="single" w:color="auto" w:sz="4" w:space="0"/>
              <w:bottom w:val="nil"/>
              <w:right w:val="single" w:color="auto" w:sz="4" w:space="0"/>
            </w:tcBorders>
            <w:shd w:val="clear" w:color="auto" w:fill="auto"/>
            <w:noWrap/>
            <w:vAlign w:val="bottom"/>
            <w:hideMark/>
          </w:tcPr>
          <w:p w:rsidRPr="0032511F" w:rsidR="00D046CE" w:rsidP="00D046CE" w:rsidRDefault="00D046CE" w14:paraId="0F3C2BEB" w14:textId="77777777">
            <w:pPr>
              <w:spacing w:after="0" w:line="240" w:lineRule="auto"/>
              <w:ind w:firstLine="200" w:firstLineChars="100"/>
              <w:rPr>
                <w:rFonts w:ascii="Arial" w:hAnsi="Arial" w:eastAsia="Times New Roman" w:cs="Arial"/>
                <w:sz w:val="20"/>
                <w:szCs w:val="20"/>
                <w:lang w:eastAsia="es-SV"/>
              </w:rPr>
            </w:pPr>
            <w:r w:rsidRPr="0032511F">
              <w:rPr>
                <w:rFonts w:ascii="Arial" w:hAnsi="Arial" w:eastAsia="Times New Roman" w:cs="Arial"/>
                <w:sz w:val="20"/>
                <w:szCs w:val="20"/>
                <w:lang w:eastAsia="es-SV"/>
              </w:rPr>
              <w:t>Vivienda Nueva</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126D90AB" w14:textId="2934FA1B">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004</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1053AFBD" w14:textId="6BA98224">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330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7589A14D" w14:textId="63CB75A5">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555</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3BFDF74A" w14:textId="3116E710">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740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1904B684" w14:textId="1B166A58">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740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64DA9741" w14:textId="72FD20CC">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7</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369</w:t>
            </w:r>
          </w:p>
        </w:tc>
      </w:tr>
      <w:tr w:rsidRPr="0032511F" w:rsidR="00D046CE" w:rsidTr="005478A8" w14:paraId="50486599" w14:textId="77777777">
        <w:trPr>
          <w:trHeight w:val="300"/>
          <w:jc w:val="center"/>
        </w:trPr>
        <w:tc>
          <w:tcPr>
            <w:tcW w:w="2001" w:type="pct"/>
            <w:tcBorders>
              <w:top w:val="nil"/>
              <w:left w:val="single" w:color="auto" w:sz="4" w:space="0"/>
              <w:bottom w:val="nil"/>
              <w:right w:val="single" w:color="auto" w:sz="4" w:space="0"/>
            </w:tcBorders>
            <w:shd w:val="clear" w:color="auto" w:fill="auto"/>
            <w:noWrap/>
            <w:vAlign w:val="bottom"/>
            <w:hideMark/>
          </w:tcPr>
          <w:p w:rsidRPr="0032511F" w:rsidR="00D046CE" w:rsidP="00D046CE" w:rsidRDefault="00D046CE" w14:paraId="09D53B6A" w14:textId="77777777">
            <w:pPr>
              <w:spacing w:after="0" w:line="240" w:lineRule="auto"/>
              <w:ind w:firstLine="600" w:firstLineChars="300"/>
              <w:rPr>
                <w:rFonts w:ascii="Arial" w:hAnsi="Arial" w:eastAsia="Times New Roman" w:cs="Arial"/>
                <w:sz w:val="20"/>
                <w:szCs w:val="20"/>
                <w:lang w:eastAsia="es-SV"/>
              </w:rPr>
            </w:pPr>
            <w:r w:rsidRPr="0032511F">
              <w:rPr>
                <w:rFonts w:ascii="Arial" w:hAnsi="Arial" w:eastAsia="Times New Roman" w:cs="Arial"/>
                <w:sz w:val="20"/>
                <w:szCs w:val="20"/>
                <w:lang w:eastAsia="es-SV"/>
              </w:rPr>
              <w:t>Casas construidas por FONAVIPO</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545514DE"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100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5F0E6DCD"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100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4797338E"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100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0EA19F83"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100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69711EA8"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100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33B20A78"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500</w:t>
            </w:r>
          </w:p>
        </w:tc>
      </w:tr>
      <w:tr w:rsidRPr="0032511F" w:rsidR="00D046CE" w:rsidTr="005478A8" w14:paraId="609FC54B" w14:textId="77777777">
        <w:trPr>
          <w:trHeight w:val="300"/>
          <w:jc w:val="center"/>
        </w:trPr>
        <w:tc>
          <w:tcPr>
            <w:tcW w:w="2001" w:type="pct"/>
            <w:tcBorders>
              <w:top w:val="nil"/>
              <w:left w:val="single" w:color="auto" w:sz="4" w:space="0"/>
              <w:bottom w:val="nil"/>
              <w:right w:val="single" w:color="auto" w:sz="4" w:space="0"/>
            </w:tcBorders>
            <w:shd w:val="clear" w:color="auto" w:fill="auto"/>
            <w:noWrap/>
            <w:vAlign w:val="bottom"/>
            <w:hideMark/>
          </w:tcPr>
          <w:p w:rsidRPr="0032511F" w:rsidR="00D046CE" w:rsidP="00D046CE" w:rsidRDefault="00D046CE" w14:paraId="046E8DC8" w14:textId="77777777">
            <w:pPr>
              <w:spacing w:after="0" w:line="240" w:lineRule="auto"/>
              <w:ind w:firstLine="600" w:firstLineChars="300"/>
              <w:rPr>
                <w:rFonts w:ascii="Arial" w:hAnsi="Arial" w:eastAsia="Times New Roman" w:cs="Arial"/>
                <w:sz w:val="20"/>
                <w:szCs w:val="20"/>
                <w:lang w:eastAsia="es-SV"/>
              </w:rPr>
            </w:pPr>
            <w:r w:rsidRPr="0032511F">
              <w:rPr>
                <w:rFonts w:ascii="Arial" w:hAnsi="Arial" w:eastAsia="Times New Roman" w:cs="Arial"/>
                <w:sz w:val="20"/>
                <w:szCs w:val="20"/>
                <w:lang w:eastAsia="es-SV"/>
              </w:rPr>
              <w:t>Hasta $25,000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2041D40D"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25</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1870B883"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37</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37633F80"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45</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7587D708"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52</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77513D52"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52</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02AA76E4"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210</w:t>
            </w:r>
          </w:p>
        </w:tc>
      </w:tr>
      <w:tr w:rsidRPr="0032511F" w:rsidR="00D046CE" w:rsidTr="005478A8" w14:paraId="6E86C90A" w14:textId="77777777">
        <w:trPr>
          <w:trHeight w:val="300"/>
          <w:jc w:val="center"/>
        </w:trPr>
        <w:tc>
          <w:tcPr>
            <w:tcW w:w="2001" w:type="pct"/>
            <w:tcBorders>
              <w:top w:val="nil"/>
              <w:left w:val="single" w:color="auto" w:sz="4" w:space="0"/>
              <w:bottom w:val="nil"/>
              <w:right w:val="single" w:color="auto" w:sz="4" w:space="0"/>
            </w:tcBorders>
            <w:shd w:val="clear" w:color="auto" w:fill="auto"/>
            <w:vAlign w:val="bottom"/>
            <w:hideMark/>
          </w:tcPr>
          <w:p w:rsidRPr="0032511F" w:rsidR="00D046CE" w:rsidP="00D046CE" w:rsidRDefault="00D046CE" w14:paraId="6C60BE7D" w14:textId="77777777">
            <w:pPr>
              <w:spacing w:after="0" w:line="240" w:lineRule="auto"/>
              <w:ind w:firstLine="600" w:firstLineChars="300"/>
              <w:rPr>
                <w:rFonts w:ascii="Arial" w:hAnsi="Arial" w:eastAsia="Times New Roman" w:cs="Arial"/>
                <w:sz w:val="20"/>
                <w:szCs w:val="20"/>
                <w:lang w:eastAsia="es-SV"/>
              </w:rPr>
            </w:pPr>
            <w:r w:rsidRPr="0032511F">
              <w:rPr>
                <w:rFonts w:ascii="Arial" w:hAnsi="Arial" w:eastAsia="Times New Roman" w:cs="Arial"/>
                <w:sz w:val="20"/>
                <w:szCs w:val="20"/>
                <w:lang w:eastAsia="es-SV"/>
              </w:rPr>
              <w:t>Más de $25,000 hasta $38,900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5678B5FF"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225</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6FEAE9C0"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331</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22165D18"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405</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4EFE1C63"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465</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0593E46D"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465</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15AED0A3" w14:textId="78D7B153">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891</w:t>
            </w:r>
          </w:p>
        </w:tc>
      </w:tr>
      <w:tr w:rsidRPr="0032511F" w:rsidR="00D046CE" w:rsidTr="005478A8" w14:paraId="5B62B830" w14:textId="77777777">
        <w:trPr>
          <w:trHeight w:val="300"/>
          <w:jc w:val="center"/>
        </w:trPr>
        <w:tc>
          <w:tcPr>
            <w:tcW w:w="2001" w:type="pct"/>
            <w:tcBorders>
              <w:top w:val="nil"/>
              <w:left w:val="single" w:color="auto" w:sz="4" w:space="0"/>
              <w:bottom w:val="nil"/>
              <w:right w:val="single" w:color="auto" w:sz="4" w:space="0"/>
            </w:tcBorders>
            <w:shd w:val="clear" w:color="auto" w:fill="auto"/>
            <w:noWrap/>
            <w:vAlign w:val="bottom"/>
            <w:hideMark/>
          </w:tcPr>
          <w:p w:rsidRPr="0032511F" w:rsidR="00D046CE" w:rsidP="00D046CE" w:rsidRDefault="00D046CE" w14:paraId="43DB7DF1" w14:textId="77777777">
            <w:pPr>
              <w:spacing w:after="0" w:line="240" w:lineRule="auto"/>
              <w:ind w:firstLine="600" w:firstLineChars="300"/>
              <w:rPr>
                <w:rFonts w:ascii="Arial" w:hAnsi="Arial" w:eastAsia="Times New Roman" w:cs="Arial"/>
                <w:sz w:val="20"/>
                <w:szCs w:val="20"/>
                <w:lang w:eastAsia="es-SV"/>
              </w:rPr>
            </w:pPr>
            <w:r w:rsidRPr="0032511F">
              <w:rPr>
                <w:rFonts w:ascii="Arial" w:hAnsi="Arial" w:eastAsia="Times New Roman" w:cs="Arial"/>
                <w:sz w:val="20"/>
                <w:szCs w:val="20"/>
                <w:lang w:eastAsia="es-SV"/>
              </w:rPr>
              <w:t>Más de $38,900 hasta $50,000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567B6363"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440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56A0A8D3"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648</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6C799B03"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791</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103CC5AB"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910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0677E31A"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910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405015D7" w14:textId="66053491">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698</w:t>
            </w:r>
          </w:p>
        </w:tc>
      </w:tr>
      <w:tr w:rsidRPr="0032511F" w:rsidR="00D046CE" w:rsidTr="005478A8" w14:paraId="2AA137C8" w14:textId="77777777">
        <w:trPr>
          <w:trHeight w:val="300"/>
          <w:jc w:val="center"/>
        </w:trPr>
        <w:tc>
          <w:tcPr>
            <w:tcW w:w="2001" w:type="pct"/>
            <w:tcBorders>
              <w:top w:val="nil"/>
              <w:left w:val="single" w:color="auto" w:sz="4" w:space="0"/>
              <w:bottom w:val="nil"/>
              <w:right w:val="single" w:color="auto" w:sz="4" w:space="0"/>
            </w:tcBorders>
            <w:shd w:val="clear" w:color="auto" w:fill="auto"/>
            <w:noWrap/>
            <w:vAlign w:val="bottom"/>
            <w:hideMark/>
          </w:tcPr>
          <w:p w:rsidRPr="0032511F" w:rsidR="00D046CE" w:rsidP="00D046CE" w:rsidRDefault="00D046CE" w14:paraId="7540F688" w14:textId="77777777">
            <w:pPr>
              <w:spacing w:after="0" w:line="240" w:lineRule="auto"/>
              <w:ind w:firstLine="600" w:firstLineChars="300"/>
              <w:rPr>
                <w:rFonts w:ascii="Arial" w:hAnsi="Arial" w:eastAsia="Times New Roman" w:cs="Arial"/>
                <w:sz w:val="20"/>
                <w:szCs w:val="20"/>
                <w:lang w:eastAsia="es-SV"/>
              </w:rPr>
            </w:pPr>
            <w:r w:rsidRPr="0032511F">
              <w:rPr>
                <w:rFonts w:ascii="Arial" w:hAnsi="Arial" w:eastAsia="Times New Roman" w:cs="Arial"/>
                <w:sz w:val="20"/>
                <w:szCs w:val="20"/>
                <w:lang w:eastAsia="es-SV"/>
              </w:rPr>
              <w:t>Más de $50,000 hasta $150,000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583EAB3A"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214</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773BB898"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214</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492587F8"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214</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3FDE0C89"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214</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4493BCA2"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214</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72B87D06" w14:textId="16CAF8C4">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070</w:t>
            </w:r>
          </w:p>
        </w:tc>
      </w:tr>
      <w:tr w:rsidRPr="0032511F" w:rsidR="00D046CE" w:rsidTr="005478A8" w14:paraId="438208A2" w14:textId="77777777">
        <w:trPr>
          <w:trHeight w:val="300"/>
          <w:jc w:val="center"/>
        </w:trPr>
        <w:tc>
          <w:tcPr>
            <w:tcW w:w="2001" w:type="pct"/>
            <w:tcBorders>
              <w:top w:val="nil"/>
              <w:left w:val="single" w:color="auto" w:sz="4" w:space="0"/>
              <w:bottom w:val="nil"/>
              <w:right w:val="single" w:color="auto" w:sz="4" w:space="0"/>
            </w:tcBorders>
            <w:shd w:val="clear" w:color="auto" w:fill="auto"/>
            <w:noWrap/>
            <w:vAlign w:val="bottom"/>
            <w:hideMark/>
          </w:tcPr>
          <w:p w:rsidRPr="0032511F" w:rsidR="00D046CE" w:rsidP="00D046CE" w:rsidRDefault="00D046CE" w14:paraId="05E5BD04" w14:textId="77777777">
            <w:pPr>
              <w:spacing w:after="0" w:line="240" w:lineRule="auto"/>
              <w:ind w:firstLine="200" w:firstLineChars="100"/>
              <w:rPr>
                <w:rFonts w:ascii="Arial" w:hAnsi="Arial" w:eastAsia="Times New Roman" w:cs="Arial"/>
                <w:sz w:val="20"/>
                <w:szCs w:val="20"/>
                <w:lang w:eastAsia="es-SV"/>
              </w:rPr>
            </w:pPr>
            <w:r w:rsidRPr="0032511F">
              <w:rPr>
                <w:rFonts w:ascii="Arial" w:hAnsi="Arial" w:eastAsia="Times New Roman" w:cs="Arial"/>
                <w:sz w:val="20"/>
                <w:szCs w:val="20"/>
                <w:lang w:eastAsia="es-SV"/>
              </w:rPr>
              <w:t>Vivienda Usada hasta $38,900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5990EF42" w14:textId="56CCBF3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4</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481</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2837A8A5" w14:textId="5A3D2922">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4</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143</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7A4D8A78" w14:textId="66B78ED8">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907</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0BC61735" w14:textId="7FFD556C">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435</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4974F83D" w14:textId="56924C95">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435</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2764078A" w14:textId="5D7BCDF5">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19</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402</w:t>
            </w:r>
          </w:p>
        </w:tc>
      </w:tr>
      <w:tr w:rsidRPr="0032511F" w:rsidR="00D046CE" w:rsidTr="005478A8" w14:paraId="0F5F0533" w14:textId="77777777">
        <w:trPr>
          <w:trHeight w:val="300"/>
          <w:jc w:val="center"/>
        </w:trPr>
        <w:tc>
          <w:tcPr>
            <w:tcW w:w="2001" w:type="pct"/>
            <w:tcBorders>
              <w:top w:val="nil"/>
              <w:left w:val="single" w:color="auto" w:sz="4" w:space="0"/>
              <w:bottom w:val="nil"/>
              <w:right w:val="single" w:color="auto" w:sz="4" w:space="0"/>
            </w:tcBorders>
            <w:shd w:val="clear" w:color="auto" w:fill="auto"/>
            <w:noWrap/>
            <w:vAlign w:val="bottom"/>
            <w:hideMark/>
          </w:tcPr>
          <w:p w:rsidRPr="0032511F" w:rsidR="00D046CE" w:rsidP="00D046CE" w:rsidRDefault="00D046CE" w14:paraId="6E91FDF9" w14:textId="77777777">
            <w:pPr>
              <w:spacing w:after="0" w:line="240" w:lineRule="auto"/>
              <w:ind w:firstLine="200" w:firstLineChars="100"/>
              <w:rPr>
                <w:rFonts w:ascii="Arial" w:hAnsi="Arial" w:eastAsia="Times New Roman" w:cs="Arial"/>
                <w:sz w:val="20"/>
                <w:szCs w:val="20"/>
                <w:lang w:eastAsia="es-SV"/>
              </w:rPr>
            </w:pPr>
            <w:r w:rsidRPr="0032511F">
              <w:rPr>
                <w:rFonts w:ascii="Arial" w:hAnsi="Arial" w:eastAsia="Times New Roman" w:cs="Arial"/>
                <w:sz w:val="20"/>
                <w:szCs w:val="20"/>
                <w:lang w:eastAsia="es-SV"/>
              </w:rPr>
              <w:t>Vivienda Usada más de $38,900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71C93277"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190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4EA1E68E"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190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3416C202"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190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681D9A32"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190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52B15757"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190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78708303"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950</w:t>
            </w:r>
          </w:p>
        </w:tc>
      </w:tr>
      <w:tr w:rsidRPr="0032511F" w:rsidR="00D046CE" w:rsidTr="005478A8" w14:paraId="4EE24FD6" w14:textId="77777777">
        <w:trPr>
          <w:trHeight w:val="300"/>
          <w:jc w:val="center"/>
        </w:trPr>
        <w:tc>
          <w:tcPr>
            <w:tcW w:w="2001" w:type="pct"/>
            <w:tcBorders>
              <w:top w:val="nil"/>
              <w:left w:val="single" w:color="auto" w:sz="4" w:space="0"/>
              <w:bottom w:val="nil"/>
              <w:right w:val="single" w:color="auto" w:sz="4" w:space="0"/>
            </w:tcBorders>
            <w:shd w:val="clear" w:color="auto" w:fill="auto"/>
            <w:noWrap/>
            <w:vAlign w:val="bottom"/>
            <w:hideMark/>
          </w:tcPr>
          <w:p w:rsidRPr="0032511F" w:rsidR="00D046CE" w:rsidP="00D046CE" w:rsidRDefault="00D046CE" w14:paraId="4B5739C9" w14:textId="77777777">
            <w:pPr>
              <w:spacing w:after="0" w:line="240" w:lineRule="auto"/>
              <w:ind w:firstLine="200" w:firstLineChars="100"/>
              <w:rPr>
                <w:rFonts w:ascii="Arial" w:hAnsi="Arial" w:eastAsia="Times New Roman" w:cs="Arial"/>
                <w:sz w:val="20"/>
                <w:szCs w:val="20"/>
                <w:lang w:eastAsia="es-SV"/>
              </w:rPr>
            </w:pPr>
            <w:r w:rsidRPr="0032511F">
              <w:rPr>
                <w:rFonts w:ascii="Arial" w:hAnsi="Arial" w:eastAsia="Times New Roman" w:cs="Arial"/>
                <w:sz w:val="20"/>
                <w:szCs w:val="20"/>
                <w:lang w:eastAsia="es-SV"/>
              </w:rPr>
              <w:t>Otras Líneas</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6C50C010"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130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70E5232A"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130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2182FE1E"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130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395B821E"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130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069B7BBD"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130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15E6B60A"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650</w:t>
            </w:r>
          </w:p>
        </w:tc>
      </w:tr>
      <w:tr w:rsidRPr="0032511F" w:rsidR="00D046CE" w:rsidTr="005478A8" w14:paraId="65A68E5C" w14:textId="77777777">
        <w:trPr>
          <w:trHeight w:val="300"/>
          <w:jc w:val="center"/>
        </w:trPr>
        <w:tc>
          <w:tcPr>
            <w:tcW w:w="2001" w:type="pct"/>
            <w:tcBorders>
              <w:top w:val="nil"/>
              <w:left w:val="single" w:color="auto" w:sz="4" w:space="0"/>
              <w:bottom w:val="nil"/>
              <w:right w:val="single" w:color="auto" w:sz="4" w:space="0"/>
            </w:tcBorders>
            <w:shd w:val="clear" w:color="auto" w:fill="auto"/>
            <w:noWrap/>
            <w:vAlign w:val="bottom"/>
            <w:hideMark/>
          </w:tcPr>
          <w:p w:rsidRPr="0032511F" w:rsidR="00D046CE" w:rsidP="00D046CE" w:rsidRDefault="00D046CE" w14:paraId="5B1D930A" w14:textId="77777777">
            <w:pPr>
              <w:spacing w:after="0" w:line="240" w:lineRule="auto"/>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CREDITOS SIN DESEMBOLSO</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189EDFB8" w14:textId="65CDA765">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460</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21F95DB4" w14:textId="32B84582">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504</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768C7D48" w14:textId="4F31A2B2">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549</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06AF2A85" w14:textId="39D070A5">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595</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08FEF16F" w14:textId="7E9026E1">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643</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3780DCE2" w14:textId="0F7E0114">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7</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751</w:t>
            </w:r>
          </w:p>
        </w:tc>
      </w:tr>
      <w:tr w:rsidRPr="0032511F" w:rsidR="00D046CE" w:rsidTr="005478A8" w14:paraId="3B71B137" w14:textId="77777777">
        <w:trPr>
          <w:trHeight w:val="300"/>
          <w:jc w:val="center"/>
        </w:trPr>
        <w:tc>
          <w:tcPr>
            <w:tcW w:w="2001" w:type="pct"/>
            <w:tcBorders>
              <w:top w:val="nil"/>
              <w:left w:val="single" w:color="auto" w:sz="4" w:space="0"/>
              <w:bottom w:val="nil"/>
              <w:right w:val="single" w:color="auto" w:sz="4" w:space="0"/>
            </w:tcBorders>
            <w:shd w:val="clear" w:color="auto" w:fill="auto"/>
            <w:noWrap/>
            <w:vAlign w:val="bottom"/>
            <w:hideMark/>
          </w:tcPr>
          <w:p w:rsidRPr="0032511F" w:rsidR="00D046CE" w:rsidP="00D046CE" w:rsidRDefault="00D046CE" w14:paraId="41B04B78" w14:textId="77777777">
            <w:pPr>
              <w:spacing w:after="0" w:line="240" w:lineRule="auto"/>
              <w:ind w:firstLine="200" w:firstLineChars="100"/>
              <w:rPr>
                <w:rFonts w:ascii="Arial" w:hAnsi="Arial" w:eastAsia="Times New Roman" w:cs="Arial"/>
                <w:sz w:val="20"/>
                <w:szCs w:val="20"/>
                <w:lang w:eastAsia="es-SV"/>
              </w:rPr>
            </w:pPr>
            <w:r w:rsidRPr="0032511F">
              <w:rPr>
                <w:rFonts w:ascii="Arial" w:hAnsi="Arial" w:eastAsia="Times New Roman" w:cs="Arial"/>
                <w:sz w:val="20"/>
                <w:szCs w:val="20"/>
                <w:lang w:eastAsia="es-SV"/>
              </w:rPr>
              <w:t>Activos Extraordinarios</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234C1196" w14:textId="7CAF81F0">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176</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384B7CE9" w14:textId="1A30F5AE">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205</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4303D32E" w14:textId="06F2068A">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236</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04C97211" w14:textId="5F1B6DF2">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266</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3F29AE4C" w14:textId="32E689DA">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298</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3D107552" w14:textId="1DFA8741">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6</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181</w:t>
            </w:r>
          </w:p>
        </w:tc>
      </w:tr>
      <w:tr w:rsidRPr="0032511F" w:rsidR="00D046CE" w:rsidTr="005478A8" w14:paraId="6B5AF3B6" w14:textId="77777777">
        <w:trPr>
          <w:trHeight w:val="300"/>
          <w:jc w:val="center"/>
        </w:trPr>
        <w:tc>
          <w:tcPr>
            <w:tcW w:w="2001" w:type="pct"/>
            <w:tcBorders>
              <w:top w:val="nil"/>
              <w:left w:val="single" w:color="auto" w:sz="4" w:space="0"/>
              <w:bottom w:val="nil"/>
              <w:right w:val="single" w:color="auto" w:sz="4" w:space="0"/>
            </w:tcBorders>
            <w:shd w:val="clear" w:color="auto" w:fill="auto"/>
            <w:noWrap/>
            <w:vAlign w:val="bottom"/>
            <w:hideMark/>
          </w:tcPr>
          <w:p w:rsidRPr="0032511F" w:rsidR="00D046CE" w:rsidP="00D046CE" w:rsidRDefault="00D046CE" w14:paraId="13A87070" w14:textId="77777777">
            <w:pPr>
              <w:spacing w:after="0" w:line="240" w:lineRule="auto"/>
              <w:ind w:firstLine="200" w:firstLineChars="100"/>
              <w:rPr>
                <w:rFonts w:ascii="Arial" w:hAnsi="Arial" w:eastAsia="Times New Roman" w:cs="Arial"/>
                <w:sz w:val="20"/>
                <w:szCs w:val="20"/>
                <w:lang w:eastAsia="es-SV"/>
              </w:rPr>
            </w:pPr>
            <w:r w:rsidRPr="0032511F">
              <w:rPr>
                <w:rFonts w:ascii="Arial" w:hAnsi="Arial" w:eastAsia="Times New Roman" w:cs="Arial"/>
                <w:sz w:val="20"/>
                <w:szCs w:val="20"/>
                <w:lang w:eastAsia="es-SV"/>
              </w:rPr>
              <w:t>Refinanciamientos</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3FEE29EA"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284</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2ECADCD0"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298</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3785D322"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313</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24018257"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329</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68F205EA" w14:textId="7777777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345</w:t>
            </w:r>
          </w:p>
        </w:tc>
        <w:tc>
          <w:tcPr>
            <w:tcW w:w="500" w:type="pct"/>
            <w:tcBorders>
              <w:top w:val="nil"/>
              <w:left w:val="nil"/>
              <w:bottom w:val="nil"/>
              <w:right w:val="single" w:color="auto" w:sz="4" w:space="0"/>
            </w:tcBorders>
            <w:shd w:val="clear" w:color="auto" w:fill="auto"/>
            <w:noWrap/>
            <w:vAlign w:val="bottom"/>
            <w:hideMark/>
          </w:tcPr>
          <w:p w:rsidRPr="0032511F" w:rsidR="00D046CE" w:rsidP="00D046CE" w:rsidRDefault="00D046CE" w14:paraId="27D9D8B2" w14:textId="00DD7EB4">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569</w:t>
            </w:r>
          </w:p>
        </w:tc>
      </w:tr>
      <w:tr w:rsidRPr="0032511F" w:rsidR="00D046CE" w:rsidTr="005478A8" w14:paraId="180F3941" w14:textId="77777777">
        <w:trPr>
          <w:trHeight w:val="300"/>
          <w:jc w:val="center"/>
        </w:trPr>
        <w:tc>
          <w:tcPr>
            <w:tcW w:w="2001" w:type="pct"/>
            <w:tcBorders>
              <w:top w:val="single" w:color="auto" w:sz="4" w:space="0"/>
              <w:left w:val="single" w:color="auto" w:sz="4" w:space="0"/>
              <w:bottom w:val="single" w:color="auto" w:sz="4" w:space="0"/>
              <w:right w:val="single" w:color="auto" w:sz="4" w:space="0"/>
            </w:tcBorders>
            <w:shd w:val="clear" w:color="auto" w:fill="323E4F" w:themeFill="text2" w:themeFillShade="BF"/>
            <w:noWrap/>
            <w:vAlign w:val="bottom"/>
            <w:hideMark/>
          </w:tcPr>
          <w:p w:rsidRPr="0032511F" w:rsidR="00D046CE" w:rsidP="00D046CE" w:rsidRDefault="00D046CE" w14:paraId="1B447F29" w14:textId="77777777">
            <w:pPr>
              <w:spacing w:after="0" w:line="240" w:lineRule="auto"/>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TOTAL</w:t>
            </w:r>
          </w:p>
        </w:tc>
        <w:tc>
          <w:tcPr>
            <w:tcW w:w="500" w:type="pct"/>
            <w:tcBorders>
              <w:top w:val="single" w:color="auto" w:sz="4" w:space="0"/>
              <w:left w:val="nil"/>
              <w:bottom w:val="single" w:color="auto" w:sz="4" w:space="0"/>
              <w:right w:val="single" w:color="auto" w:sz="4" w:space="0"/>
            </w:tcBorders>
            <w:shd w:val="clear" w:color="auto" w:fill="323E4F" w:themeFill="text2" w:themeFillShade="BF"/>
            <w:noWrap/>
            <w:vAlign w:val="bottom"/>
            <w:hideMark/>
          </w:tcPr>
          <w:p w:rsidRPr="0032511F" w:rsidR="00D046CE" w:rsidP="00D046CE" w:rsidRDefault="00D046CE" w14:paraId="2DCF0D0E" w14:textId="77CF6FB1">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7</w:t>
            </w:r>
            <w:r w:rsidR="00224E0A">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265</w:t>
            </w:r>
          </w:p>
        </w:tc>
        <w:tc>
          <w:tcPr>
            <w:tcW w:w="500" w:type="pct"/>
            <w:tcBorders>
              <w:top w:val="single" w:color="auto" w:sz="4" w:space="0"/>
              <w:left w:val="nil"/>
              <w:bottom w:val="single" w:color="auto" w:sz="4" w:space="0"/>
              <w:right w:val="single" w:color="auto" w:sz="4" w:space="0"/>
            </w:tcBorders>
            <w:shd w:val="clear" w:color="auto" w:fill="323E4F" w:themeFill="text2" w:themeFillShade="BF"/>
            <w:noWrap/>
            <w:vAlign w:val="bottom"/>
            <w:hideMark/>
          </w:tcPr>
          <w:p w:rsidRPr="0032511F" w:rsidR="00D046CE" w:rsidP="00D046CE" w:rsidRDefault="00D046CE" w14:paraId="7B349EA9" w14:textId="3AD2B286">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7</w:t>
            </w:r>
            <w:r w:rsidR="00224E0A">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296</w:t>
            </w:r>
          </w:p>
        </w:tc>
        <w:tc>
          <w:tcPr>
            <w:tcW w:w="500" w:type="pct"/>
            <w:tcBorders>
              <w:top w:val="single" w:color="auto" w:sz="4" w:space="0"/>
              <w:left w:val="nil"/>
              <w:bottom w:val="single" w:color="auto" w:sz="4" w:space="0"/>
              <w:right w:val="single" w:color="auto" w:sz="4" w:space="0"/>
            </w:tcBorders>
            <w:shd w:val="clear" w:color="auto" w:fill="323E4F" w:themeFill="text2" w:themeFillShade="BF"/>
            <w:noWrap/>
            <w:vAlign w:val="bottom"/>
            <w:hideMark/>
          </w:tcPr>
          <w:p w:rsidRPr="0032511F" w:rsidR="00D046CE" w:rsidP="00D046CE" w:rsidRDefault="00D046CE" w14:paraId="2CB7ABA9" w14:textId="070DE620">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7</w:t>
            </w:r>
            <w:r w:rsidR="00224E0A">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331</w:t>
            </w:r>
          </w:p>
        </w:tc>
        <w:tc>
          <w:tcPr>
            <w:tcW w:w="500" w:type="pct"/>
            <w:tcBorders>
              <w:top w:val="single" w:color="auto" w:sz="4" w:space="0"/>
              <w:left w:val="nil"/>
              <w:bottom w:val="single" w:color="auto" w:sz="4" w:space="0"/>
              <w:right w:val="single" w:color="auto" w:sz="4" w:space="0"/>
            </w:tcBorders>
            <w:shd w:val="clear" w:color="auto" w:fill="323E4F" w:themeFill="text2" w:themeFillShade="BF"/>
            <w:noWrap/>
            <w:vAlign w:val="bottom"/>
            <w:hideMark/>
          </w:tcPr>
          <w:p w:rsidRPr="0032511F" w:rsidR="00D046CE" w:rsidP="00D046CE" w:rsidRDefault="00D046CE" w14:paraId="1D414C63" w14:textId="0598B88E">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7</w:t>
            </w:r>
            <w:r w:rsidR="00224E0A">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091</w:t>
            </w:r>
          </w:p>
        </w:tc>
        <w:tc>
          <w:tcPr>
            <w:tcW w:w="500" w:type="pct"/>
            <w:tcBorders>
              <w:top w:val="single" w:color="auto" w:sz="4" w:space="0"/>
              <w:left w:val="nil"/>
              <w:bottom w:val="single" w:color="auto" w:sz="4" w:space="0"/>
              <w:right w:val="single" w:color="auto" w:sz="4" w:space="0"/>
            </w:tcBorders>
            <w:shd w:val="clear" w:color="auto" w:fill="323E4F" w:themeFill="text2" w:themeFillShade="BF"/>
            <w:noWrap/>
            <w:vAlign w:val="bottom"/>
            <w:hideMark/>
          </w:tcPr>
          <w:p w:rsidRPr="0032511F" w:rsidR="00D046CE" w:rsidP="00D046CE" w:rsidRDefault="00D046CE" w14:paraId="6D1C2B35" w14:textId="0FB79B39">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7</w:t>
            </w:r>
            <w:r w:rsidR="00224E0A">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139</w:t>
            </w:r>
          </w:p>
        </w:tc>
        <w:tc>
          <w:tcPr>
            <w:tcW w:w="500" w:type="pct"/>
            <w:tcBorders>
              <w:top w:val="single" w:color="auto" w:sz="4" w:space="0"/>
              <w:left w:val="nil"/>
              <w:bottom w:val="single" w:color="auto" w:sz="4" w:space="0"/>
              <w:right w:val="single" w:color="auto" w:sz="4" w:space="0"/>
            </w:tcBorders>
            <w:shd w:val="clear" w:color="auto" w:fill="323E4F" w:themeFill="text2" w:themeFillShade="BF"/>
            <w:noWrap/>
            <w:vAlign w:val="bottom"/>
            <w:hideMark/>
          </w:tcPr>
          <w:p w:rsidRPr="0032511F" w:rsidR="00D046CE" w:rsidP="00D046CE" w:rsidRDefault="00D046CE" w14:paraId="6CB287C3" w14:textId="26378BFA">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36</w:t>
            </w:r>
            <w:r w:rsidR="00224E0A">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121</w:t>
            </w:r>
          </w:p>
        </w:tc>
      </w:tr>
    </w:tbl>
    <w:p w:rsidR="00D046CE" w:rsidP="00BF3655" w:rsidRDefault="00D046CE" w14:paraId="04FC143B" w14:textId="5D4FADB8">
      <w:pPr>
        <w:pStyle w:val="ListParagraph"/>
        <w:spacing w:after="0" w:line="276" w:lineRule="auto"/>
        <w:ind w:left="0"/>
        <w:jc w:val="both"/>
        <w:rPr>
          <w:rFonts w:ascii="Arial" w:hAnsi="Arial" w:cs="Arial"/>
        </w:rPr>
      </w:pPr>
    </w:p>
    <w:p w:rsidRPr="0032511F" w:rsidR="00677D36" w:rsidP="00BF3655" w:rsidRDefault="00677D36" w14:paraId="54C85112" w14:textId="77777777">
      <w:pPr>
        <w:pStyle w:val="ListParagraph"/>
        <w:spacing w:after="0" w:line="276" w:lineRule="auto"/>
        <w:ind w:left="0"/>
        <w:jc w:val="both"/>
        <w:rPr>
          <w:rFonts w:ascii="Arial" w:hAnsi="Arial" w:cs="Arial"/>
        </w:rPr>
      </w:pPr>
    </w:p>
    <w:tbl>
      <w:tblPr>
        <w:tblW w:w="5000" w:type="pct"/>
        <w:jc w:val="center"/>
        <w:tblCellMar>
          <w:left w:w="70" w:type="dxa"/>
          <w:right w:w="70" w:type="dxa"/>
        </w:tblCellMar>
        <w:tblLook w:val="04A0" w:firstRow="1" w:lastRow="0" w:firstColumn="1" w:lastColumn="0" w:noHBand="0" w:noVBand="1"/>
      </w:tblPr>
      <w:tblGrid>
        <w:gridCol w:w="4044"/>
        <w:gridCol w:w="1005"/>
        <w:gridCol w:w="1005"/>
        <w:gridCol w:w="1005"/>
        <w:gridCol w:w="1005"/>
        <w:gridCol w:w="1005"/>
        <w:gridCol w:w="1001"/>
      </w:tblGrid>
      <w:tr w:rsidRPr="0032511F" w:rsidR="00C97E66" w:rsidTr="009A683C" w14:paraId="0C48B01E" w14:textId="77777777">
        <w:trPr>
          <w:trHeight w:val="300"/>
          <w:jc w:val="center"/>
        </w:trPr>
        <w:tc>
          <w:tcPr>
            <w:tcW w:w="2008" w:type="pct"/>
            <w:tcBorders>
              <w:top w:val="single" w:color="auto" w:sz="4" w:space="0"/>
              <w:left w:val="single" w:color="auto" w:sz="4" w:space="0"/>
              <w:bottom w:val="single" w:color="auto" w:sz="4" w:space="0"/>
              <w:right w:val="single" w:color="auto" w:sz="4" w:space="0"/>
            </w:tcBorders>
            <w:shd w:val="clear" w:color="auto" w:fill="323E4F" w:themeFill="text2" w:themeFillShade="BF"/>
            <w:noWrap/>
            <w:vAlign w:val="center"/>
            <w:hideMark/>
          </w:tcPr>
          <w:p w:rsidRPr="0032511F" w:rsidR="00C97E66" w:rsidP="00C97E66" w:rsidRDefault="00C97E66" w14:paraId="582BAE0C" w14:textId="77777777">
            <w:pPr>
              <w:spacing w:after="0" w:line="240" w:lineRule="auto"/>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lastRenderedPageBreak/>
              <w:t>MONTO (Millones de US$)</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C97E66" w:rsidP="00C97E66" w:rsidRDefault="00C97E66" w14:paraId="1EC0D7C8" w14:textId="472CB882">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2020</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C97E66" w:rsidP="00C97E66" w:rsidRDefault="00C97E66" w14:paraId="6722C9D4" w14:textId="7077B5CF">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2021</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C97E66" w:rsidP="00C97E66" w:rsidRDefault="00C97E66" w14:paraId="3CA5B05E" w14:textId="3D33E6A1">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2022</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C97E66" w:rsidP="00C97E66" w:rsidRDefault="00C97E66" w14:paraId="3B6BE4A2" w14:textId="6DA7AAE2">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2023</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C97E66" w:rsidP="00C97E66" w:rsidRDefault="00C97E66" w14:paraId="352EF691" w14:textId="24D55DB5">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2024</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C97E66" w:rsidP="00C97E66" w:rsidRDefault="00C97E66" w14:paraId="65B5D8BD"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TOTAL</w:t>
            </w:r>
          </w:p>
        </w:tc>
      </w:tr>
      <w:tr w:rsidRPr="0032511F" w:rsidR="00C97E66" w:rsidTr="009A683C" w14:paraId="63455B96"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bottom"/>
            <w:hideMark/>
          </w:tcPr>
          <w:p w:rsidRPr="0032511F" w:rsidR="00C97E66" w:rsidP="00C97E66" w:rsidRDefault="00C97E66" w14:paraId="5B992020" w14:textId="77777777">
            <w:pPr>
              <w:spacing w:after="0" w:line="240" w:lineRule="auto"/>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CREDITOS CON DESEMBOLSO</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1C72526E" w14:textId="2874E703">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127</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9</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68D10187" w14:textId="5387984C">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135</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3</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5348165" w14:textId="4EBF4001">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140</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3</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A54C201" w14:textId="1864FB13">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140</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4</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60A370AF" w14:textId="0E9F4C5B">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140</w:t>
            </w:r>
            <w:r w:rsidR="001409D2">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4</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7926DEFC" w14:textId="4D68E0C6">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684</w:t>
            </w:r>
            <w:r w:rsidR="001409D2">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3</w:t>
            </w:r>
          </w:p>
        </w:tc>
      </w:tr>
      <w:tr w:rsidRPr="0032511F" w:rsidR="00C97E66" w:rsidTr="009A683C" w14:paraId="1C027E1F"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bottom"/>
            <w:hideMark/>
          </w:tcPr>
          <w:p w:rsidRPr="0032511F" w:rsidR="00C97E66" w:rsidP="00C97E66" w:rsidRDefault="00C97E66" w14:paraId="76D77503" w14:textId="77777777">
            <w:pPr>
              <w:spacing w:after="0" w:line="240" w:lineRule="auto"/>
              <w:ind w:firstLine="200" w:firstLineChars="100"/>
              <w:rPr>
                <w:rFonts w:ascii="Arial" w:hAnsi="Arial" w:eastAsia="Times New Roman" w:cs="Arial"/>
                <w:sz w:val="20"/>
                <w:szCs w:val="20"/>
                <w:lang w:eastAsia="es-SV"/>
              </w:rPr>
            </w:pPr>
            <w:r w:rsidRPr="0032511F">
              <w:rPr>
                <w:rFonts w:ascii="Arial" w:hAnsi="Arial" w:eastAsia="Times New Roman" w:cs="Arial"/>
                <w:sz w:val="20"/>
                <w:szCs w:val="20"/>
                <w:lang w:eastAsia="es-SV"/>
              </w:rPr>
              <w:t>Vivienda Nueva</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42B0E708" w14:textId="2466716D">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52</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2</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179BE9F6" w14:textId="0DFCB11F">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64</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6</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36B43DB" w14:textId="2502C7DF">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73</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1</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516F8F5" w14:textId="3AC7AB64">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80</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2</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6D59A505" w14:textId="28A7CC4B">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80</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2</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231C9EBD" w14:textId="2456E456">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350</w:t>
            </w:r>
            <w:r w:rsidR="009277F1">
              <w:rPr>
                <w:rFonts w:ascii="Arial" w:hAnsi="Arial" w:eastAsia="Times New Roman" w:cs="Arial"/>
                <w:sz w:val="20"/>
                <w:szCs w:val="20"/>
                <w:lang w:eastAsia="es-SV"/>
              </w:rPr>
              <w:t>,</w:t>
            </w:r>
            <w:r w:rsidRPr="0032511F">
              <w:rPr>
                <w:rFonts w:ascii="Arial" w:hAnsi="Arial" w:eastAsia="Times New Roman" w:cs="Arial"/>
                <w:sz w:val="20"/>
                <w:szCs w:val="20"/>
                <w:lang w:eastAsia="es-SV"/>
              </w:rPr>
              <w:t>3</w:t>
            </w:r>
          </w:p>
        </w:tc>
      </w:tr>
      <w:tr w:rsidRPr="0032511F" w:rsidR="00C97E66" w:rsidTr="009A683C" w14:paraId="4310BDEA"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bottom"/>
            <w:hideMark/>
          </w:tcPr>
          <w:p w:rsidRPr="0032511F" w:rsidR="00C97E66" w:rsidP="00C97E66" w:rsidRDefault="008E3214" w14:paraId="26AD2D5A" w14:textId="68E56F10">
            <w:pPr>
              <w:spacing w:after="0" w:line="240" w:lineRule="auto"/>
              <w:ind w:firstLine="600" w:firstLineChars="300"/>
              <w:rPr>
                <w:rFonts w:ascii="Arial" w:hAnsi="Arial" w:eastAsia="Times New Roman" w:cs="Arial"/>
                <w:sz w:val="20"/>
                <w:szCs w:val="20"/>
                <w:lang w:eastAsia="es-SV"/>
              </w:rPr>
            </w:pPr>
            <w:r w:rsidRPr="0032511F">
              <w:rPr>
                <w:rFonts w:ascii="Arial" w:hAnsi="Arial" w:eastAsia="Times New Roman" w:cs="Arial"/>
                <w:sz w:val="20"/>
                <w:szCs w:val="20"/>
                <w:lang w:eastAsia="es-SV"/>
              </w:rPr>
              <w:t xml:space="preserve">Casas construidas por </w:t>
            </w:r>
            <w:r w:rsidRPr="0032511F" w:rsidR="00C97E66">
              <w:rPr>
                <w:rFonts w:ascii="Arial" w:hAnsi="Arial" w:eastAsia="Times New Roman" w:cs="Arial"/>
                <w:sz w:val="20"/>
                <w:szCs w:val="20"/>
                <w:lang w:eastAsia="es-SV"/>
              </w:rPr>
              <w:t>FONAVIPO</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CB1911D" w14:textId="4B712A2F">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2</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2318E0F3" w14:textId="1AAE8B73">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2</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0C7A94D6" w14:textId="6D083D0E">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2</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5AC7EF4" w14:textId="38E75C1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2</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58F2CBB" w14:textId="06341493">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2</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70B3F6D2" w14:textId="0B5BB9F9">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10</w:t>
            </w:r>
            <w:r w:rsidR="009277F1">
              <w:rPr>
                <w:rFonts w:ascii="Arial" w:hAnsi="Arial" w:eastAsia="Times New Roman" w:cs="Arial"/>
                <w:sz w:val="20"/>
                <w:szCs w:val="20"/>
                <w:lang w:eastAsia="es-SV"/>
              </w:rPr>
              <w:t>,</w:t>
            </w:r>
            <w:r w:rsidRPr="0032511F">
              <w:rPr>
                <w:rFonts w:ascii="Arial" w:hAnsi="Arial" w:eastAsia="Times New Roman" w:cs="Arial"/>
                <w:sz w:val="20"/>
                <w:szCs w:val="20"/>
                <w:lang w:eastAsia="es-SV"/>
              </w:rPr>
              <w:t>9</w:t>
            </w:r>
          </w:p>
        </w:tc>
      </w:tr>
      <w:tr w:rsidRPr="0032511F" w:rsidR="00C97E66" w:rsidTr="009A683C" w14:paraId="493FBEB7"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bottom"/>
            <w:hideMark/>
          </w:tcPr>
          <w:p w:rsidRPr="0032511F" w:rsidR="00C97E66" w:rsidP="00C97E66" w:rsidRDefault="00C97E66" w14:paraId="74529BF0" w14:textId="77777777">
            <w:pPr>
              <w:spacing w:after="0" w:line="240" w:lineRule="auto"/>
              <w:ind w:firstLine="600" w:firstLineChars="300"/>
              <w:rPr>
                <w:rFonts w:ascii="Arial" w:hAnsi="Arial" w:eastAsia="Times New Roman" w:cs="Arial"/>
                <w:sz w:val="20"/>
                <w:szCs w:val="20"/>
                <w:lang w:eastAsia="es-SV"/>
              </w:rPr>
            </w:pPr>
            <w:r w:rsidRPr="0032511F">
              <w:rPr>
                <w:rFonts w:ascii="Arial" w:hAnsi="Arial" w:eastAsia="Times New Roman" w:cs="Arial"/>
                <w:sz w:val="20"/>
                <w:szCs w:val="20"/>
                <w:lang w:eastAsia="es-SV"/>
              </w:rPr>
              <w:t>Hasta $25,000</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20352F8A" w14:textId="01A521A0">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0</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5</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36D8398" w14:textId="6D288D9E">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0</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7</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0B5E3C7B" w14:textId="607A6640">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0</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9</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943017E" w14:textId="7A70F821">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0</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A9D0B33" w14:textId="5D37E21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0</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5C387DB" w14:textId="15AB74DD">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4</w:t>
            </w:r>
            <w:r w:rsidR="009277F1">
              <w:rPr>
                <w:rFonts w:ascii="Arial" w:hAnsi="Arial" w:eastAsia="Times New Roman" w:cs="Arial"/>
                <w:sz w:val="20"/>
                <w:szCs w:val="20"/>
                <w:lang w:eastAsia="es-SV"/>
              </w:rPr>
              <w:t>,</w:t>
            </w:r>
            <w:r w:rsidRPr="0032511F">
              <w:rPr>
                <w:rFonts w:ascii="Arial" w:hAnsi="Arial" w:eastAsia="Times New Roman" w:cs="Arial"/>
                <w:sz w:val="20"/>
                <w:szCs w:val="20"/>
                <w:lang w:eastAsia="es-SV"/>
              </w:rPr>
              <w:t>1</w:t>
            </w:r>
          </w:p>
        </w:tc>
      </w:tr>
      <w:tr w:rsidRPr="0032511F" w:rsidR="00C97E66" w:rsidTr="009A683C" w14:paraId="03069807" w14:textId="77777777">
        <w:trPr>
          <w:trHeight w:val="300"/>
          <w:jc w:val="center"/>
        </w:trPr>
        <w:tc>
          <w:tcPr>
            <w:tcW w:w="2008" w:type="pct"/>
            <w:tcBorders>
              <w:top w:val="nil"/>
              <w:left w:val="single" w:color="auto" w:sz="4" w:space="0"/>
              <w:bottom w:val="nil"/>
              <w:right w:val="single" w:color="auto" w:sz="4" w:space="0"/>
            </w:tcBorders>
            <w:shd w:val="clear" w:color="auto" w:fill="auto"/>
            <w:vAlign w:val="bottom"/>
            <w:hideMark/>
          </w:tcPr>
          <w:p w:rsidRPr="0032511F" w:rsidR="00C97E66" w:rsidP="00C97E66" w:rsidRDefault="00C97E66" w14:paraId="2D844A5F" w14:textId="77777777">
            <w:pPr>
              <w:spacing w:after="0" w:line="240" w:lineRule="auto"/>
              <w:ind w:firstLine="600" w:firstLineChars="300"/>
              <w:rPr>
                <w:rFonts w:ascii="Arial" w:hAnsi="Arial" w:eastAsia="Times New Roman" w:cs="Arial"/>
                <w:sz w:val="20"/>
                <w:szCs w:val="20"/>
                <w:lang w:eastAsia="es-SV"/>
              </w:rPr>
            </w:pPr>
            <w:r w:rsidRPr="0032511F">
              <w:rPr>
                <w:rFonts w:ascii="Arial" w:hAnsi="Arial" w:eastAsia="Times New Roman" w:cs="Arial"/>
                <w:sz w:val="20"/>
                <w:szCs w:val="20"/>
                <w:lang w:eastAsia="es-SV"/>
              </w:rPr>
              <w:t>Más de $25,000 hasta $38,900</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4725FAD3" w14:textId="3C81C39C">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8</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6</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1714421A" w14:textId="3D3A7FFA">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12</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7</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7F38A3ED" w14:textId="7F6DDB20">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15</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5</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AF5BC0D" w14:textId="6250399F">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17</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8</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003C096E" w14:textId="6B9242E1">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17</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8</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1A42781C" w14:textId="70473B45">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72</w:t>
            </w:r>
            <w:r w:rsidR="009277F1">
              <w:rPr>
                <w:rFonts w:ascii="Arial" w:hAnsi="Arial" w:eastAsia="Times New Roman" w:cs="Arial"/>
                <w:sz w:val="20"/>
                <w:szCs w:val="20"/>
                <w:lang w:eastAsia="es-SV"/>
              </w:rPr>
              <w:t>,</w:t>
            </w:r>
            <w:r w:rsidRPr="0032511F">
              <w:rPr>
                <w:rFonts w:ascii="Arial" w:hAnsi="Arial" w:eastAsia="Times New Roman" w:cs="Arial"/>
                <w:sz w:val="20"/>
                <w:szCs w:val="20"/>
                <w:lang w:eastAsia="es-SV"/>
              </w:rPr>
              <w:t>4</w:t>
            </w:r>
          </w:p>
        </w:tc>
      </w:tr>
      <w:tr w:rsidRPr="0032511F" w:rsidR="00C97E66" w:rsidTr="009A683C" w14:paraId="32C26C51"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bottom"/>
            <w:hideMark/>
          </w:tcPr>
          <w:p w:rsidRPr="0032511F" w:rsidR="00C97E66" w:rsidP="00C97E66" w:rsidRDefault="00C97E66" w14:paraId="2F02FBD3" w14:textId="77777777">
            <w:pPr>
              <w:spacing w:after="0" w:line="240" w:lineRule="auto"/>
              <w:ind w:firstLine="600" w:firstLineChars="300"/>
              <w:rPr>
                <w:rFonts w:ascii="Arial" w:hAnsi="Arial" w:eastAsia="Times New Roman" w:cs="Arial"/>
                <w:sz w:val="20"/>
                <w:szCs w:val="20"/>
                <w:lang w:eastAsia="es-SV"/>
              </w:rPr>
            </w:pPr>
            <w:r w:rsidRPr="0032511F">
              <w:rPr>
                <w:rFonts w:ascii="Arial" w:hAnsi="Arial" w:eastAsia="Times New Roman" w:cs="Arial"/>
                <w:sz w:val="20"/>
                <w:szCs w:val="20"/>
                <w:lang w:eastAsia="es-SV"/>
              </w:rPr>
              <w:t>Más de $38,900 hasta $50,000</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20838AEE" w14:textId="237F631C">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17</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1</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71758EBB" w14:textId="7709970E">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25</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2</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45F1A251" w14:textId="225081C8">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30</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8</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61ECE1C1" w14:textId="5E331D3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35</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4</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79D8B45" w14:textId="142912D2">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35</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4</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1F4ADF5" w14:textId="2C851BFD">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143</w:t>
            </w:r>
            <w:r w:rsidR="009277F1">
              <w:rPr>
                <w:rFonts w:ascii="Arial" w:hAnsi="Arial" w:eastAsia="Times New Roman" w:cs="Arial"/>
                <w:sz w:val="20"/>
                <w:szCs w:val="20"/>
                <w:lang w:eastAsia="es-SV"/>
              </w:rPr>
              <w:t>,</w:t>
            </w:r>
            <w:r w:rsidRPr="0032511F">
              <w:rPr>
                <w:rFonts w:ascii="Arial" w:hAnsi="Arial" w:eastAsia="Times New Roman" w:cs="Arial"/>
                <w:sz w:val="20"/>
                <w:szCs w:val="20"/>
                <w:lang w:eastAsia="es-SV"/>
              </w:rPr>
              <w:t>9</w:t>
            </w:r>
          </w:p>
        </w:tc>
      </w:tr>
      <w:tr w:rsidRPr="0032511F" w:rsidR="00C97E66" w:rsidTr="009A683C" w14:paraId="1AE642E1"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bottom"/>
            <w:hideMark/>
          </w:tcPr>
          <w:p w:rsidRPr="0032511F" w:rsidR="00C97E66" w:rsidP="00C97E66" w:rsidRDefault="00C97E66" w14:paraId="67C230DF" w14:textId="77777777">
            <w:pPr>
              <w:spacing w:after="0" w:line="240" w:lineRule="auto"/>
              <w:ind w:firstLine="600" w:firstLineChars="300"/>
              <w:rPr>
                <w:rFonts w:ascii="Arial" w:hAnsi="Arial" w:eastAsia="Times New Roman" w:cs="Arial"/>
                <w:sz w:val="20"/>
                <w:szCs w:val="20"/>
                <w:lang w:eastAsia="es-SV"/>
              </w:rPr>
            </w:pPr>
            <w:r w:rsidRPr="0032511F">
              <w:rPr>
                <w:rFonts w:ascii="Arial" w:hAnsi="Arial" w:eastAsia="Times New Roman" w:cs="Arial"/>
                <w:sz w:val="20"/>
                <w:szCs w:val="20"/>
                <w:lang w:eastAsia="es-SV"/>
              </w:rPr>
              <w:t>Más de $50,000 hasta $150,000</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1FD9C5DD" w14:textId="3C6806B3">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23</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8</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00886384" w14:textId="61FBE4AA">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23</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8</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0B5E6339" w14:textId="70ABF694">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23</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8</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F1131E3" w14:textId="6B2BCE8B">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23</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8</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11B3AEF1" w14:textId="2070EBBA">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23</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8</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54B0AB3" w14:textId="60EFC499">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119</w:t>
            </w:r>
            <w:r w:rsidR="009277F1">
              <w:rPr>
                <w:rFonts w:ascii="Arial" w:hAnsi="Arial" w:eastAsia="Times New Roman" w:cs="Arial"/>
                <w:sz w:val="20"/>
                <w:szCs w:val="20"/>
                <w:lang w:eastAsia="es-SV"/>
              </w:rPr>
              <w:t>,</w:t>
            </w:r>
            <w:r w:rsidRPr="0032511F">
              <w:rPr>
                <w:rFonts w:ascii="Arial" w:hAnsi="Arial" w:eastAsia="Times New Roman" w:cs="Arial"/>
                <w:sz w:val="20"/>
                <w:szCs w:val="20"/>
                <w:lang w:eastAsia="es-SV"/>
              </w:rPr>
              <w:t>0</w:t>
            </w:r>
          </w:p>
        </w:tc>
      </w:tr>
      <w:tr w:rsidRPr="0032511F" w:rsidR="00C97E66" w:rsidTr="009A683C" w14:paraId="3E8C0E64"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bottom"/>
            <w:hideMark/>
          </w:tcPr>
          <w:p w:rsidRPr="0032511F" w:rsidR="00C97E66" w:rsidP="00C97E66" w:rsidRDefault="00C97E66" w14:paraId="0EA08104" w14:textId="77777777">
            <w:pPr>
              <w:spacing w:after="0" w:line="240" w:lineRule="auto"/>
              <w:ind w:firstLine="200" w:firstLineChars="100"/>
              <w:rPr>
                <w:rFonts w:ascii="Arial" w:hAnsi="Arial" w:eastAsia="Times New Roman" w:cs="Arial"/>
                <w:sz w:val="20"/>
                <w:szCs w:val="20"/>
                <w:lang w:eastAsia="es-SV"/>
              </w:rPr>
            </w:pPr>
            <w:r w:rsidRPr="0032511F">
              <w:rPr>
                <w:rFonts w:ascii="Arial" w:hAnsi="Arial" w:eastAsia="Times New Roman" w:cs="Arial"/>
                <w:sz w:val="20"/>
                <w:szCs w:val="20"/>
                <w:lang w:eastAsia="es-SV"/>
              </w:rPr>
              <w:t>Vivienda Usada hasta $38,900</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E8230AC" w14:textId="0E3A9F58">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66</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5</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2392157F" w14:textId="2CFCED6A">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61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5</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64F68E7" w14:textId="237AAFBD">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58</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0</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1F782F80" w14:textId="25E0DAC4">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51</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0</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60C30336" w14:textId="2B7D543F">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51</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0</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45F13EC" w14:textId="4E815B93">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287</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9</w:t>
            </w:r>
          </w:p>
        </w:tc>
      </w:tr>
      <w:tr w:rsidRPr="0032511F" w:rsidR="00C97E66" w:rsidTr="009A683C" w14:paraId="5DAF228B"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bottom"/>
            <w:hideMark/>
          </w:tcPr>
          <w:p w:rsidRPr="0032511F" w:rsidR="00C97E66" w:rsidP="00C97E66" w:rsidRDefault="00C97E66" w14:paraId="1E10DB03" w14:textId="77777777">
            <w:pPr>
              <w:spacing w:after="0" w:line="240" w:lineRule="auto"/>
              <w:ind w:firstLine="200" w:firstLineChars="100"/>
              <w:rPr>
                <w:rFonts w:ascii="Arial" w:hAnsi="Arial" w:eastAsia="Times New Roman" w:cs="Arial"/>
                <w:sz w:val="20"/>
                <w:szCs w:val="20"/>
                <w:lang w:eastAsia="es-SV"/>
              </w:rPr>
            </w:pPr>
            <w:r w:rsidRPr="0032511F">
              <w:rPr>
                <w:rFonts w:ascii="Arial" w:hAnsi="Arial" w:eastAsia="Times New Roman" w:cs="Arial"/>
                <w:sz w:val="20"/>
                <w:szCs w:val="20"/>
                <w:lang w:eastAsia="es-SV"/>
              </w:rPr>
              <w:t>Vivienda Usada más de $38,900</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07AEBCEA" w14:textId="60422DD8">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7</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5</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59200AC" w14:textId="193266CF">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7</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5</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D30B201" w14:textId="131B1A95">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7</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5</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029C34E" w14:textId="1EA0E17A">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7</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5</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4D36533D" w14:textId="171644DC">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7</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5</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8242513" w14:textId="2B2CA01D">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37</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5</w:t>
            </w:r>
          </w:p>
        </w:tc>
      </w:tr>
      <w:tr w:rsidRPr="0032511F" w:rsidR="00C97E66" w:rsidTr="009A683C" w14:paraId="08983228"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bottom"/>
            <w:hideMark/>
          </w:tcPr>
          <w:p w:rsidRPr="0032511F" w:rsidR="00C97E66" w:rsidP="00C97E66" w:rsidRDefault="00C97E66" w14:paraId="22CD03C4" w14:textId="77777777">
            <w:pPr>
              <w:spacing w:after="0" w:line="240" w:lineRule="auto"/>
              <w:ind w:firstLine="200" w:firstLineChars="100"/>
              <w:rPr>
                <w:rFonts w:ascii="Arial" w:hAnsi="Arial" w:eastAsia="Times New Roman" w:cs="Arial"/>
                <w:sz w:val="20"/>
                <w:szCs w:val="20"/>
                <w:lang w:eastAsia="es-SV"/>
              </w:rPr>
            </w:pPr>
            <w:r w:rsidRPr="0032511F">
              <w:rPr>
                <w:rFonts w:ascii="Arial" w:hAnsi="Arial" w:eastAsia="Times New Roman" w:cs="Arial"/>
                <w:sz w:val="20"/>
                <w:szCs w:val="20"/>
                <w:lang w:eastAsia="es-SV"/>
              </w:rPr>
              <w:t>Otras Líneas</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2E1644CE" w14:textId="32E1D6ED">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7</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275A5B12" w14:textId="102A21A9">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7</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06478E9" w14:textId="14DC446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7</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97F6567" w14:textId="433E37B3">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7</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6761E354" w14:textId="1225EDCE">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7</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15AEF39" w14:textId="333E1D96">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8</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6</w:t>
            </w:r>
          </w:p>
        </w:tc>
      </w:tr>
      <w:tr w:rsidRPr="0032511F" w:rsidR="00C97E66" w:rsidTr="009A683C" w14:paraId="2E2F3207"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bottom"/>
            <w:hideMark/>
          </w:tcPr>
          <w:p w:rsidRPr="0032511F" w:rsidR="00C97E66" w:rsidP="00C97E66" w:rsidRDefault="00C97E66" w14:paraId="51C8D0D8" w14:textId="77777777">
            <w:pPr>
              <w:spacing w:after="0" w:line="240" w:lineRule="auto"/>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CREDITOS SIN DESEMBOLSO</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2000BDAC" w14:textId="7DB807B5">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11</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7</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77922BC" w14:textId="071F9604">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12</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1</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D36696D" w14:textId="5E05F070">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12</w:t>
            </w:r>
            <w:r w:rsidR="00224E0A">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4</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0B77605B" w14:textId="1FADA029">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12</w:t>
            </w:r>
            <w:r w:rsidR="001409D2">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8</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7DB829CB" w14:textId="06C01210">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13</w:t>
            </w:r>
            <w:r w:rsidR="001409D2">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2</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1D284D6E" w14:textId="6E41A6CF">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62</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2</w:t>
            </w:r>
          </w:p>
        </w:tc>
      </w:tr>
      <w:tr w:rsidRPr="0032511F" w:rsidR="00C97E66" w:rsidTr="009A683C" w14:paraId="113498FD"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bottom"/>
            <w:hideMark/>
          </w:tcPr>
          <w:p w:rsidRPr="0032511F" w:rsidR="00C97E66" w:rsidP="00C97E66" w:rsidRDefault="00C97E66" w14:paraId="639F11CE" w14:textId="77777777">
            <w:pPr>
              <w:spacing w:after="0" w:line="240" w:lineRule="auto"/>
              <w:ind w:firstLine="200" w:firstLineChars="100"/>
              <w:rPr>
                <w:rFonts w:ascii="Arial" w:hAnsi="Arial" w:eastAsia="Times New Roman" w:cs="Arial"/>
                <w:sz w:val="20"/>
                <w:szCs w:val="20"/>
                <w:lang w:eastAsia="es-SV"/>
              </w:rPr>
            </w:pPr>
            <w:r w:rsidRPr="0032511F">
              <w:rPr>
                <w:rFonts w:ascii="Arial" w:hAnsi="Arial" w:eastAsia="Times New Roman" w:cs="Arial"/>
                <w:sz w:val="20"/>
                <w:szCs w:val="20"/>
                <w:lang w:eastAsia="es-SV"/>
              </w:rPr>
              <w:t>Activos Extraordinarios</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687AEED0" w14:textId="37805C5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9</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4</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4F289FBE" w14:textId="3B64E34E">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9</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6</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6485115D" w14:textId="21C71FD4">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9</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9</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5FF818B7" w14:textId="2B95C4C3">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10</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1</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4BD90EF4" w14:textId="35621F8E">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10</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4</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611F84C0" w14:textId="6402FE68">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49</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5</w:t>
            </w:r>
          </w:p>
        </w:tc>
      </w:tr>
      <w:tr w:rsidRPr="0032511F" w:rsidR="00C97E66" w:rsidTr="009A683C" w14:paraId="0F457FB5"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bottom"/>
            <w:hideMark/>
          </w:tcPr>
          <w:p w:rsidRPr="0032511F" w:rsidR="00C97E66" w:rsidP="00C97E66" w:rsidRDefault="00C97E66" w14:paraId="29DDD038" w14:textId="77777777">
            <w:pPr>
              <w:spacing w:after="0" w:line="240" w:lineRule="auto"/>
              <w:ind w:firstLine="200" w:firstLineChars="100"/>
              <w:rPr>
                <w:rFonts w:ascii="Arial" w:hAnsi="Arial" w:eastAsia="Times New Roman" w:cs="Arial"/>
                <w:sz w:val="20"/>
                <w:szCs w:val="20"/>
                <w:lang w:eastAsia="es-SV"/>
              </w:rPr>
            </w:pPr>
            <w:r w:rsidRPr="0032511F">
              <w:rPr>
                <w:rFonts w:ascii="Arial" w:hAnsi="Arial" w:eastAsia="Times New Roman" w:cs="Arial"/>
                <w:sz w:val="20"/>
                <w:szCs w:val="20"/>
                <w:lang w:eastAsia="es-SV"/>
              </w:rPr>
              <w:t>Refinanciamientos</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D89B190" w14:textId="45A6C8B3">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3</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666DA426" w14:textId="13EA9A24">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4</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173F208C" w14:textId="3C2C4421">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w:t>
            </w:r>
            <w:r w:rsidR="00224E0A">
              <w:rPr>
                <w:rFonts w:ascii="Arial" w:hAnsi="Arial" w:eastAsia="Times New Roman" w:cs="Arial"/>
                <w:sz w:val="20"/>
                <w:szCs w:val="20"/>
                <w:lang w:eastAsia="es-SV"/>
              </w:rPr>
              <w:t>,</w:t>
            </w:r>
            <w:r w:rsidRPr="0032511F">
              <w:rPr>
                <w:rFonts w:ascii="Arial" w:hAnsi="Arial" w:eastAsia="Times New Roman" w:cs="Arial"/>
                <w:sz w:val="20"/>
                <w:szCs w:val="20"/>
                <w:lang w:eastAsia="es-SV"/>
              </w:rPr>
              <w:t>5</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6BD04D0F" w14:textId="3D49BFB0">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7</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31292D1D" w14:textId="03453C0D">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w:t>
            </w:r>
            <w:r w:rsidR="001409D2">
              <w:rPr>
                <w:rFonts w:ascii="Arial" w:hAnsi="Arial" w:eastAsia="Times New Roman" w:cs="Arial"/>
                <w:sz w:val="20"/>
                <w:szCs w:val="20"/>
                <w:lang w:eastAsia="es-SV"/>
              </w:rPr>
              <w:t>,</w:t>
            </w:r>
            <w:r w:rsidRPr="0032511F">
              <w:rPr>
                <w:rFonts w:ascii="Arial" w:hAnsi="Arial" w:eastAsia="Times New Roman" w:cs="Arial"/>
                <w:sz w:val="20"/>
                <w:szCs w:val="20"/>
                <w:lang w:eastAsia="es-SV"/>
              </w:rPr>
              <w:t>8</w:t>
            </w:r>
          </w:p>
        </w:tc>
        <w:tc>
          <w:tcPr>
            <w:tcW w:w="499" w:type="pct"/>
            <w:tcBorders>
              <w:top w:val="nil"/>
              <w:left w:val="nil"/>
              <w:bottom w:val="nil"/>
              <w:right w:val="single" w:color="auto" w:sz="4" w:space="0"/>
            </w:tcBorders>
            <w:shd w:val="clear" w:color="auto" w:fill="auto"/>
            <w:noWrap/>
            <w:vAlign w:val="bottom"/>
            <w:hideMark/>
          </w:tcPr>
          <w:p w:rsidRPr="0032511F" w:rsidR="00C97E66" w:rsidP="00C97E66" w:rsidRDefault="00C97E66" w14:paraId="13B48455" w14:textId="6E89DBA0">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12</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8</w:t>
            </w:r>
          </w:p>
        </w:tc>
      </w:tr>
      <w:tr w:rsidRPr="0032511F" w:rsidR="00C97E66" w:rsidTr="009A683C" w14:paraId="51DFAB0B" w14:textId="77777777">
        <w:trPr>
          <w:trHeight w:val="300"/>
          <w:jc w:val="center"/>
        </w:trPr>
        <w:tc>
          <w:tcPr>
            <w:tcW w:w="2008" w:type="pct"/>
            <w:tcBorders>
              <w:top w:val="single" w:color="auto" w:sz="4" w:space="0"/>
              <w:left w:val="single" w:color="auto" w:sz="4" w:space="0"/>
              <w:bottom w:val="single" w:color="auto" w:sz="4" w:space="0"/>
              <w:right w:val="single" w:color="auto" w:sz="4" w:space="0"/>
            </w:tcBorders>
            <w:shd w:val="clear" w:color="auto" w:fill="323E4F" w:themeFill="text2" w:themeFillShade="BF"/>
            <w:noWrap/>
            <w:vAlign w:val="bottom"/>
            <w:hideMark/>
          </w:tcPr>
          <w:p w:rsidRPr="0032511F" w:rsidR="00C97E66" w:rsidP="00C97E66" w:rsidRDefault="00C97E66" w14:paraId="7840F986" w14:textId="77777777">
            <w:pPr>
              <w:spacing w:after="0" w:line="240" w:lineRule="auto"/>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TOTAL</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bottom"/>
            <w:hideMark/>
          </w:tcPr>
          <w:p w:rsidRPr="0032511F" w:rsidR="00C97E66" w:rsidP="00C97E66" w:rsidRDefault="00C97E66" w14:paraId="6FB1816A" w14:textId="667571E9">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139</w:t>
            </w:r>
            <w:r w:rsidR="00224E0A">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6</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bottom"/>
            <w:hideMark/>
          </w:tcPr>
          <w:p w:rsidRPr="0032511F" w:rsidR="00C97E66" w:rsidP="00C97E66" w:rsidRDefault="00C97E66" w14:paraId="07BEA38A" w14:textId="5EEA2715">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147</w:t>
            </w:r>
            <w:r w:rsidR="00224E0A">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4</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bottom"/>
            <w:hideMark/>
          </w:tcPr>
          <w:p w:rsidRPr="0032511F" w:rsidR="00C97E66" w:rsidP="00C97E66" w:rsidRDefault="00C97E66" w14:paraId="3794AB7E" w14:textId="3A34224C">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152</w:t>
            </w:r>
            <w:r w:rsidR="00224E0A">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8</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bottom"/>
            <w:hideMark/>
          </w:tcPr>
          <w:p w:rsidRPr="0032511F" w:rsidR="00C97E66" w:rsidP="00C97E66" w:rsidRDefault="00C97E66" w14:paraId="5D83C9C1" w14:textId="5A9F88EC">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153</w:t>
            </w:r>
            <w:r w:rsidR="001409D2">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2</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bottom"/>
            <w:hideMark/>
          </w:tcPr>
          <w:p w:rsidRPr="0032511F" w:rsidR="00C97E66" w:rsidP="00C97E66" w:rsidRDefault="00C97E66" w14:paraId="23DFC7CF" w14:textId="0C967885">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153</w:t>
            </w:r>
            <w:r w:rsidR="001409D2">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6</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bottom"/>
            <w:hideMark/>
          </w:tcPr>
          <w:p w:rsidRPr="0032511F" w:rsidR="00C97E66" w:rsidP="00C97E66" w:rsidRDefault="00C97E66" w14:paraId="5B0109BE" w14:textId="674BB2D2">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746</w:t>
            </w:r>
            <w:r w:rsidR="008613CC">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5</w:t>
            </w:r>
          </w:p>
        </w:tc>
      </w:tr>
    </w:tbl>
    <w:p w:rsidRPr="0032511F" w:rsidR="00D046CE" w:rsidP="00BF3655" w:rsidRDefault="00D046CE" w14:paraId="6C9D6A44" w14:textId="5AE586CD">
      <w:pPr>
        <w:pStyle w:val="ListParagraph"/>
        <w:spacing w:after="0" w:line="276" w:lineRule="auto"/>
        <w:ind w:left="0"/>
        <w:jc w:val="both"/>
        <w:rPr>
          <w:rFonts w:ascii="Arial" w:hAnsi="Arial" w:cs="Arial"/>
        </w:rPr>
      </w:pPr>
    </w:p>
    <w:p w:rsidRPr="0032511F" w:rsidR="00E47987" w:rsidP="00BF3655" w:rsidRDefault="00E47987" w14:paraId="2A475A7A" w14:textId="77777777">
      <w:pPr>
        <w:pStyle w:val="ListParagraph"/>
        <w:spacing w:after="0" w:line="276" w:lineRule="auto"/>
        <w:ind w:left="0"/>
        <w:jc w:val="both"/>
        <w:rPr>
          <w:rFonts w:ascii="Arial" w:hAnsi="Arial" w:cs="Arial"/>
        </w:rPr>
      </w:pPr>
    </w:p>
    <w:tbl>
      <w:tblPr>
        <w:tblW w:w="5000" w:type="pct"/>
        <w:jc w:val="center"/>
        <w:tblCellMar>
          <w:left w:w="70" w:type="dxa"/>
          <w:right w:w="70" w:type="dxa"/>
        </w:tblCellMar>
        <w:tblLook w:val="04A0" w:firstRow="1" w:lastRow="0" w:firstColumn="1" w:lastColumn="0" w:noHBand="0" w:noVBand="1"/>
      </w:tblPr>
      <w:tblGrid>
        <w:gridCol w:w="4044"/>
        <w:gridCol w:w="1005"/>
        <w:gridCol w:w="1005"/>
        <w:gridCol w:w="1005"/>
        <w:gridCol w:w="1005"/>
        <w:gridCol w:w="1005"/>
        <w:gridCol w:w="1001"/>
      </w:tblGrid>
      <w:tr w:rsidRPr="0032511F" w:rsidR="00790AE2" w:rsidTr="009A683C" w14:paraId="3AE68F63" w14:textId="77777777">
        <w:trPr>
          <w:trHeight w:val="300"/>
          <w:jc w:val="center"/>
        </w:trPr>
        <w:tc>
          <w:tcPr>
            <w:tcW w:w="2008" w:type="pct"/>
            <w:tcBorders>
              <w:top w:val="single" w:color="auto" w:sz="4" w:space="0"/>
              <w:left w:val="single" w:color="auto" w:sz="4" w:space="0"/>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14FF2BB1" w14:textId="77777777">
            <w:pPr>
              <w:spacing w:after="0" w:line="240" w:lineRule="auto"/>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INVERSION x FUENTES DE FONDEO</w:t>
            </w:r>
          </w:p>
          <w:p w:rsidRPr="0032511F" w:rsidR="00790AE2" w:rsidP="00790AE2" w:rsidRDefault="00790AE2" w14:paraId="71941EAD" w14:textId="1EED69C3">
            <w:pPr>
              <w:spacing w:after="0" w:line="240" w:lineRule="auto"/>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(US$ Millones)</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5A69BFB8"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2020</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25ECCCD6"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2021</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087B032A"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2022</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7235186E"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2023</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79F71A4F"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2024</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17B94DB3" w14:textId="77777777">
            <w:pPr>
              <w:spacing w:after="0" w:line="240" w:lineRule="auto"/>
              <w:jc w:val="center"/>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TOTAL</w:t>
            </w:r>
          </w:p>
        </w:tc>
      </w:tr>
      <w:tr w:rsidRPr="0032511F" w:rsidR="00790AE2" w:rsidTr="009A683C" w14:paraId="17A969E6" w14:textId="77777777">
        <w:trPr>
          <w:trHeight w:val="300"/>
          <w:jc w:val="center"/>
        </w:trPr>
        <w:tc>
          <w:tcPr>
            <w:tcW w:w="2008" w:type="pct"/>
            <w:tcBorders>
              <w:top w:val="nil"/>
              <w:left w:val="single" w:color="auto" w:sz="4" w:space="0"/>
              <w:bottom w:val="nil"/>
              <w:right w:val="single" w:color="auto" w:sz="4" w:space="0"/>
            </w:tcBorders>
            <w:shd w:val="clear" w:color="auto" w:fill="auto"/>
            <w:vAlign w:val="center"/>
            <w:hideMark/>
          </w:tcPr>
          <w:p w:rsidRPr="0032511F" w:rsidR="00790AE2" w:rsidP="00790AE2" w:rsidRDefault="00790AE2" w14:paraId="3A17AE1E" w14:textId="5A9D5F3C">
            <w:pPr>
              <w:spacing w:after="0" w:line="240" w:lineRule="auto"/>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Vivienda Nueva hasta $38</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900</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397F96FB" w14:textId="0EFCD45A">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11</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2</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6ECFEC1B" w14:textId="0BD6E0C5">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15</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6</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39A1A83E" w14:textId="7A1F758A">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18</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5</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09C023AD" w14:textId="3F61BDED">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21</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0</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2B254C76" w14:textId="0DC35CF0">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21</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0</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50F30F93" w14:textId="0EB8C481">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87</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4</w:t>
            </w:r>
          </w:p>
        </w:tc>
      </w:tr>
      <w:tr w:rsidRPr="0032511F" w:rsidR="00790AE2" w:rsidTr="009A683C" w14:paraId="01AB525D"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center"/>
            <w:hideMark/>
          </w:tcPr>
          <w:p w:rsidRPr="0032511F" w:rsidR="00790AE2" w:rsidP="00790AE2" w:rsidRDefault="00790AE2" w14:paraId="59505AD2" w14:textId="77777777">
            <w:pPr>
              <w:spacing w:after="0" w:line="240" w:lineRule="auto"/>
              <w:rPr>
                <w:rFonts w:ascii="Arial" w:hAnsi="Arial" w:eastAsia="Times New Roman" w:cs="Arial"/>
                <w:sz w:val="20"/>
                <w:szCs w:val="20"/>
                <w:lang w:eastAsia="es-SV"/>
              </w:rPr>
            </w:pPr>
            <w:r w:rsidRPr="0032511F">
              <w:rPr>
                <w:rFonts w:ascii="Arial" w:hAnsi="Arial" w:eastAsia="Times New Roman" w:cs="Arial"/>
                <w:sz w:val="20"/>
                <w:szCs w:val="20"/>
                <w:lang w:eastAsia="es-SV"/>
              </w:rPr>
              <w:t>Recursos Propios</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7AB901F4" w14:textId="6EBD792A">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11</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2</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268CDB6A" w14:textId="4C69F2BF">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15</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6</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04CA2909" w14:textId="5D29A8D1">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18</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5</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5A94E23C" w14:textId="15813D46">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21</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0</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1CB7F8D5" w14:textId="627C0822">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21</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0</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58D1BF78" w14:textId="69E69075">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87</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4</w:t>
            </w:r>
          </w:p>
        </w:tc>
      </w:tr>
      <w:tr w:rsidRPr="0032511F" w:rsidR="00790AE2" w:rsidTr="009A683C" w14:paraId="421EBC8F" w14:textId="77777777">
        <w:trPr>
          <w:trHeight w:val="510"/>
          <w:jc w:val="center"/>
        </w:trPr>
        <w:tc>
          <w:tcPr>
            <w:tcW w:w="2008" w:type="pct"/>
            <w:tcBorders>
              <w:top w:val="nil"/>
              <w:left w:val="single" w:color="auto" w:sz="4" w:space="0"/>
              <w:bottom w:val="nil"/>
              <w:right w:val="single" w:color="auto" w:sz="4" w:space="0"/>
            </w:tcBorders>
            <w:shd w:val="clear" w:color="auto" w:fill="auto"/>
            <w:vAlign w:val="center"/>
            <w:hideMark/>
          </w:tcPr>
          <w:p w:rsidRPr="0032511F" w:rsidR="00790AE2" w:rsidP="00790AE2" w:rsidRDefault="00790AE2" w14:paraId="24835F40" w14:textId="67ADB9FE">
            <w:pPr>
              <w:spacing w:after="0" w:line="240" w:lineRule="auto"/>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Vivienda Nueva &gt; $38</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900 más Vivienda Usada y Otras Líneas</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5EE9ED32" w14:textId="67C3BE69">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116</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6</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4F3D8AED" w14:textId="662C1748">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119</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7</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0707984B" w14:textId="4B9626DC">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121</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8</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496A21D4" w14:textId="329FD211">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119</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4</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07A09EC8" w14:textId="7D109EF2">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119</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4</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37F80D30" w14:textId="499022E7">
            <w:pPr>
              <w:spacing w:after="0" w:line="240" w:lineRule="auto"/>
              <w:jc w:val="right"/>
              <w:rPr>
                <w:rFonts w:ascii="Arial" w:hAnsi="Arial" w:eastAsia="Times New Roman" w:cs="Arial"/>
                <w:b/>
                <w:bCs/>
                <w:sz w:val="20"/>
                <w:szCs w:val="20"/>
                <w:lang w:eastAsia="es-SV"/>
              </w:rPr>
            </w:pPr>
            <w:r w:rsidRPr="0032511F">
              <w:rPr>
                <w:rFonts w:ascii="Arial" w:hAnsi="Arial" w:eastAsia="Times New Roman" w:cs="Arial"/>
                <w:b/>
                <w:bCs/>
                <w:sz w:val="20"/>
                <w:szCs w:val="20"/>
                <w:lang w:eastAsia="es-SV"/>
              </w:rPr>
              <w:t>596</w:t>
            </w:r>
            <w:r w:rsidR="008613CC">
              <w:rPr>
                <w:rFonts w:ascii="Arial" w:hAnsi="Arial" w:eastAsia="Times New Roman" w:cs="Arial"/>
                <w:b/>
                <w:bCs/>
                <w:sz w:val="20"/>
                <w:szCs w:val="20"/>
                <w:lang w:eastAsia="es-SV"/>
              </w:rPr>
              <w:t>,</w:t>
            </w:r>
            <w:r w:rsidRPr="0032511F">
              <w:rPr>
                <w:rFonts w:ascii="Arial" w:hAnsi="Arial" w:eastAsia="Times New Roman" w:cs="Arial"/>
                <w:b/>
                <w:bCs/>
                <w:sz w:val="20"/>
                <w:szCs w:val="20"/>
                <w:lang w:eastAsia="es-SV"/>
              </w:rPr>
              <w:t>9</w:t>
            </w:r>
          </w:p>
        </w:tc>
      </w:tr>
      <w:tr w:rsidRPr="0032511F" w:rsidR="00790AE2" w:rsidTr="009A683C" w14:paraId="0B3BCF7A"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center"/>
            <w:hideMark/>
          </w:tcPr>
          <w:p w:rsidRPr="0032511F" w:rsidR="00790AE2" w:rsidP="00790AE2" w:rsidRDefault="00790AE2" w14:paraId="303496C9" w14:textId="77777777">
            <w:pPr>
              <w:spacing w:after="0" w:line="240" w:lineRule="auto"/>
              <w:rPr>
                <w:rFonts w:ascii="Arial" w:hAnsi="Arial" w:eastAsia="Times New Roman" w:cs="Arial"/>
                <w:sz w:val="20"/>
                <w:szCs w:val="20"/>
                <w:lang w:eastAsia="es-SV"/>
              </w:rPr>
            </w:pPr>
            <w:r w:rsidRPr="0032511F">
              <w:rPr>
                <w:rFonts w:ascii="Arial" w:hAnsi="Arial" w:eastAsia="Times New Roman" w:cs="Arial"/>
                <w:sz w:val="20"/>
                <w:szCs w:val="20"/>
                <w:lang w:eastAsia="es-SV"/>
              </w:rPr>
              <w:t>Recursos Propios</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6C8978E1" w14:textId="75492EEF">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79</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8</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70EF4419" w14:textId="69066F95">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57</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7</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261476BC" w14:textId="565C1B4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57</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6</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7A1BC350" w14:textId="23B701FB">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59</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4</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1620DD09" w14:textId="231D658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63</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4</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05CC573F" w14:textId="11342732">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317</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9</w:t>
            </w:r>
          </w:p>
        </w:tc>
      </w:tr>
      <w:tr w:rsidRPr="0032511F" w:rsidR="00790AE2" w:rsidTr="009A683C" w14:paraId="2F0F6BD1"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center"/>
            <w:hideMark/>
          </w:tcPr>
          <w:p w:rsidRPr="0032511F" w:rsidR="00790AE2" w:rsidP="00790AE2" w:rsidRDefault="00790AE2" w14:paraId="109328A8" w14:textId="77777777">
            <w:pPr>
              <w:spacing w:after="0" w:line="240" w:lineRule="auto"/>
              <w:rPr>
                <w:rFonts w:ascii="Arial" w:hAnsi="Arial" w:eastAsia="Times New Roman" w:cs="Arial"/>
                <w:sz w:val="20"/>
                <w:szCs w:val="20"/>
                <w:lang w:eastAsia="es-SV"/>
              </w:rPr>
            </w:pPr>
            <w:r w:rsidRPr="0032511F">
              <w:rPr>
                <w:rFonts w:ascii="Arial" w:hAnsi="Arial" w:eastAsia="Times New Roman" w:cs="Arial"/>
                <w:sz w:val="20"/>
                <w:szCs w:val="20"/>
                <w:lang w:eastAsia="es-SV"/>
              </w:rPr>
              <w:t>Crédito BCIE</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788B6462" w14:textId="28AE3B23">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36</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8</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1696FC04" w14:textId="3BC360EC">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27</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9</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394ED509" w14:textId="6192DEFF">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13</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0</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204F7ADC" w14:textId="5DA530EE">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14</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4</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2429136E" w14:textId="7EF8C179">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15</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9</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56DB1DB4" w14:textId="0ADE0401">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108</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0</w:t>
            </w:r>
          </w:p>
        </w:tc>
      </w:tr>
      <w:tr w:rsidRPr="0032511F" w:rsidR="00790AE2" w:rsidTr="009A683C" w14:paraId="45E98662" w14:textId="77777777">
        <w:trPr>
          <w:trHeight w:val="300"/>
          <w:jc w:val="center"/>
        </w:trPr>
        <w:tc>
          <w:tcPr>
            <w:tcW w:w="2008" w:type="pct"/>
            <w:tcBorders>
              <w:top w:val="nil"/>
              <w:left w:val="single" w:color="auto" w:sz="4" w:space="0"/>
              <w:bottom w:val="nil"/>
              <w:right w:val="single" w:color="auto" w:sz="4" w:space="0"/>
            </w:tcBorders>
            <w:shd w:val="clear" w:color="auto" w:fill="auto"/>
            <w:noWrap/>
            <w:vAlign w:val="center"/>
            <w:hideMark/>
          </w:tcPr>
          <w:p w:rsidRPr="0032511F" w:rsidR="00790AE2" w:rsidP="00790AE2" w:rsidRDefault="00790AE2" w14:paraId="7DA7FA34" w14:textId="245146AD">
            <w:pPr>
              <w:spacing w:after="0" w:line="240" w:lineRule="auto"/>
              <w:rPr>
                <w:rFonts w:ascii="Arial" w:hAnsi="Arial" w:eastAsia="Times New Roman" w:cs="Arial"/>
                <w:sz w:val="20"/>
                <w:szCs w:val="20"/>
                <w:lang w:eastAsia="es-SV"/>
              </w:rPr>
            </w:pPr>
            <w:r w:rsidRPr="0032511F">
              <w:rPr>
                <w:rFonts w:ascii="Arial" w:hAnsi="Arial" w:eastAsia="Times New Roman" w:cs="Arial"/>
                <w:sz w:val="20"/>
                <w:szCs w:val="20"/>
                <w:lang w:eastAsia="es-SV"/>
              </w:rPr>
              <w:t>Nuevo crédito y otras fuente</w:t>
            </w:r>
            <w:r w:rsidRPr="0032511F" w:rsidR="00BE2090">
              <w:rPr>
                <w:rFonts w:ascii="Arial" w:hAnsi="Arial" w:eastAsia="Times New Roman" w:cs="Arial"/>
                <w:sz w:val="20"/>
                <w:szCs w:val="20"/>
                <w:lang w:eastAsia="es-SV"/>
              </w:rPr>
              <w:t>s</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30368F75" w14:textId="379784A6">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0</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0</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382A4B01" w14:textId="6EBB0CB3">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34</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1</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498C347D" w14:textId="4138EA5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51</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2</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22C6720F" w14:textId="7D4FFEAA">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45</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7</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32126A57" w14:textId="6A212650">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40</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0</w:t>
            </w:r>
          </w:p>
        </w:tc>
        <w:tc>
          <w:tcPr>
            <w:tcW w:w="499" w:type="pct"/>
            <w:tcBorders>
              <w:top w:val="nil"/>
              <w:left w:val="nil"/>
              <w:bottom w:val="nil"/>
              <w:right w:val="single" w:color="auto" w:sz="4" w:space="0"/>
            </w:tcBorders>
            <w:shd w:val="clear" w:color="auto" w:fill="auto"/>
            <w:noWrap/>
            <w:vAlign w:val="center"/>
            <w:hideMark/>
          </w:tcPr>
          <w:p w:rsidRPr="0032511F" w:rsidR="00790AE2" w:rsidP="00790AE2" w:rsidRDefault="00790AE2" w14:paraId="07864AA0" w14:textId="4791BD67">
            <w:pPr>
              <w:spacing w:after="0" w:line="240" w:lineRule="auto"/>
              <w:jc w:val="right"/>
              <w:rPr>
                <w:rFonts w:ascii="Arial" w:hAnsi="Arial" w:eastAsia="Times New Roman" w:cs="Arial"/>
                <w:sz w:val="20"/>
                <w:szCs w:val="20"/>
                <w:lang w:eastAsia="es-SV"/>
              </w:rPr>
            </w:pPr>
            <w:r w:rsidRPr="0032511F">
              <w:rPr>
                <w:rFonts w:ascii="Arial" w:hAnsi="Arial" w:eastAsia="Times New Roman" w:cs="Arial"/>
                <w:sz w:val="20"/>
                <w:szCs w:val="20"/>
                <w:lang w:eastAsia="es-SV"/>
              </w:rPr>
              <w:t>171</w:t>
            </w:r>
            <w:r w:rsidR="008613CC">
              <w:rPr>
                <w:rFonts w:ascii="Arial" w:hAnsi="Arial" w:eastAsia="Times New Roman" w:cs="Arial"/>
                <w:sz w:val="20"/>
                <w:szCs w:val="20"/>
                <w:lang w:eastAsia="es-SV"/>
              </w:rPr>
              <w:t>,</w:t>
            </w:r>
            <w:r w:rsidRPr="0032511F">
              <w:rPr>
                <w:rFonts w:ascii="Arial" w:hAnsi="Arial" w:eastAsia="Times New Roman" w:cs="Arial"/>
                <w:sz w:val="20"/>
                <w:szCs w:val="20"/>
                <w:lang w:eastAsia="es-SV"/>
              </w:rPr>
              <w:t>1</w:t>
            </w:r>
          </w:p>
        </w:tc>
      </w:tr>
      <w:tr w:rsidRPr="0032511F" w:rsidR="00790AE2" w:rsidTr="009A683C" w14:paraId="54FF9B38" w14:textId="77777777">
        <w:trPr>
          <w:trHeight w:val="300"/>
          <w:jc w:val="center"/>
        </w:trPr>
        <w:tc>
          <w:tcPr>
            <w:tcW w:w="2008" w:type="pct"/>
            <w:tcBorders>
              <w:top w:val="single" w:color="auto" w:sz="4" w:space="0"/>
              <w:left w:val="single" w:color="auto" w:sz="4" w:space="0"/>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2AD54887" w14:textId="77777777">
            <w:pPr>
              <w:spacing w:after="0" w:line="240" w:lineRule="auto"/>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TOTAL</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534C1E3C" w14:textId="40E1CCAC">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127</w:t>
            </w:r>
            <w:r w:rsidR="008613CC">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9</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2A30D0AB" w14:textId="5DD1652D">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135</w:t>
            </w:r>
            <w:r w:rsidR="008613CC">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3</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2DC2070A" w14:textId="1C0DB390">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140</w:t>
            </w:r>
            <w:r w:rsidR="008613CC">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3</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0794D916" w14:textId="20230CD0">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140</w:t>
            </w:r>
            <w:r w:rsidR="008613CC">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4</w:t>
            </w:r>
          </w:p>
        </w:tc>
        <w:tc>
          <w:tcPr>
            <w:tcW w:w="499" w:type="pct"/>
            <w:tcBorders>
              <w:top w:val="single" w:color="auto" w:sz="4" w:space="0"/>
              <w:left w:val="nil"/>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7458DB49" w14:textId="4E10356C">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140</w:t>
            </w:r>
            <w:r w:rsidR="008613CC">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4</w:t>
            </w:r>
          </w:p>
        </w:tc>
        <w:tc>
          <w:tcPr>
            <w:tcW w:w="499" w:type="pct"/>
            <w:tcBorders>
              <w:top w:val="nil"/>
              <w:left w:val="nil"/>
              <w:bottom w:val="single" w:color="auto" w:sz="4" w:space="0"/>
              <w:right w:val="single" w:color="auto" w:sz="4" w:space="0"/>
            </w:tcBorders>
            <w:shd w:val="clear" w:color="auto" w:fill="323E4F" w:themeFill="text2" w:themeFillShade="BF"/>
            <w:noWrap/>
            <w:vAlign w:val="center"/>
            <w:hideMark/>
          </w:tcPr>
          <w:p w:rsidRPr="0032511F" w:rsidR="00790AE2" w:rsidP="00790AE2" w:rsidRDefault="00790AE2" w14:paraId="0FE16580" w14:textId="73D65A66">
            <w:pPr>
              <w:spacing w:after="0" w:line="240" w:lineRule="auto"/>
              <w:jc w:val="right"/>
              <w:rPr>
                <w:rFonts w:ascii="Arial" w:hAnsi="Arial" w:eastAsia="Times New Roman" w:cs="Arial"/>
                <w:b/>
                <w:bCs/>
                <w:color w:val="FFFFFF"/>
                <w:sz w:val="20"/>
                <w:szCs w:val="20"/>
                <w:lang w:eastAsia="es-SV"/>
              </w:rPr>
            </w:pPr>
            <w:r w:rsidRPr="0032511F">
              <w:rPr>
                <w:rFonts w:ascii="Arial" w:hAnsi="Arial" w:eastAsia="Times New Roman" w:cs="Arial"/>
                <w:b/>
                <w:bCs/>
                <w:color w:val="FFFFFF"/>
                <w:sz w:val="20"/>
                <w:szCs w:val="20"/>
                <w:lang w:eastAsia="es-SV"/>
              </w:rPr>
              <w:t>684</w:t>
            </w:r>
            <w:r w:rsidR="008613CC">
              <w:rPr>
                <w:rFonts w:ascii="Arial" w:hAnsi="Arial" w:eastAsia="Times New Roman" w:cs="Arial"/>
                <w:b/>
                <w:bCs/>
                <w:color w:val="FFFFFF"/>
                <w:sz w:val="20"/>
                <w:szCs w:val="20"/>
                <w:lang w:eastAsia="es-SV"/>
              </w:rPr>
              <w:t>,</w:t>
            </w:r>
            <w:r w:rsidRPr="0032511F">
              <w:rPr>
                <w:rFonts w:ascii="Arial" w:hAnsi="Arial" w:eastAsia="Times New Roman" w:cs="Arial"/>
                <w:b/>
                <w:bCs/>
                <w:color w:val="FFFFFF"/>
                <w:sz w:val="20"/>
                <w:szCs w:val="20"/>
                <w:lang w:eastAsia="es-SV"/>
              </w:rPr>
              <w:t>3</w:t>
            </w:r>
          </w:p>
        </w:tc>
      </w:tr>
    </w:tbl>
    <w:p w:rsidRPr="0032511F" w:rsidR="006D2179" w:rsidP="00BF3655" w:rsidRDefault="006D2179" w14:paraId="7C55AB49" w14:textId="033FEB15">
      <w:pPr>
        <w:pStyle w:val="ListParagraph"/>
        <w:spacing w:after="0" w:line="276" w:lineRule="auto"/>
        <w:ind w:left="0"/>
        <w:jc w:val="both"/>
        <w:rPr>
          <w:rFonts w:ascii="Arial" w:hAnsi="Arial" w:cs="Arial"/>
        </w:rPr>
      </w:pPr>
    </w:p>
    <w:p w:rsidRPr="0032511F" w:rsidR="006D2179" w:rsidP="00BF3655" w:rsidRDefault="00AE5F4F" w14:paraId="77C2EBA2" w14:textId="4837BC7D">
      <w:pPr>
        <w:pStyle w:val="ListParagraph"/>
        <w:spacing w:after="0" w:line="276" w:lineRule="auto"/>
        <w:ind w:left="0"/>
        <w:jc w:val="both"/>
        <w:rPr>
          <w:rFonts w:ascii="Arial" w:hAnsi="Arial" w:cs="Arial"/>
        </w:rPr>
        <w:sectPr w:rsidRPr="0032511F" w:rsidR="006D2179" w:rsidSect="002E06B2">
          <w:pgSz w:w="12240" w:h="15840" w:orient="portrait"/>
          <w:pgMar w:top="1080" w:right="1080" w:bottom="1080" w:left="1080" w:header="706" w:footer="706" w:gutter="0"/>
          <w:cols w:space="708"/>
          <w:docGrid w:linePitch="360"/>
        </w:sectPr>
      </w:pPr>
      <w:r w:rsidRPr="0032511F">
        <w:rPr>
          <w:rFonts w:ascii="Arial" w:hAnsi="Arial" w:cs="Arial"/>
        </w:rPr>
        <w:t>Las proyecciones financieras</w:t>
      </w:r>
      <w:r w:rsidRPr="0032511F" w:rsidR="00822DE0">
        <w:rPr>
          <w:rFonts w:ascii="Arial" w:hAnsi="Arial" w:cs="Arial"/>
        </w:rPr>
        <w:t xml:space="preserve"> indican </w:t>
      </w:r>
      <w:r w:rsidRPr="0032511F" w:rsidR="006114CE">
        <w:rPr>
          <w:rFonts w:ascii="Arial" w:hAnsi="Arial" w:cs="Arial"/>
        </w:rPr>
        <w:t xml:space="preserve">que </w:t>
      </w:r>
      <w:r w:rsidRPr="0032511F" w:rsidR="00822DE0">
        <w:rPr>
          <w:rFonts w:ascii="Arial" w:hAnsi="Arial" w:cs="Arial"/>
        </w:rPr>
        <w:t xml:space="preserve">se requiere contar </w:t>
      </w:r>
      <w:r w:rsidRPr="0032511F" w:rsidR="006114CE">
        <w:rPr>
          <w:rFonts w:ascii="Arial" w:hAnsi="Arial" w:cs="Arial"/>
        </w:rPr>
        <w:t xml:space="preserve">en el corto plazo </w:t>
      </w:r>
      <w:r w:rsidRPr="0032511F" w:rsidR="00822DE0">
        <w:rPr>
          <w:rFonts w:ascii="Arial" w:hAnsi="Arial" w:cs="Arial"/>
        </w:rPr>
        <w:t>con una nueva fuente de financiamiento para atender la necesidad habitacional de los salvadoreños, la fuente alterna de financiamiento debe ser preferentemente en condiciones favorables en términos de tasa de interés (menor al 4%) y plazo de otorgamiento (25 años) para ser utilizada en los programas de financiamientos dirigidos a la vivienda de interés social en todas las líneas crediticias</w:t>
      </w:r>
      <w:r w:rsidRPr="0032511F" w:rsidR="00E50590">
        <w:rPr>
          <w:rFonts w:ascii="Arial" w:hAnsi="Arial" w:cs="Arial"/>
        </w:rPr>
        <w:t>, y asegurar la sostenibilidad financiera de la Institución</w:t>
      </w:r>
      <w:r w:rsidRPr="0032511F" w:rsidR="00807546">
        <w:rPr>
          <w:rFonts w:ascii="Arial" w:hAnsi="Arial" w:cs="Arial"/>
        </w:rPr>
        <w:t>, deberían ser de hasta de 25 años por lo tanto habrá un calce en el plazo de ingresos, con los egresos.</w:t>
      </w:r>
    </w:p>
    <w:p w:rsidRPr="0032511F" w:rsidR="007942EF" w:rsidP="00A0079B" w:rsidRDefault="007942EF" w14:paraId="7819D7F2" w14:textId="7BFF279C">
      <w:pPr>
        <w:pStyle w:val="ListParagraph"/>
        <w:spacing w:after="0" w:line="276" w:lineRule="auto"/>
        <w:ind w:left="0"/>
        <w:jc w:val="both"/>
        <w:rPr>
          <w:rFonts w:ascii="Arial" w:hAnsi="Arial" w:cs="Arial"/>
          <w:b/>
          <w:bCs/>
        </w:rPr>
      </w:pPr>
      <w:r w:rsidRPr="0032511F">
        <w:rPr>
          <w:rFonts w:ascii="Arial" w:hAnsi="Arial" w:cs="Arial"/>
          <w:b/>
          <w:bCs/>
        </w:rPr>
        <w:lastRenderedPageBreak/>
        <w:t>ANEXO 1: POSICIÓN COMPETITIVA EN EL TOTAL DE CRÉDITOS OTORGADOS EN EL SISTEMA FINANCIERO AÑO 2019.</w:t>
      </w:r>
    </w:p>
    <w:p w:rsidRPr="0032511F" w:rsidR="007942EF" w:rsidP="00A0079B" w:rsidRDefault="007942EF" w14:paraId="11C3D9B9" w14:textId="77003B70">
      <w:pPr>
        <w:pStyle w:val="ListParagraph"/>
        <w:spacing w:after="0" w:line="276" w:lineRule="auto"/>
        <w:ind w:left="0"/>
        <w:jc w:val="both"/>
        <w:rPr>
          <w:rFonts w:ascii="Arial" w:hAnsi="Arial" w:cs="Arial"/>
        </w:rPr>
      </w:pPr>
      <w:r w:rsidR="007942EF">
        <w:drawing>
          <wp:inline wp14:editId="2D1B024E" wp14:anchorId="0226FB46">
            <wp:extent cx="8258810" cy="4312285"/>
            <wp:effectExtent l="0" t="0" r="8890" b="0"/>
            <wp:docPr id="815853137" name="Imagen 2" descr="Imagen que contiene texto&#10;&#10;Descripción generada automáticamente" title=""/>
            <wp:cNvGraphicFramePr>
              <a:graphicFrameLocks noChangeAspect="1"/>
            </wp:cNvGraphicFramePr>
            <a:graphic>
              <a:graphicData uri="http://schemas.openxmlformats.org/drawingml/2006/picture">
                <pic:pic>
                  <pic:nvPicPr>
                    <pic:cNvPr id="0" name="Imagen 2"/>
                    <pic:cNvPicPr/>
                  </pic:nvPicPr>
                  <pic:blipFill>
                    <a:blip r:embed="R0e25641da99049c2">
                      <a:extLst xmlns:a="http://schemas.openxmlformats.org/drawingml/2006/main">
                        <a:ext uri="{FF2B5EF4-FFF2-40B4-BE49-F238E27FC236}">
                          <a16:creationId xmlns:a16="http://schemas.microsoft.com/office/drawing/2014/main" id="{8AF2B818-E43F-4580-8408-C12906DDABAE}"/>
                        </a:ext>
                      </a:extLst>
                    </a:blip>
                    <a:stretch>
                      <a:fillRect/>
                    </a:stretch>
                  </pic:blipFill>
                  <pic:spPr>
                    <a:xfrm rot="0" flipH="0" flipV="0">
                      <a:off x="0" y="0"/>
                      <a:ext cx="8258810" cy="4312285"/>
                    </a:xfrm>
                    <a:prstGeom prst="rect">
                      <a:avLst/>
                    </a:prstGeom>
                  </pic:spPr>
                </pic:pic>
              </a:graphicData>
            </a:graphic>
          </wp:inline>
        </w:drawing>
      </w:r>
    </w:p>
    <w:p w:rsidRPr="0032511F" w:rsidR="00B324B2" w:rsidP="00A0079B" w:rsidRDefault="00B324B2" w14:paraId="5EF540F4" w14:textId="01C9C7DB">
      <w:pPr>
        <w:pStyle w:val="ListParagraph"/>
        <w:spacing w:after="0" w:line="276" w:lineRule="auto"/>
        <w:ind w:left="0"/>
        <w:jc w:val="both"/>
        <w:rPr>
          <w:rFonts w:ascii="Arial" w:hAnsi="Arial" w:cs="Arial"/>
        </w:rPr>
      </w:pPr>
    </w:p>
    <w:p w:rsidRPr="0032511F" w:rsidR="00B324B2" w:rsidP="00A0079B" w:rsidRDefault="00B324B2" w14:paraId="3504CFA9" w14:textId="149F5B98">
      <w:pPr>
        <w:pStyle w:val="ListParagraph"/>
        <w:spacing w:after="0" w:line="276" w:lineRule="auto"/>
        <w:ind w:left="0"/>
        <w:jc w:val="both"/>
        <w:rPr>
          <w:rFonts w:ascii="Arial" w:hAnsi="Arial" w:cs="Arial"/>
        </w:rPr>
      </w:pPr>
    </w:p>
    <w:p w:rsidRPr="0032511F" w:rsidR="00B324B2" w:rsidP="00A0079B" w:rsidRDefault="00B324B2" w14:paraId="40898E7D" w14:textId="782C3B0E">
      <w:pPr>
        <w:pStyle w:val="ListParagraph"/>
        <w:spacing w:after="0" w:line="276" w:lineRule="auto"/>
        <w:ind w:left="0"/>
        <w:jc w:val="both"/>
        <w:rPr>
          <w:rFonts w:ascii="Arial" w:hAnsi="Arial" w:cs="Arial"/>
        </w:rPr>
      </w:pPr>
    </w:p>
    <w:p w:rsidRPr="0032511F" w:rsidR="00B324B2" w:rsidP="00A0079B" w:rsidRDefault="00B324B2" w14:paraId="53E28CA2" w14:textId="353A0921">
      <w:pPr>
        <w:pStyle w:val="ListParagraph"/>
        <w:spacing w:after="0" w:line="276" w:lineRule="auto"/>
        <w:ind w:left="0"/>
        <w:jc w:val="both"/>
        <w:rPr>
          <w:rFonts w:ascii="Arial" w:hAnsi="Arial" w:cs="Arial"/>
        </w:rPr>
      </w:pPr>
    </w:p>
    <w:p w:rsidRPr="0032511F" w:rsidR="00B324B2" w:rsidP="00A0079B" w:rsidRDefault="00B324B2" w14:paraId="0E7D0E82" w14:textId="77777777">
      <w:pPr>
        <w:pStyle w:val="ListParagraph"/>
        <w:spacing w:after="0" w:line="276" w:lineRule="auto"/>
        <w:ind w:left="0"/>
        <w:jc w:val="both"/>
        <w:rPr>
          <w:rFonts w:ascii="Arial" w:hAnsi="Arial" w:cs="Arial"/>
        </w:rPr>
      </w:pPr>
    </w:p>
    <w:sectPr w:rsidRPr="0032511F" w:rsidR="00B324B2" w:rsidSect="00A702A9">
      <w:pgSz w:w="15840" w:h="12240" w:orient="landscape"/>
      <w:pgMar w:top="1080" w:right="1080" w:bottom="108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A70D4" w:rsidP="00E93F6D" w:rsidRDefault="00EA70D4" w14:paraId="722C14BB" w14:textId="77777777">
      <w:pPr>
        <w:spacing w:after="0" w:line="240" w:lineRule="auto"/>
      </w:pPr>
      <w:r>
        <w:separator/>
      </w:r>
    </w:p>
  </w:endnote>
  <w:endnote w:type="continuationSeparator" w:id="0">
    <w:p w:rsidR="00EA70D4" w:rsidP="00E93F6D" w:rsidRDefault="00EA70D4" w14:paraId="2751BFAC" w14:textId="77777777">
      <w:pPr>
        <w:spacing w:after="0" w:line="240" w:lineRule="auto"/>
      </w:pPr>
      <w:r>
        <w:continuationSeparator/>
      </w:r>
    </w:p>
  </w:endnote>
  <w:endnote w:type="continuationNotice" w:id="1">
    <w:p w:rsidR="00EA70D4" w:rsidRDefault="00EA70D4" w14:paraId="6D2A834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A70D4" w:rsidP="00E93F6D" w:rsidRDefault="00EA70D4" w14:paraId="7A4BE20C" w14:textId="77777777">
      <w:pPr>
        <w:spacing w:after="0" w:line="240" w:lineRule="auto"/>
      </w:pPr>
      <w:r>
        <w:separator/>
      </w:r>
    </w:p>
  </w:footnote>
  <w:footnote w:type="continuationSeparator" w:id="0">
    <w:p w:rsidR="00EA70D4" w:rsidP="00E93F6D" w:rsidRDefault="00EA70D4" w14:paraId="48BDB0B7" w14:textId="77777777">
      <w:pPr>
        <w:spacing w:after="0" w:line="240" w:lineRule="auto"/>
      </w:pPr>
      <w:r>
        <w:continuationSeparator/>
      </w:r>
    </w:p>
  </w:footnote>
  <w:footnote w:type="continuationNotice" w:id="1">
    <w:p w:rsidR="00EA70D4" w:rsidRDefault="00EA70D4" w14:paraId="6B84D361" w14:textId="77777777">
      <w:pPr>
        <w:spacing w:after="0" w:line="240" w:lineRule="auto"/>
      </w:pPr>
    </w:p>
  </w:footnote>
  <w:footnote w:id="2">
    <w:p w:rsidRPr="00AC3DCA" w:rsidR="00EA70D4" w:rsidRDefault="00EA70D4" w14:paraId="54918A72" w14:textId="22B09235">
      <w:pPr>
        <w:pStyle w:val="FootnoteText"/>
        <w:rPr>
          <w:rFonts w:ascii="Arial" w:hAnsi="Arial" w:cs="Arial"/>
          <w:sz w:val="18"/>
          <w:szCs w:val="18"/>
        </w:rPr>
      </w:pPr>
      <w:r w:rsidRPr="00AC3DCA">
        <w:rPr>
          <w:rStyle w:val="FootnoteReference"/>
          <w:rFonts w:ascii="Arial" w:hAnsi="Arial" w:cs="Arial"/>
          <w:sz w:val="18"/>
          <w:szCs w:val="18"/>
        </w:rPr>
        <w:footnoteRef/>
      </w:r>
      <w:r w:rsidRPr="00AC3DCA">
        <w:rPr>
          <w:rFonts w:ascii="Arial" w:hAnsi="Arial" w:cs="Arial"/>
          <w:sz w:val="18"/>
          <w:szCs w:val="18"/>
        </w:rPr>
        <w:t xml:space="preserve"> Salario mínimo sector comercio y servicio US$304</w:t>
      </w:r>
      <w:r>
        <w:rPr>
          <w:rFonts w:ascii="Arial" w:hAnsi="Arial" w:cs="Arial"/>
          <w:sz w:val="18"/>
          <w:szCs w:val="18"/>
        </w:rPr>
        <w:t>,</w:t>
      </w:r>
      <w:r w:rsidRPr="00AC3DCA">
        <w:rPr>
          <w:rFonts w:ascii="Arial" w:hAnsi="Arial" w:cs="Arial"/>
          <w:sz w:val="18"/>
          <w:szCs w:val="18"/>
        </w:rPr>
        <w:t>17</w:t>
      </w:r>
    </w:p>
  </w:footnote>
  <w:footnote w:id="3">
    <w:p w:rsidRPr="00851641" w:rsidR="00EA70D4" w:rsidP="00C24FDA" w:rsidRDefault="00EA70D4" w14:paraId="17BDA6E3" w14:textId="7F8BB711">
      <w:pPr>
        <w:pStyle w:val="FootnoteText"/>
        <w:jc w:val="both"/>
        <w:rPr>
          <w:rFonts w:ascii="Arial" w:hAnsi="Arial" w:cs="Arial"/>
          <w:sz w:val="18"/>
          <w:szCs w:val="18"/>
        </w:rPr>
      </w:pPr>
      <w:r w:rsidRPr="00851641">
        <w:rPr>
          <w:rStyle w:val="FootnoteReference"/>
          <w:rFonts w:ascii="Arial" w:hAnsi="Arial" w:cs="Arial"/>
          <w:sz w:val="18"/>
          <w:szCs w:val="18"/>
        </w:rPr>
        <w:footnoteRef/>
      </w:r>
      <w:r w:rsidRPr="00851641">
        <w:rPr>
          <w:rFonts w:ascii="Arial" w:hAnsi="Arial" w:cs="Arial"/>
          <w:sz w:val="18"/>
          <w:szCs w:val="18"/>
        </w:rPr>
        <w:t xml:space="preserve"> Informe de posicionamiento de mercado, diciembre 2019. </w:t>
      </w:r>
    </w:p>
  </w:footnote>
  <w:footnote w:id="4">
    <w:p w:rsidRPr="000E5E39" w:rsidR="00EA70D4" w:rsidRDefault="00EA70D4" w14:paraId="2A509895" w14:textId="59C2D009">
      <w:pPr>
        <w:pStyle w:val="FootnoteText"/>
        <w:rPr>
          <w:rFonts w:ascii="Arial" w:hAnsi="Arial" w:cs="Arial"/>
          <w:sz w:val="18"/>
          <w:szCs w:val="18"/>
        </w:rPr>
      </w:pPr>
      <w:r w:rsidRPr="000E5E39">
        <w:rPr>
          <w:rStyle w:val="FootnoteReference"/>
          <w:rFonts w:ascii="Arial" w:hAnsi="Arial" w:cs="Arial"/>
          <w:sz w:val="18"/>
          <w:szCs w:val="18"/>
        </w:rPr>
        <w:footnoteRef/>
      </w:r>
      <w:r w:rsidRPr="000E5E39">
        <w:rPr>
          <w:rFonts w:ascii="Arial" w:hAnsi="Arial" w:cs="Arial"/>
          <w:sz w:val="18"/>
          <w:szCs w:val="18"/>
        </w:rPr>
        <w:t xml:space="preserve"> Encuesta de Hogares de Propósitos Múltiples, 2018. Pág. 48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6F0BF0"/>
    <w:multiLevelType w:val="hybridMultilevel"/>
    <w:tmpl w:val="D5386B8A"/>
    <w:lvl w:ilvl="0" w:tplc="FD181636">
      <w:start w:val="1"/>
      <w:numFmt w:val="upperLetter"/>
      <w:lvlText w:val="%1."/>
      <w:lvlJc w:val="left"/>
      <w:pPr>
        <w:ind w:left="720" w:hanging="360"/>
      </w:pPr>
      <w:rPr>
        <w:rFonts w:hint="default"/>
        <w:b/>
        <w:bCs/>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15:restartNumberingAfterBreak="0">
    <w:nsid w:val="7C982046"/>
    <w:multiLevelType w:val="hybridMultilevel"/>
    <w:tmpl w:val="C3565D38"/>
    <w:lvl w:ilvl="0" w:tplc="440A000F">
      <w:start w:val="1"/>
      <w:numFmt w:val="decimal"/>
      <w:lvlText w:val="%1."/>
      <w:lvlJc w:val="lef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D2D"/>
    <w:rsid w:val="00010B7F"/>
    <w:rsid w:val="000324ED"/>
    <w:rsid w:val="00034EF1"/>
    <w:rsid w:val="000423F2"/>
    <w:rsid w:val="00044B2D"/>
    <w:rsid w:val="00056F3D"/>
    <w:rsid w:val="0005769F"/>
    <w:rsid w:val="00063530"/>
    <w:rsid w:val="000733B8"/>
    <w:rsid w:val="000B5A4F"/>
    <w:rsid w:val="000B68D5"/>
    <w:rsid w:val="000C05AA"/>
    <w:rsid w:val="000C4C18"/>
    <w:rsid w:val="000C7A29"/>
    <w:rsid w:val="000D2244"/>
    <w:rsid w:val="000E5E39"/>
    <w:rsid w:val="00117A5D"/>
    <w:rsid w:val="00127D84"/>
    <w:rsid w:val="00137D53"/>
    <w:rsid w:val="001409D2"/>
    <w:rsid w:val="00181A85"/>
    <w:rsid w:val="00194FC4"/>
    <w:rsid w:val="00196555"/>
    <w:rsid w:val="001C372E"/>
    <w:rsid w:val="001F033A"/>
    <w:rsid w:val="00201CD6"/>
    <w:rsid w:val="002024B9"/>
    <w:rsid w:val="00217D3C"/>
    <w:rsid w:val="00224423"/>
    <w:rsid w:val="00224E0A"/>
    <w:rsid w:val="00234498"/>
    <w:rsid w:val="002344F1"/>
    <w:rsid w:val="0023495D"/>
    <w:rsid w:val="002508BC"/>
    <w:rsid w:val="00273121"/>
    <w:rsid w:val="00274F05"/>
    <w:rsid w:val="00283CCA"/>
    <w:rsid w:val="00287F49"/>
    <w:rsid w:val="00294CDE"/>
    <w:rsid w:val="002A0E79"/>
    <w:rsid w:val="002E06B2"/>
    <w:rsid w:val="002E1DEB"/>
    <w:rsid w:val="002E48CC"/>
    <w:rsid w:val="002E5D22"/>
    <w:rsid w:val="002F03B1"/>
    <w:rsid w:val="002F418F"/>
    <w:rsid w:val="0030181F"/>
    <w:rsid w:val="003105A0"/>
    <w:rsid w:val="0031123F"/>
    <w:rsid w:val="003119AE"/>
    <w:rsid w:val="0032511F"/>
    <w:rsid w:val="00335AC8"/>
    <w:rsid w:val="0035663A"/>
    <w:rsid w:val="00361A2F"/>
    <w:rsid w:val="003633AC"/>
    <w:rsid w:val="00365154"/>
    <w:rsid w:val="00376BA5"/>
    <w:rsid w:val="0038248B"/>
    <w:rsid w:val="003B1459"/>
    <w:rsid w:val="003B1DEE"/>
    <w:rsid w:val="003C3F7A"/>
    <w:rsid w:val="003D3EB7"/>
    <w:rsid w:val="003E24CE"/>
    <w:rsid w:val="003F0FAF"/>
    <w:rsid w:val="004067CC"/>
    <w:rsid w:val="00407808"/>
    <w:rsid w:val="00422ECC"/>
    <w:rsid w:val="00424C78"/>
    <w:rsid w:val="004479F1"/>
    <w:rsid w:val="00462FFC"/>
    <w:rsid w:val="004876CD"/>
    <w:rsid w:val="00487A19"/>
    <w:rsid w:val="004D5794"/>
    <w:rsid w:val="004E067B"/>
    <w:rsid w:val="004E5E81"/>
    <w:rsid w:val="004E6AC4"/>
    <w:rsid w:val="004F76BF"/>
    <w:rsid w:val="00503F4A"/>
    <w:rsid w:val="00504B3F"/>
    <w:rsid w:val="00526329"/>
    <w:rsid w:val="005478A8"/>
    <w:rsid w:val="00572597"/>
    <w:rsid w:val="00582E62"/>
    <w:rsid w:val="00594E08"/>
    <w:rsid w:val="005C109E"/>
    <w:rsid w:val="005D4162"/>
    <w:rsid w:val="005F1730"/>
    <w:rsid w:val="00601021"/>
    <w:rsid w:val="00601766"/>
    <w:rsid w:val="00603CEA"/>
    <w:rsid w:val="0060648B"/>
    <w:rsid w:val="006114CE"/>
    <w:rsid w:val="006225B2"/>
    <w:rsid w:val="00622CFA"/>
    <w:rsid w:val="0063293B"/>
    <w:rsid w:val="00670FE7"/>
    <w:rsid w:val="00677D36"/>
    <w:rsid w:val="006950DD"/>
    <w:rsid w:val="006A08A7"/>
    <w:rsid w:val="006A2565"/>
    <w:rsid w:val="006A67C4"/>
    <w:rsid w:val="006B3A11"/>
    <w:rsid w:val="006B7D51"/>
    <w:rsid w:val="006C7DA4"/>
    <w:rsid w:val="006D2179"/>
    <w:rsid w:val="006F6580"/>
    <w:rsid w:val="007026FB"/>
    <w:rsid w:val="00710EA2"/>
    <w:rsid w:val="00732670"/>
    <w:rsid w:val="007527BD"/>
    <w:rsid w:val="00752B9B"/>
    <w:rsid w:val="00757DAB"/>
    <w:rsid w:val="00773590"/>
    <w:rsid w:val="00776F99"/>
    <w:rsid w:val="00786C8D"/>
    <w:rsid w:val="00790AE2"/>
    <w:rsid w:val="007942EF"/>
    <w:rsid w:val="007A64A1"/>
    <w:rsid w:val="007C0F52"/>
    <w:rsid w:val="00803FD7"/>
    <w:rsid w:val="008068F8"/>
    <w:rsid w:val="00807546"/>
    <w:rsid w:val="00815BFD"/>
    <w:rsid w:val="00816CC1"/>
    <w:rsid w:val="00820D1C"/>
    <w:rsid w:val="00822DE0"/>
    <w:rsid w:val="008329D4"/>
    <w:rsid w:val="00851641"/>
    <w:rsid w:val="00856375"/>
    <w:rsid w:val="008613CC"/>
    <w:rsid w:val="00861776"/>
    <w:rsid w:val="008655AA"/>
    <w:rsid w:val="0086784D"/>
    <w:rsid w:val="00877386"/>
    <w:rsid w:val="0088023D"/>
    <w:rsid w:val="0088244C"/>
    <w:rsid w:val="008A30B3"/>
    <w:rsid w:val="008D1421"/>
    <w:rsid w:val="008D718D"/>
    <w:rsid w:val="008E1BC5"/>
    <w:rsid w:val="008E3214"/>
    <w:rsid w:val="008F1A39"/>
    <w:rsid w:val="00906F2A"/>
    <w:rsid w:val="00907CC0"/>
    <w:rsid w:val="00921B2F"/>
    <w:rsid w:val="00922C36"/>
    <w:rsid w:val="00925D17"/>
    <w:rsid w:val="009277F1"/>
    <w:rsid w:val="00934DA5"/>
    <w:rsid w:val="00955389"/>
    <w:rsid w:val="009571D9"/>
    <w:rsid w:val="00961CD2"/>
    <w:rsid w:val="009916D4"/>
    <w:rsid w:val="009A25EE"/>
    <w:rsid w:val="009A350C"/>
    <w:rsid w:val="009A3F23"/>
    <w:rsid w:val="009A683C"/>
    <w:rsid w:val="009A7301"/>
    <w:rsid w:val="009B0A4A"/>
    <w:rsid w:val="009C2379"/>
    <w:rsid w:val="009E3615"/>
    <w:rsid w:val="00A0079B"/>
    <w:rsid w:val="00A11983"/>
    <w:rsid w:val="00A2063D"/>
    <w:rsid w:val="00A31683"/>
    <w:rsid w:val="00A47822"/>
    <w:rsid w:val="00A5023D"/>
    <w:rsid w:val="00A53FD2"/>
    <w:rsid w:val="00A60FC2"/>
    <w:rsid w:val="00A61F23"/>
    <w:rsid w:val="00A64E79"/>
    <w:rsid w:val="00A650AE"/>
    <w:rsid w:val="00A702A9"/>
    <w:rsid w:val="00A773AA"/>
    <w:rsid w:val="00A77A99"/>
    <w:rsid w:val="00A83EA9"/>
    <w:rsid w:val="00A9020A"/>
    <w:rsid w:val="00AA2DE2"/>
    <w:rsid w:val="00AB47AA"/>
    <w:rsid w:val="00AB69C0"/>
    <w:rsid w:val="00AC3DCA"/>
    <w:rsid w:val="00AD0640"/>
    <w:rsid w:val="00AD3A7F"/>
    <w:rsid w:val="00AE5F4F"/>
    <w:rsid w:val="00AF6AF8"/>
    <w:rsid w:val="00B013DA"/>
    <w:rsid w:val="00B03EFF"/>
    <w:rsid w:val="00B058D1"/>
    <w:rsid w:val="00B24CAC"/>
    <w:rsid w:val="00B2599E"/>
    <w:rsid w:val="00B26CC5"/>
    <w:rsid w:val="00B324B2"/>
    <w:rsid w:val="00B76662"/>
    <w:rsid w:val="00B83E14"/>
    <w:rsid w:val="00BB0716"/>
    <w:rsid w:val="00BB54C5"/>
    <w:rsid w:val="00BC3D4D"/>
    <w:rsid w:val="00BE1EF2"/>
    <w:rsid w:val="00BE2090"/>
    <w:rsid w:val="00BF3655"/>
    <w:rsid w:val="00C067DD"/>
    <w:rsid w:val="00C12891"/>
    <w:rsid w:val="00C14852"/>
    <w:rsid w:val="00C151E4"/>
    <w:rsid w:val="00C24FDA"/>
    <w:rsid w:val="00C3146A"/>
    <w:rsid w:val="00C4713E"/>
    <w:rsid w:val="00C75058"/>
    <w:rsid w:val="00C97E66"/>
    <w:rsid w:val="00CB019E"/>
    <w:rsid w:val="00CC7DCF"/>
    <w:rsid w:val="00CF6F6F"/>
    <w:rsid w:val="00D046CE"/>
    <w:rsid w:val="00D10780"/>
    <w:rsid w:val="00D25067"/>
    <w:rsid w:val="00D30EC6"/>
    <w:rsid w:val="00D46885"/>
    <w:rsid w:val="00D46F29"/>
    <w:rsid w:val="00D807C4"/>
    <w:rsid w:val="00D8091D"/>
    <w:rsid w:val="00D81132"/>
    <w:rsid w:val="00D82228"/>
    <w:rsid w:val="00DB1E2F"/>
    <w:rsid w:val="00DC701A"/>
    <w:rsid w:val="00DD6D07"/>
    <w:rsid w:val="00DF55BE"/>
    <w:rsid w:val="00E11608"/>
    <w:rsid w:val="00E27383"/>
    <w:rsid w:val="00E47364"/>
    <w:rsid w:val="00E47987"/>
    <w:rsid w:val="00E50590"/>
    <w:rsid w:val="00E52D33"/>
    <w:rsid w:val="00E853FC"/>
    <w:rsid w:val="00E933B3"/>
    <w:rsid w:val="00E93F6D"/>
    <w:rsid w:val="00E97285"/>
    <w:rsid w:val="00EA70D4"/>
    <w:rsid w:val="00EB2D96"/>
    <w:rsid w:val="00EB3CA2"/>
    <w:rsid w:val="00EC3020"/>
    <w:rsid w:val="00EC54A6"/>
    <w:rsid w:val="00ED6A43"/>
    <w:rsid w:val="00EE11B8"/>
    <w:rsid w:val="00EE587C"/>
    <w:rsid w:val="00EE6486"/>
    <w:rsid w:val="00EF7AB3"/>
    <w:rsid w:val="00F00355"/>
    <w:rsid w:val="00F03D75"/>
    <w:rsid w:val="00F1590C"/>
    <w:rsid w:val="00F16667"/>
    <w:rsid w:val="00F1781E"/>
    <w:rsid w:val="00F30D2D"/>
    <w:rsid w:val="00F32C7C"/>
    <w:rsid w:val="00F337BD"/>
    <w:rsid w:val="00F345B0"/>
    <w:rsid w:val="00F364D7"/>
    <w:rsid w:val="00F46736"/>
    <w:rsid w:val="00F57369"/>
    <w:rsid w:val="00F635F0"/>
    <w:rsid w:val="00F723BF"/>
    <w:rsid w:val="00F919EA"/>
    <w:rsid w:val="00F94EA3"/>
    <w:rsid w:val="00F95784"/>
    <w:rsid w:val="00FA617C"/>
    <w:rsid w:val="00FA67B6"/>
    <w:rsid w:val="00FB4842"/>
    <w:rsid w:val="00FC1CDC"/>
    <w:rsid w:val="00FD5C48"/>
    <w:rsid w:val="00FE05E7"/>
    <w:rsid w:val="00FE44F0"/>
    <w:rsid w:val="00FF04B4"/>
    <w:rsid w:val="2D1B024E"/>
    <w:rsid w:val="30A0EE51"/>
    <w:rsid w:val="48747B4A"/>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FD33E"/>
  <w15:chartTrackingRefBased/>
  <w15:docId w15:val="{CBCA943F-C7C9-4083-8AB4-8932068E847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30D2D"/>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F30D2D"/>
    <w:pPr>
      <w:ind w:left="720"/>
      <w:contextualSpacing/>
    </w:pPr>
  </w:style>
  <w:style w:type="paragraph" w:styleId="FootnoteText">
    <w:name w:val="footnote text"/>
    <w:basedOn w:val="Normal"/>
    <w:link w:val="FootnoteTextChar"/>
    <w:uiPriority w:val="99"/>
    <w:semiHidden/>
    <w:unhideWhenUsed/>
    <w:rsid w:val="00E93F6D"/>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E93F6D"/>
    <w:rPr>
      <w:sz w:val="20"/>
      <w:szCs w:val="20"/>
    </w:rPr>
  </w:style>
  <w:style w:type="character" w:styleId="FootnoteReference">
    <w:name w:val="footnote reference"/>
    <w:basedOn w:val="DefaultParagraphFont"/>
    <w:uiPriority w:val="99"/>
    <w:semiHidden/>
    <w:unhideWhenUsed/>
    <w:rsid w:val="00E93F6D"/>
    <w:rPr>
      <w:vertAlign w:val="superscript"/>
    </w:rPr>
  </w:style>
  <w:style w:type="paragraph" w:styleId="NormalWeb">
    <w:name w:val="Normal (Web)"/>
    <w:basedOn w:val="Normal"/>
    <w:uiPriority w:val="99"/>
    <w:semiHidden/>
    <w:unhideWhenUsed/>
    <w:rsid w:val="00955389"/>
    <w:pPr>
      <w:spacing w:before="100" w:beforeAutospacing="1" w:after="100" w:afterAutospacing="1" w:line="240" w:lineRule="auto"/>
    </w:pPr>
    <w:rPr>
      <w:rFonts w:ascii="Times New Roman" w:hAnsi="Times New Roman" w:eastAsia="Times New Roman" w:cs="Times New Roman"/>
      <w:sz w:val="24"/>
      <w:szCs w:val="24"/>
      <w:lang w:eastAsia="es-SV"/>
    </w:rPr>
  </w:style>
  <w:style w:type="paragraph" w:styleId="BalloonText">
    <w:name w:val="Balloon Text"/>
    <w:basedOn w:val="Normal"/>
    <w:link w:val="BalloonTextChar"/>
    <w:uiPriority w:val="99"/>
    <w:semiHidden/>
    <w:unhideWhenUsed/>
    <w:rsid w:val="000C05AA"/>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0C05AA"/>
    <w:rPr>
      <w:rFonts w:ascii="Segoe UI" w:hAnsi="Segoe UI" w:cs="Segoe UI"/>
      <w:sz w:val="18"/>
      <w:szCs w:val="18"/>
    </w:rPr>
  </w:style>
  <w:style w:type="paragraph" w:styleId="Header">
    <w:name w:val="header"/>
    <w:basedOn w:val="Normal"/>
    <w:link w:val="HeaderChar"/>
    <w:uiPriority w:val="99"/>
    <w:semiHidden/>
    <w:unhideWhenUsed/>
    <w:rsid w:val="000D2244"/>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0D2244"/>
  </w:style>
  <w:style w:type="paragraph" w:styleId="Footer">
    <w:name w:val="footer"/>
    <w:basedOn w:val="Normal"/>
    <w:link w:val="FooterChar"/>
    <w:uiPriority w:val="99"/>
    <w:semiHidden/>
    <w:unhideWhenUsed/>
    <w:rsid w:val="000D2244"/>
    <w:pPr>
      <w:tabs>
        <w:tab w:val="center" w:pos="4680"/>
        <w:tab w:val="right" w:pos="9360"/>
      </w:tabs>
      <w:spacing w:after="0" w:line="240" w:lineRule="auto"/>
    </w:pPr>
  </w:style>
  <w:style w:type="character" w:styleId="FooterChar" w:customStyle="1">
    <w:name w:val="Footer Char"/>
    <w:basedOn w:val="DefaultParagraphFont"/>
    <w:link w:val="Footer"/>
    <w:uiPriority w:val="99"/>
    <w:semiHidden/>
    <w:rsid w:val="000D2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656226">
      <w:bodyDiv w:val="1"/>
      <w:marLeft w:val="0"/>
      <w:marRight w:val="0"/>
      <w:marTop w:val="0"/>
      <w:marBottom w:val="0"/>
      <w:divBdr>
        <w:top w:val="none" w:sz="0" w:space="0" w:color="auto"/>
        <w:left w:val="none" w:sz="0" w:space="0" w:color="auto"/>
        <w:bottom w:val="none" w:sz="0" w:space="0" w:color="auto"/>
        <w:right w:val="none" w:sz="0" w:space="0" w:color="auto"/>
      </w:divBdr>
    </w:div>
    <w:div w:id="401413429">
      <w:bodyDiv w:val="1"/>
      <w:marLeft w:val="0"/>
      <w:marRight w:val="0"/>
      <w:marTop w:val="0"/>
      <w:marBottom w:val="0"/>
      <w:divBdr>
        <w:top w:val="none" w:sz="0" w:space="0" w:color="auto"/>
        <w:left w:val="none" w:sz="0" w:space="0" w:color="auto"/>
        <w:bottom w:val="none" w:sz="0" w:space="0" w:color="auto"/>
        <w:right w:val="none" w:sz="0" w:space="0" w:color="auto"/>
      </w:divBdr>
    </w:div>
    <w:div w:id="699822500">
      <w:bodyDiv w:val="1"/>
      <w:marLeft w:val="0"/>
      <w:marRight w:val="0"/>
      <w:marTop w:val="0"/>
      <w:marBottom w:val="0"/>
      <w:divBdr>
        <w:top w:val="none" w:sz="0" w:space="0" w:color="auto"/>
        <w:left w:val="none" w:sz="0" w:space="0" w:color="auto"/>
        <w:bottom w:val="none" w:sz="0" w:space="0" w:color="auto"/>
        <w:right w:val="none" w:sz="0" w:space="0" w:color="auto"/>
      </w:divBdr>
    </w:div>
    <w:div w:id="727270126">
      <w:bodyDiv w:val="1"/>
      <w:marLeft w:val="0"/>
      <w:marRight w:val="0"/>
      <w:marTop w:val="0"/>
      <w:marBottom w:val="0"/>
      <w:divBdr>
        <w:top w:val="none" w:sz="0" w:space="0" w:color="auto"/>
        <w:left w:val="none" w:sz="0" w:space="0" w:color="auto"/>
        <w:bottom w:val="none" w:sz="0" w:space="0" w:color="auto"/>
        <w:right w:val="none" w:sz="0" w:space="0" w:color="auto"/>
      </w:divBdr>
    </w:div>
    <w:div w:id="752705186">
      <w:bodyDiv w:val="1"/>
      <w:marLeft w:val="0"/>
      <w:marRight w:val="0"/>
      <w:marTop w:val="0"/>
      <w:marBottom w:val="0"/>
      <w:divBdr>
        <w:top w:val="none" w:sz="0" w:space="0" w:color="auto"/>
        <w:left w:val="none" w:sz="0" w:space="0" w:color="auto"/>
        <w:bottom w:val="none" w:sz="0" w:space="0" w:color="auto"/>
        <w:right w:val="none" w:sz="0" w:space="0" w:color="auto"/>
      </w:divBdr>
    </w:div>
    <w:div w:id="834608285">
      <w:bodyDiv w:val="1"/>
      <w:marLeft w:val="0"/>
      <w:marRight w:val="0"/>
      <w:marTop w:val="0"/>
      <w:marBottom w:val="0"/>
      <w:divBdr>
        <w:top w:val="none" w:sz="0" w:space="0" w:color="auto"/>
        <w:left w:val="none" w:sz="0" w:space="0" w:color="auto"/>
        <w:bottom w:val="none" w:sz="0" w:space="0" w:color="auto"/>
        <w:right w:val="none" w:sz="0" w:space="0" w:color="auto"/>
      </w:divBdr>
    </w:div>
    <w:div w:id="836652469">
      <w:bodyDiv w:val="1"/>
      <w:marLeft w:val="0"/>
      <w:marRight w:val="0"/>
      <w:marTop w:val="0"/>
      <w:marBottom w:val="0"/>
      <w:divBdr>
        <w:top w:val="none" w:sz="0" w:space="0" w:color="auto"/>
        <w:left w:val="none" w:sz="0" w:space="0" w:color="auto"/>
        <w:bottom w:val="none" w:sz="0" w:space="0" w:color="auto"/>
        <w:right w:val="none" w:sz="0" w:space="0" w:color="auto"/>
      </w:divBdr>
    </w:div>
    <w:div w:id="893663326">
      <w:bodyDiv w:val="1"/>
      <w:marLeft w:val="0"/>
      <w:marRight w:val="0"/>
      <w:marTop w:val="0"/>
      <w:marBottom w:val="0"/>
      <w:divBdr>
        <w:top w:val="none" w:sz="0" w:space="0" w:color="auto"/>
        <w:left w:val="none" w:sz="0" w:space="0" w:color="auto"/>
        <w:bottom w:val="none" w:sz="0" w:space="0" w:color="auto"/>
        <w:right w:val="none" w:sz="0" w:space="0" w:color="auto"/>
      </w:divBdr>
    </w:div>
    <w:div w:id="1018385426">
      <w:bodyDiv w:val="1"/>
      <w:marLeft w:val="0"/>
      <w:marRight w:val="0"/>
      <w:marTop w:val="0"/>
      <w:marBottom w:val="0"/>
      <w:divBdr>
        <w:top w:val="none" w:sz="0" w:space="0" w:color="auto"/>
        <w:left w:val="none" w:sz="0" w:space="0" w:color="auto"/>
        <w:bottom w:val="none" w:sz="0" w:space="0" w:color="auto"/>
        <w:right w:val="none" w:sz="0" w:space="0" w:color="auto"/>
      </w:divBdr>
    </w:div>
    <w:div w:id="1121656628">
      <w:bodyDiv w:val="1"/>
      <w:marLeft w:val="0"/>
      <w:marRight w:val="0"/>
      <w:marTop w:val="0"/>
      <w:marBottom w:val="0"/>
      <w:divBdr>
        <w:top w:val="none" w:sz="0" w:space="0" w:color="auto"/>
        <w:left w:val="none" w:sz="0" w:space="0" w:color="auto"/>
        <w:bottom w:val="none" w:sz="0" w:space="0" w:color="auto"/>
        <w:right w:val="none" w:sz="0" w:space="0" w:color="auto"/>
      </w:divBdr>
    </w:div>
    <w:div w:id="1253783172">
      <w:bodyDiv w:val="1"/>
      <w:marLeft w:val="0"/>
      <w:marRight w:val="0"/>
      <w:marTop w:val="0"/>
      <w:marBottom w:val="0"/>
      <w:divBdr>
        <w:top w:val="none" w:sz="0" w:space="0" w:color="auto"/>
        <w:left w:val="none" w:sz="0" w:space="0" w:color="auto"/>
        <w:bottom w:val="none" w:sz="0" w:space="0" w:color="auto"/>
        <w:right w:val="none" w:sz="0" w:space="0" w:color="auto"/>
      </w:divBdr>
    </w:div>
    <w:div w:id="1361855246">
      <w:bodyDiv w:val="1"/>
      <w:marLeft w:val="0"/>
      <w:marRight w:val="0"/>
      <w:marTop w:val="0"/>
      <w:marBottom w:val="0"/>
      <w:divBdr>
        <w:top w:val="none" w:sz="0" w:space="0" w:color="auto"/>
        <w:left w:val="none" w:sz="0" w:space="0" w:color="auto"/>
        <w:bottom w:val="none" w:sz="0" w:space="0" w:color="auto"/>
        <w:right w:val="none" w:sz="0" w:space="0" w:color="auto"/>
      </w:divBdr>
    </w:div>
    <w:div w:id="1390155896">
      <w:bodyDiv w:val="1"/>
      <w:marLeft w:val="0"/>
      <w:marRight w:val="0"/>
      <w:marTop w:val="0"/>
      <w:marBottom w:val="0"/>
      <w:divBdr>
        <w:top w:val="none" w:sz="0" w:space="0" w:color="auto"/>
        <w:left w:val="none" w:sz="0" w:space="0" w:color="auto"/>
        <w:bottom w:val="none" w:sz="0" w:space="0" w:color="auto"/>
        <w:right w:val="none" w:sz="0" w:space="0" w:color="auto"/>
      </w:divBdr>
    </w:div>
    <w:div w:id="1471706555">
      <w:bodyDiv w:val="1"/>
      <w:marLeft w:val="0"/>
      <w:marRight w:val="0"/>
      <w:marTop w:val="0"/>
      <w:marBottom w:val="0"/>
      <w:divBdr>
        <w:top w:val="none" w:sz="0" w:space="0" w:color="auto"/>
        <w:left w:val="none" w:sz="0" w:space="0" w:color="auto"/>
        <w:bottom w:val="none" w:sz="0" w:space="0" w:color="auto"/>
        <w:right w:val="none" w:sz="0" w:space="0" w:color="auto"/>
      </w:divBdr>
    </w:div>
    <w:div w:id="1715737339">
      <w:bodyDiv w:val="1"/>
      <w:marLeft w:val="0"/>
      <w:marRight w:val="0"/>
      <w:marTop w:val="0"/>
      <w:marBottom w:val="0"/>
      <w:divBdr>
        <w:top w:val="none" w:sz="0" w:space="0" w:color="auto"/>
        <w:left w:val="none" w:sz="0" w:space="0" w:color="auto"/>
        <w:bottom w:val="none" w:sz="0" w:space="0" w:color="auto"/>
        <w:right w:val="none" w:sz="0" w:space="0" w:color="auto"/>
      </w:divBdr>
    </w:div>
    <w:div w:id="1759213621">
      <w:bodyDiv w:val="1"/>
      <w:marLeft w:val="0"/>
      <w:marRight w:val="0"/>
      <w:marTop w:val="0"/>
      <w:marBottom w:val="0"/>
      <w:divBdr>
        <w:top w:val="none" w:sz="0" w:space="0" w:color="auto"/>
        <w:left w:val="none" w:sz="0" w:space="0" w:color="auto"/>
        <w:bottom w:val="none" w:sz="0" w:space="0" w:color="auto"/>
        <w:right w:val="none" w:sz="0" w:space="0" w:color="auto"/>
      </w:divBdr>
    </w:div>
    <w:div w:id="1836190838">
      <w:bodyDiv w:val="1"/>
      <w:marLeft w:val="0"/>
      <w:marRight w:val="0"/>
      <w:marTop w:val="0"/>
      <w:marBottom w:val="0"/>
      <w:divBdr>
        <w:top w:val="none" w:sz="0" w:space="0" w:color="auto"/>
        <w:left w:val="none" w:sz="0" w:space="0" w:color="auto"/>
        <w:bottom w:val="none" w:sz="0" w:space="0" w:color="auto"/>
        <w:right w:val="none" w:sz="0" w:space="0" w:color="auto"/>
      </w:divBdr>
    </w:div>
    <w:div w:id="1883519176">
      <w:bodyDiv w:val="1"/>
      <w:marLeft w:val="0"/>
      <w:marRight w:val="0"/>
      <w:marTop w:val="0"/>
      <w:marBottom w:val="0"/>
      <w:divBdr>
        <w:top w:val="none" w:sz="0" w:space="0" w:color="auto"/>
        <w:left w:val="none" w:sz="0" w:space="0" w:color="auto"/>
        <w:bottom w:val="none" w:sz="0" w:space="0" w:color="auto"/>
        <w:right w:val="none" w:sz="0" w:space="0" w:color="auto"/>
      </w:divBdr>
    </w:div>
    <w:div w:id="1931354947">
      <w:bodyDiv w:val="1"/>
      <w:marLeft w:val="0"/>
      <w:marRight w:val="0"/>
      <w:marTop w:val="0"/>
      <w:marBottom w:val="0"/>
      <w:divBdr>
        <w:top w:val="none" w:sz="0" w:space="0" w:color="auto"/>
        <w:left w:val="none" w:sz="0" w:space="0" w:color="auto"/>
        <w:bottom w:val="none" w:sz="0" w:space="0" w:color="auto"/>
        <w:right w:val="none" w:sz="0" w:space="0" w:color="auto"/>
      </w:divBdr>
    </w:div>
    <w:div w:id="1941798091">
      <w:bodyDiv w:val="1"/>
      <w:marLeft w:val="0"/>
      <w:marRight w:val="0"/>
      <w:marTop w:val="0"/>
      <w:marBottom w:val="0"/>
      <w:divBdr>
        <w:top w:val="none" w:sz="0" w:space="0" w:color="auto"/>
        <w:left w:val="none" w:sz="0" w:space="0" w:color="auto"/>
        <w:bottom w:val="none" w:sz="0" w:space="0" w:color="auto"/>
        <w:right w:val="none" w:sz="0" w:space="0" w:color="auto"/>
      </w:divBdr>
    </w:div>
    <w:div w:id="211886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emf"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customXml" Target="../customXml/item6.xml" Id="rId21" /><Relationship Type="http://schemas.openxmlformats.org/officeDocument/2006/relationships/settings" Target="settings.xml" Id="rId7" /><Relationship Type="http://schemas.openxmlformats.org/officeDocument/2006/relationships/image" Target="media/image2.emf" Id="rId12" /><Relationship Type="http://schemas.openxmlformats.org/officeDocument/2006/relationships/customXml" Target="../customXml/item2.xml" Id="rId2" /><Relationship Type="http://schemas.openxmlformats.org/officeDocument/2006/relationships/image" Target="media/image6.png" Id="rId16" /><Relationship Type="http://schemas.openxmlformats.org/officeDocument/2006/relationships/customXml" Target="../customXml/item5.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image" Target="media/image5.emf"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emf" Id="rId14" /><Relationship Type="http://schemas.openxmlformats.org/officeDocument/2006/relationships/customXml" Target="../customXml/item7.xml" Id="rId22" /><Relationship Type="http://schemas.openxmlformats.org/officeDocument/2006/relationships/image" Target="/media/image2.jpg" Id="R0e25641da99049c2"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50</Value>
      <Value>27</Value>
      <Value>24</Value>
      <Value>245</Value>
      <Value>1</Value>
      <Value>51</Value>
    </TaxCatchAll>
    <Operation_x0020_Type xmlns="cdc7663a-08f0-4737-9e8c-148ce897a09c" xsi:nil="true"/>
    <Package_x0020_Code xmlns="cdc7663a-08f0-4737-9e8c-148ce897a09c" xsi:nil="true"/>
    <Identifier xmlns="cdc7663a-08f0-4737-9e8c-148ce897a09c">EEO</Identifier>
    <Project_x0020_Number xmlns="cdc7663a-08f0-4737-9e8c-148ce897a09c">ES-L1138;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EZSHARE-780044944-41</_dlc_DocId>
    <_dlc_DocIdUrl xmlns="cdc7663a-08f0-4737-9e8c-148ce897a09c">
      <Url>https://idbg.sharepoint.com/teams/EZ-ES-LON/ES-L1138/_layouts/15/DocIdRedir.aspx?ID=EZSHARE-780044944-41</Url>
      <Description>EZSHARE-780044944-41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14E89286345F4BA26AFD550E3F34D7" ma:contentTypeVersion="222" ma:contentTypeDescription="A content type to manage public (operations) IDB documents" ma:contentTypeScope="" ma:versionID="eea864a517a8a7e9c5c9d40b8964014d">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247A607-3A60-43A5-81C8-9B1DA18C734E}">
  <ds:schemaRefs>
    <ds:schemaRef ds:uri="http://schemas.microsoft.com/sharepoint/v3/contenttype/forms"/>
  </ds:schemaRefs>
</ds:datastoreItem>
</file>

<file path=customXml/itemProps2.xml><?xml version="1.0" encoding="utf-8"?>
<ds:datastoreItem xmlns:ds="http://schemas.openxmlformats.org/officeDocument/2006/customXml" ds:itemID="{5027473B-D385-4811-B885-82204B9F2345}">
  <ds:schemaRefs>
    <ds:schemaRef ds:uri="00a23cd6-e6f6-4b48-b378-fe6b5d322c5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6aabb3d-2200-4d75-8f41-4312ac664642"/>
    <ds:schemaRef ds:uri="http://www.w3.org/XML/1998/namespace"/>
    <ds:schemaRef ds:uri="http://purl.org/dc/dcmitype/"/>
  </ds:schemaRefs>
</ds:datastoreItem>
</file>

<file path=customXml/itemProps3.xml><?xml version="1.0" encoding="utf-8"?>
<ds:datastoreItem xmlns:ds="http://schemas.openxmlformats.org/officeDocument/2006/customXml" ds:itemID="{A90471EE-2AED-44D9-B792-EE365DBA14AA}"/>
</file>

<file path=customXml/itemProps4.xml><?xml version="1.0" encoding="utf-8"?>
<ds:datastoreItem xmlns:ds="http://schemas.openxmlformats.org/officeDocument/2006/customXml" ds:itemID="{F57620DD-BF16-406C-BBB5-13B699DE42C1}">
  <ds:schemaRefs>
    <ds:schemaRef ds:uri="http://schemas.openxmlformats.org/officeDocument/2006/bibliography"/>
  </ds:schemaRefs>
</ds:datastoreItem>
</file>

<file path=customXml/itemProps5.xml><?xml version="1.0" encoding="utf-8"?>
<ds:datastoreItem xmlns:ds="http://schemas.openxmlformats.org/officeDocument/2006/customXml" ds:itemID="{B2355E24-7DA2-4BD7-99EC-19A6A6A943F1}"/>
</file>

<file path=customXml/itemProps6.xml><?xml version="1.0" encoding="utf-8"?>
<ds:datastoreItem xmlns:ds="http://schemas.openxmlformats.org/officeDocument/2006/customXml" ds:itemID="{5A4B1528-2550-4CE3-983E-A21D84B78F62}"/>
</file>

<file path=customXml/itemProps7.xml><?xml version="1.0" encoding="utf-8"?>
<ds:datastoreItem xmlns:ds="http://schemas.openxmlformats.org/officeDocument/2006/customXml" ds:itemID="{EB60B841-BD44-4985-82A5-09A4251E7CB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Josue Ventura Hernandez</dc:creator>
  <cp:keywords>Enlace Opcional para QRR</cp:keywords>
  <dc:description/>
  <cp:lastModifiedBy>Lozano Miranda, Ana Lucia</cp:lastModifiedBy>
  <cp:revision>3</cp:revision>
  <dcterms:created xsi:type="dcterms:W3CDTF">2020-04-27T14:07:00Z</dcterms:created>
  <dcterms:modified xsi:type="dcterms:W3CDTF">2020-05-01T00:41:04Z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245;#Enlace Opcional para QRR|98ae3553-aa2e-4f47-8e27-fa90b53996a6</vt:lpwstr>
  </property>
  <property fmtid="{D5CDD505-2E9C-101B-9397-08002B2CF9AE}" pid="4" name="TaxKeywordTaxHTField">
    <vt:lpwstr>Enlace Opcional para QRR|98ae3553-aa2e-4f47-8e27-fa90b53996a6</vt:lpwstr>
  </property>
  <property fmtid="{D5CDD505-2E9C-101B-9397-08002B2CF9AE}" pid="5" name="Series Operations IDB">
    <vt:lpwstr/>
  </property>
  <property fmtid="{D5CDD505-2E9C-101B-9397-08002B2CF9AE}" pid="6" name="Sub-Sector">
    <vt:lpwstr>51;#BANKING MARKET DEVELOPMENT|5f08329b-f2bb-4342-ba75-eb4216b403d4</vt:lpwstr>
  </property>
  <property fmtid="{D5CDD505-2E9C-101B-9397-08002B2CF9AE}" pid="7" name="Fund IDB">
    <vt:lpwstr>27;#ORC|c028a4b2-ad8b-4cf4-9cac-a2ae6a778e23</vt:lpwstr>
  </property>
  <property fmtid="{D5CDD505-2E9C-101B-9397-08002B2CF9AE}" pid="8" name="Country">
    <vt:lpwstr>24;#El Salvador|057b77a9-2761-48a1-b9dc-78a115c002df</vt:lpwstr>
  </property>
  <property fmtid="{D5CDD505-2E9C-101B-9397-08002B2CF9AE}" pid="9" name="Sector IDB">
    <vt:lpwstr>50;#FINANCIAL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7c10df07-ce9e-4a5a-8312-bc727a098b68</vt:lpwstr>
  </property>
  <property fmtid="{D5CDD505-2E9C-101B-9397-08002B2CF9AE}" pid="12" name="ContentTypeId">
    <vt:lpwstr>0x0101001A458A224826124E8B45B1D613300CFC00BC14E89286345F4BA26AFD550E3F34D7</vt:lpwstr>
  </property>
</Properties>
</file>