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3AE42" w14:textId="77777777" w:rsidR="0074202D" w:rsidRDefault="00E158CC" w:rsidP="00E158CC">
      <w:pPr>
        <w:pStyle w:val="Paragraph"/>
        <w:numPr>
          <w:ilvl w:val="0"/>
          <w:numId w:val="0"/>
        </w:numPr>
        <w:tabs>
          <w:tab w:val="left" w:pos="-1260"/>
          <w:tab w:val="left" w:pos="180"/>
        </w:tabs>
        <w:jc w:val="center"/>
        <w:rPr>
          <w:rFonts w:ascii="Arial" w:hAnsi="Arial" w:cs="Arial"/>
          <w:b/>
          <w:bCs/>
          <w:sz w:val="22"/>
          <w:szCs w:val="22"/>
          <w:lang w:val="es-419"/>
        </w:rPr>
      </w:pPr>
      <w:r w:rsidRPr="00E158CC">
        <w:rPr>
          <w:rFonts w:ascii="Arial" w:hAnsi="Arial" w:cs="Arial"/>
          <w:b/>
          <w:bCs/>
          <w:sz w:val="22"/>
          <w:szCs w:val="22"/>
          <w:lang w:val="es-419"/>
        </w:rPr>
        <w:t xml:space="preserve">BANDESAL </w:t>
      </w:r>
    </w:p>
    <w:p w14:paraId="1393D143" w14:textId="2ED3006A" w:rsidR="00EE4B4E" w:rsidRDefault="00E158CC" w:rsidP="00E158CC">
      <w:pPr>
        <w:pStyle w:val="Paragraph"/>
        <w:numPr>
          <w:ilvl w:val="0"/>
          <w:numId w:val="0"/>
        </w:numPr>
        <w:tabs>
          <w:tab w:val="left" w:pos="-1260"/>
          <w:tab w:val="left" w:pos="180"/>
        </w:tabs>
        <w:jc w:val="center"/>
        <w:rPr>
          <w:rFonts w:ascii="Arial" w:hAnsi="Arial" w:cs="Arial"/>
          <w:b/>
          <w:bCs/>
          <w:sz w:val="22"/>
          <w:szCs w:val="22"/>
          <w:lang w:val="es-419"/>
        </w:rPr>
      </w:pPr>
      <w:r w:rsidRPr="00E158CC">
        <w:rPr>
          <w:rFonts w:ascii="Arial" w:hAnsi="Arial" w:cs="Arial"/>
          <w:b/>
          <w:bCs/>
          <w:sz w:val="22"/>
          <w:szCs w:val="22"/>
          <w:lang w:val="es-419"/>
        </w:rPr>
        <w:t>COOPERACIONES T</w:t>
      </w:r>
      <w:r w:rsidR="00B95E73">
        <w:rPr>
          <w:rFonts w:ascii="Arial" w:hAnsi="Arial" w:cs="Arial"/>
          <w:b/>
          <w:bCs/>
          <w:sz w:val="22"/>
          <w:szCs w:val="22"/>
          <w:lang w:val="es-419"/>
        </w:rPr>
        <w:t>É</w:t>
      </w:r>
      <w:r w:rsidRPr="00E158CC">
        <w:rPr>
          <w:rFonts w:ascii="Arial" w:hAnsi="Arial" w:cs="Arial"/>
          <w:b/>
          <w:bCs/>
          <w:sz w:val="22"/>
          <w:szCs w:val="22"/>
          <w:lang w:val="es-419"/>
        </w:rPr>
        <w:t>CNICAS</w:t>
      </w:r>
      <w:r w:rsidR="0074202D">
        <w:rPr>
          <w:rFonts w:ascii="Arial" w:hAnsi="Arial" w:cs="Arial"/>
          <w:b/>
          <w:bCs/>
          <w:sz w:val="22"/>
          <w:szCs w:val="22"/>
          <w:lang w:val="es-419"/>
        </w:rPr>
        <w:t xml:space="preserve"> Y</w:t>
      </w:r>
    </w:p>
    <w:p w14:paraId="7D07CDFD" w14:textId="18FEDA3C" w:rsidR="00B2060A" w:rsidRPr="00E158CC" w:rsidRDefault="0020650F" w:rsidP="00E158CC">
      <w:pPr>
        <w:pStyle w:val="Paragraph"/>
        <w:numPr>
          <w:ilvl w:val="0"/>
          <w:numId w:val="0"/>
        </w:numPr>
        <w:tabs>
          <w:tab w:val="left" w:pos="-1260"/>
          <w:tab w:val="left" w:pos="180"/>
        </w:tabs>
        <w:jc w:val="center"/>
        <w:rPr>
          <w:rFonts w:ascii="Arial" w:hAnsi="Arial" w:cs="Arial"/>
          <w:b/>
          <w:bCs/>
          <w:sz w:val="22"/>
          <w:szCs w:val="22"/>
          <w:lang w:val="es-419"/>
        </w:rPr>
      </w:pPr>
      <w:r>
        <w:rPr>
          <w:rFonts w:ascii="Arial" w:hAnsi="Arial" w:cs="Arial"/>
          <w:b/>
          <w:bCs/>
          <w:sz w:val="22"/>
          <w:szCs w:val="22"/>
          <w:lang w:val="es-419"/>
        </w:rPr>
        <w:t>ACTIVIDADES PARA MONITOREO Y EVALUACI</w:t>
      </w:r>
      <w:r w:rsidR="00B95E73">
        <w:rPr>
          <w:rFonts w:ascii="Arial" w:hAnsi="Arial" w:cs="Arial"/>
          <w:b/>
          <w:bCs/>
          <w:sz w:val="22"/>
          <w:szCs w:val="22"/>
          <w:lang w:val="es-419"/>
        </w:rPr>
        <w:t>Ó</w:t>
      </w:r>
      <w:r>
        <w:rPr>
          <w:rFonts w:ascii="Arial" w:hAnsi="Arial" w:cs="Arial"/>
          <w:b/>
          <w:bCs/>
          <w:sz w:val="22"/>
          <w:szCs w:val="22"/>
          <w:lang w:val="es-419"/>
        </w:rPr>
        <w:t xml:space="preserve">N </w:t>
      </w:r>
    </w:p>
    <w:tbl>
      <w:tblPr>
        <w:tblStyle w:val="TableGrid"/>
        <w:tblW w:w="5000" w:type="pct"/>
        <w:tblLook w:val="04A0" w:firstRow="1" w:lastRow="0" w:firstColumn="1" w:lastColumn="0" w:noHBand="0" w:noVBand="1"/>
      </w:tblPr>
      <w:tblGrid>
        <w:gridCol w:w="981"/>
        <w:gridCol w:w="1707"/>
        <w:gridCol w:w="2167"/>
        <w:gridCol w:w="5025"/>
        <w:gridCol w:w="1460"/>
        <w:gridCol w:w="1528"/>
        <w:gridCol w:w="1522"/>
      </w:tblGrid>
      <w:tr w:rsidR="00D13A21" w:rsidRPr="00DE1294" w14:paraId="795F3658" w14:textId="08046EA7" w:rsidTr="008E326E">
        <w:trPr>
          <w:tblHeader/>
        </w:trPr>
        <w:tc>
          <w:tcPr>
            <w:tcW w:w="341" w:type="pct"/>
            <w:shd w:val="clear" w:color="auto" w:fill="D9D9D9" w:themeFill="background1" w:themeFillShade="D9"/>
            <w:vAlign w:val="center"/>
          </w:tcPr>
          <w:p w14:paraId="4339AA57" w14:textId="45846DA9" w:rsidR="009D34EC" w:rsidRPr="00D13A21" w:rsidRDefault="009D34EC" w:rsidP="00DE1294">
            <w:pPr>
              <w:pStyle w:val="Paragraph"/>
              <w:numPr>
                <w:ilvl w:val="0"/>
                <w:numId w:val="0"/>
              </w:numPr>
              <w:tabs>
                <w:tab w:val="left" w:pos="-1260"/>
                <w:tab w:val="left" w:pos="180"/>
              </w:tabs>
              <w:jc w:val="center"/>
              <w:rPr>
                <w:rFonts w:ascii="Arial" w:hAnsi="Arial" w:cs="Arial"/>
                <w:b/>
                <w:bCs/>
                <w:smallCaps/>
                <w:sz w:val="16"/>
                <w:szCs w:val="16"/>
                <w:lang w:val="es-419"/>
              </w:rPr>
            </w:pPr>
            <w:r w:rsidRPr="00D13A21">
              <w:rPr>
                <w:rFonts w:ascii="Arial" w:hAnsi="Arial" w:cs="Arial"/>
                <w:b/>
                <w:bCs/>
                <w:smallCaps/>
                <w:sz w:val="16"/>
                <w:szCs w:val="16"/>
                <w:lang w:val="es-419"/>
              </w:rPr>
              <w:t>Código SAP</w:t>
            </w:r>
          </w:p>
        </w:tc>
        <w:tc>
          <w:tcPr>
            <w:tcW w:w="593" w:type="pct"/>
            <w:shd w:val="clear" w:color="auto" w:fill="D9D9D9" w:themeFill="background1" w:themeFillShade="D9"/>
            <w:vAlign w:val="center"/>
          </w:tcPr>
          <w:p w14:paraId="27E085BC" w14:textId="4E8AC3AD" w:rsidR="009D34EC" w:rsidRPr="00D13A21" w:rsidRDefault="009D34EC" w:rsidP="00DE1294">
            <w:pPr>
              <w:pStyle w:val="Paragraph"/>
              <w:numPr>
                <w:ilvl w:val="0"/>
                <w:numId w:val="0"/>
              </w:numPr>
              <w:tabs>
                <w:tab w:val="left" w:pos="-1260"/>
                <w:tab w:val="left" w:pos="180"/>
              </w:tabs>
              <w:jc w:val="center"/>
              <w:rPr>
                <w:rFonts w:ascii="Arial" w:hAnsi="Arial" w:cs="Arial"/>
                <w:b/>
                <w:bCs/>
                <w:smallCaps/>
                <w:sz w:val="16"/>
                <w:szCs w:val="16"/>
                <w:lang w:val="es-419"/>
              </w:rPr>
            </w:pPr>
            <w:r w:rsidRPr="00D13A21">
              <w:rPr>
                <w:rFonts w:ascii="Arial" w:hAnsi="Arial" w:cs="Arial"/>
                <w:b/>
                <w:bCs/>
                <w:smallCaps/>
                <w:sz w:val="16"/>
                <w:szCs w:val="16"/>
                <w:lang w:val="es-419"/>
              </w:rPr>
              <w:t>Número aprobación</w:t>
            </w:r>
          </w:p>
        </w:tc>
        <w:tc>
          <w:tcPr>
            <w:tcW w:w="753" w:type="pct"/>
            <w:shd w:val="clear" w:color="auto" w:fill="D9D9D9" w:themeFill="background1" w:themeFillShade="D9"/>
            <w:vAlign w:val="center"/>
          </w:tcPr>
          <w:p w14:paraId="614635A5" w14:textId="5B6E450B" w:rsidR="009D34EC" w:rsidRPr="00D13A21" w:rsidRDefault="009D34EC" w:rsidP="00DE1294">
            <w:pPr>
              <w:pStyle w:val="Paragraph"/>
              <w:numPr>
                <w:ilvl w:val="0"/>
                <w:numId w:val="0"/>
              </w:numPr>
              <w:tabs>
                <w:tab w:val="left" w:pos="-1260"/>
                <w:tab w:val="left" w:pos="180"/>
              </w:tabs>
              <w:jc w:val="center"/>
              <w:rPr>
                <w:rFonts w:ascii="Arial" w:hAnsi="Arial" w:cs="Arial"/>
                <w:b/>
                <w:bCs/>
                <w:smallCaps/>
                <w:sz w:val="16"/>
                <w:szCs w:val="16"/>
                <w:lang w:val="es-419"/>
              </w:rPr>
            </w:pPr>
            <w:r w:rsidRPr="00D13A21">
              <w:rPr>
                <w:rFonts w:ascii="Arial" w:hAnsi="Arial" w:cs="Arial"/>
                <w:b/>
                <w:bCs/>
                <w:smallCaps/>
                <w:sz w:val="16"/>
                <w:szCs w:val="16"/>
                <w:lang w:val="es-419"/>
              </w:rPr>
              <w:t>Nombre</w:t>
            </w:r>
          </w:p>
        </w:tc>
        <w:tc>
          <w:tcPr>
            <w:tcW w:w="1746" w:type="pct"/>
            <w:shd w:val="clear" w:color="auto" w:fill="D9D9D9" w:themeFill="background1" w:themeFillShade="D9"/>
            <w:vAlign w:val="center"/>
          </w:tcPr>
          <w:p w14:paraId="1B8F6833" w14:textId="07FC2D55" w:rsidR="009D34EC" w:rsidRPr="00D13A21" w:rsidRDefault="002A2090" w:rsidP="009D34EC">
            <w:pPr>
              <w:pStyle w:val="Paragraph"/>
              <w:numPr>
                <w:ilvl w:val="0"/>
                <w:numId w:val="0"/>
              </w:numPr>
              <w:tabs>
                <w:tab w:val="left" w:pos="-1260"/>
                <w:tab w:val="left" w:pos="180"/>
              </w:tabs>
              <w:jc w:val="center"/>
              <w:rPr>
                <w:rFonts w:ascii="Arial" w:hAnsi="Arial" w:cs="Arial"/>
                <w:b/>
                <w:bCs/>
                <w:smallCaps/>
                <w:sz w:val="16"/>
                <w:szCs w:val="16"/>
                <w:lang w:val="es-419"/>
              </w:rPr>
            </w:pPr>
            <w:r w:rsidRPr="00D13A21">
              <w:rPr>
                <w:rFonts w:ascii="Arial" w:hAnsi="Arial" w:cs="Arial"/>
                <w:b/>
                <w:bCs/>
                <w:smallCaps/>
                <w:sz w:val="16"/>
                <w:szCs w:val="16"/>
                <w:lang w:val="es-419"/>
              </w:rPr>
              <w:t>Descripción</w:t>
            </w:r>
          </w:p>
        </w:tc>
        <w:tc>
          <w:tcPr>
            <w:tcW w:w="507" w:type="pct"/>
            <w:shd w:val="clear" w:color="auto" w:fill="D9D9D9" w:themeFill="background1" w:themeFillShade="D9"/>
            <w:vAlign w:val="center"/>
          </w:tcPr>
          <w:p w14:paraId="7B484D9F" w14:textId="618A8EA6" w:rsidR="009D34EC" w:rsidRPr="00D13A21" w:rsidRDefault="009D34EC" w:rsidP="00DE1294">
            <w:pPr>
              <w:pStyle w:val="Paragraph"/>
              <w:numPr>
                <w:ilvl w:val="0"/>
                <w:numId w:val="0"/>
              </w:numPr>
              <w:tabs>
                <w:tab w:val="left" w:pos="-1260"/>
                <w:tab w:val="left" w:pos="180"/>
              </w:tabs>
              <w:jc w:val="center"/>
              <w:rPr>
                <w:rFonts w:ascii="Arial" w:hAnsi="Arial" w:cs="Arial"/>
                <w:b/>
                <w:bCs/>
                <w:smallCaps/>
                <w:sz w:val="16"/>
                <w:szCs w:val="16"/>
                <w:lang w:val="es-419"/>
              </w:rPr>
            </w:pPr>
            <w:r w:rsidRPr="00D13A21">
              <w:rPr>
                <w:rFonts w:ascii="Arial" w:hAnsi="Arial" w:cs="Arial"/>
                <w:b/>
                <w:bCs/>
                <w:smallCaps/>
                <w:sz w:val="16"/>
                <w:szCs w:val="16"/>
                <w:lang w:val="es-419"/>
              </w:rPr>
              <w:t xml:space="preserve">Año aprobación/Año inicio ejecución </w:t>
            </w:r>
          </w:p>
        </w:tc>
        <w:tc>
          <w:tcPr>
            <w:tcW w:w="531" w:type="pct"/>
            <w:shd w:val="clear" w:color="auto" w:fill="D9D9D9" w:themeFill="background1" w:themeFillShade="D9"/>
            <w:vAlign w:val="center"/>
          </w:tcPr>
          <w:p w14:paraId="51BDF41E" w14:textId="5A83545D" w:rsidR="009D34EC" w:rsidRPr="00D13A21" w:rsidRDefault="009D34EC" w:rsidP="00DE1294">
            <w:pPr>
              <w:pStyle w:val="Paragraph"/>
              <w:numPr>
                <w:ilvl w:val="0"/>
                <w:numId w:val="0"/>
              </w:numPr>
              <w:tabs>
                <w:tab w:val="left" w:pos="-1260"/>
                <w:tab w:val="left" w:pos="180"/>
              </w:tabs>
              <w:jc w:val="center"/>
              <w:rPr>
                <w:rFonts w:ascii="Arial" w:hAnsi="Arial" w:cs="Arial"/>
                <w:b/>
                <w:bCs/>
                <w:smallCaps/>
                <w:sz w:val="16"/>
                <w:szCs w:val="16"/>
                <w:lang w:val="es-419"/>
              </w:rPr>
            </w:pPr>
            <w:r w:rsidRPr="00D13A21">
              <w:rPr>
                <w:rFonts w:ascii="Arial" w:hAnsi="Arial" w:cs="Arial"/>
                <w:b/>
                <w:bCs/>
                <w:smallCaps/>
                <w:sz w:val="16"/>
                <w:szCs w:val="16"/>
                <w:lang w:val="es-419"/>
              </w:rPr>
              <w:t>Monto destinado a BANDESAL</w:t>
            </w:r>
          </w:p>
        </w:tc>
        <w:tc>
          <w:tcPr>
            <w:tcW w:w="529" w:type="pct"/>
            <w:shd w:val="clear" w:color="auto" w:fill="D9D9D9" w:themeFill="background1" w:themeFillShade="D9"/>
            <w:vAlign w:val="center"/>
          </w:tcPr>
          <w:p w14:paraId="507557D7" w14:textId="5F48334B" w:rsidR="009D34EC" w:rsidRPr="00D13A21" w:rsidRDefault="009D34EC" w:rsidP="00DE1294">
            <w:pPr>
              <w:pStyle w:val="Paragraph"/>
              <w:numPr>
                <w:ilvl w:val="0"/>
                <w:numId w:val="0"/>
              </w:numPr>
              <w:tabs>
                <w:tab w:val="left" w:pos="-1260"/>
                <w:tab w:val="left" w:pos="180"/>
              </w:tabs>
              <w:jc w:val="center"/>
              <w:rPr>
                <w:rFonts w:ascii="Arial" w:hAnsi="Arial" w:cs="Arial"/>
                <w:b/>
                <w:bCs/>
                <w:smallCaps/>
                <w:sz w:val="16"/>
                <w:szCs w:val="16"/>
                <w:lang w:val="es-419"/>
              </w:rPr>
            </w:pPr>
            <w:r w:rsidRPr="00D13A21">
              <w:rPr>
                <w:rFonts w:ascii="Arial" w:hAnsi="Arial" w:cs="Arial"/>
                <w:b/>
                <w:bCs/>
                <w:smallCaps/>
                <w:sz w:val="16"/>
                <w:szCs w:val="16"/>
                <w:lang w:val="es-419"/>
              </w:rPr>
              <w:t xml:space="preserve">Monto aproximando para Monitoreo y Evaluación </w:t>
            </w:r>
          </w:p>
        </w:tc>
      </w:tr>
      <w:tr w:rsidR="00D13A21" w:rsidRPr="00770408" w14:paraId="7DEBC634" w14:textId="77777777" w:rsidTr="008E326E">
        <w:tc>
          <w:tcPr>
            <w:tcW w:w="341" w:type="pct"/>
            <w:vAlign w:val="center"/>
          </w:tcPr>
          <w:p w14:paraId="744ECBB9" w14:textId="43FDB753" w:rsidR="009D34EC" w:rsidRDefault="009D34EC" w:rsidP="00B95E73">
            <w:pPr>
              <w:pStyle w:val="Paragraph"/>
              <w:numPr>
                <w:ilvl w:val="0"/>
                <w:numId w:val="0"/>
              </w:numPr>
              <w:tabs>
                <w:tab w:val="left" w:pos="-1260"/>
                <w:tab w:val="left" w:pos="180"/>
              </w:tabs>
              <w:jc w:val="center"/>
              <w:rPr>
                <w:rFonts w:ascii="Arial" w:hAnsi="Arial" w:cs="Arial"/>
                <w:sz w:val="16"/>
                <w:szCs w:val="16"/>
                <w:lang w:val="es-419"/>
              </w:rPr>
            </w:pPr>
            <w:r>
              <w:rPr>
                <w:rFonts w:ascii="Arial" w:hAnsi="Arial" w:cs="Arial"/>
                <w:sz w:val="16"/>
                <w:szCs w:val="16"/>
                <w:lang w:val="es-419"/>
              </w:rPr>
              <w:t>RG-X1258</w:t>
            </w:r>
          </w:p>
        </w:tc>
        <w:tc>
          <w:tcPr>
            <w:tcW w:w="593" w:type="pct"/>
            <w:vAlign w:val="center"/>
          </w:tcPr>
          <w:p w14:paraId="0DEA5D70" w14:textId="4FE469E7" w:rsidR="009D34EC" w:rsidRPr="00F53F33" w:rsidRDefault="009D34EC" w:rsidP="00B95E73">
            <w:pPr>
              <w:pStyle w:val="Paragraph"/>
              <w:numPr>
                <w:ilvl w:val="1"/>
                <w:numId w:val="0"/>
              </w:numPr>
              <w:tabs>
                <w:tab w:val="left" w:pos="-1260"/>
                <w:tab w:val="left" w:pos="180"/>
              </w:tabs>
              <w:jc w:val="center"/>
              <w:rPr>
                <w:rFonts w:ascii="Arial" w:hAnsi="Arial" w:cs="Arial"/>
                <w:sz w:val="16"/>
                <w:szCs w:val="16"/>
                <w:lang w:val="es-419"/>
              </w:rPr>
            </w:pPr>
            <w:r w:rsidRPr="47D61C05">
              <w:rPr>
                <w:rFonts w:ascii="Arial" w:hAnsi="Arial" w:cs="Arial"/>
                <w:sz w:val="16"/>
                <w:szCs w:val="16"/>
                <w:lang w:val="es-419"/>
              </w:rPr>
              <w:t>ATN/CF-15453-RG</w:t>
            </w:r>
          </w:p>
        </w:tc>
        <w:tc>
          <w:tcPr>
            <w:tcW w:w="753" w:type="pct"/>
            <w:vAlign w:val="center"/>
          </w:tcPr>
          <w:p w14:paraId="730F5472" w14:textId="0F58DDD6" w:rsidR="009D34EC" w:rsidRPr="00F53F33" w:rsidRDefault="009D34EC" w:rsidP="004138D0">
            <w:pPr>
              <w:pStyle w:val="Paragraph"/>
              <w:numPr>
                <w:ilvl w:val="0"/>
                <w:numId w:val="0"/>
              </w:numPr>
              <w:tabs>
                <w:tab w:val="left" w:pos="-1260"/>
                <w:tab w:val="left" w:pos="180"/>
              </w:tabs>
              <w:spacing w:before="0" w:after="0"/>
              <w:rPr>
                <w:rFonts w:ascii="Arial" w:hAnsi="Arial" w:cs="Arial"/>
                <w:sz w:val="16"/>
                <w:szCs w:val="16"/>
                <w:lang w:val="es-419"/>
              </w:rPr>
            </w:pPr>
            <w:r w:rsidRPr="00F53F33">
              <w:rPr>
                <w:rFonts w:ascii="Arial" w:hAnsi="Arial" w:cs="Arial"/>
                <w:sz w:val="16"/>
                <w:szCs w:val="16"/>
                <w:lang w:val="es-419"/>
              </w:rPr>
              <w:t>Programa regional de ahorros energéticos y mecanismos de gestión de riesgo</w:t>
            </w:r>
          </w:p>
        </w:tc>
        <w:tc>
          <w:tcPr>
            <w:tcW w:w="1746" w:type="pct"/>
            <w:vAlign w:val="center"/>
          </w:tcPr>
          <w:p w14:paraId="28822709" w14:textId="0E777F2D" w:rsidR="009D34EC" w:rsidRPr="00010182" w:rsidRDefault="009E3EF6" w:rsidP="009D34EC">
            <w:pPr>
              <w:pStyle w:val="Paragraph"/>
              <w:numPr>
                <w:ilvl w:val="0"/>
                <w:numId w:val="0"/>
              </w:numPr>
              <w:tabs>
                <w:tab w:val="left" w:pos="-1260"/>
                <w:tab w:val="left" w:pos="180"/>
              </w:tabs>
              <w:rPr>
                <w:rFonts w:ascii="Arial" w:hAnsi="Arial" w:cs="Arial"/>
                <w:sz w:val="16"/>
                <w:szCs w:val="16"/>
                <w:lang w:val="es-419"/>
              </w:rPr>
            </w:pPr>
            <w:r w:rsidRPr="00010182">
              <w:rPr>
                <w:rFonts w:ascii="Arial" w:hAnsi="Arial" w:cs="Arial"/>
                <w:sz w:val="16"/>
                <w:szCs w:val="16"/>
                <w:lang w:val="es-419"/>
              </w:rPr>
              <w:t>La CT procura ampliar las actividades en curso del BID para promover los esfuerzos de los B</w:t>
            </w:r>
            <w:r w:rsidR="00F1660C" w:rsidRPr="00010182">
              <w:rPr>
                <w:rFonts w:ascii="Arial" w:hAnsi="Arial" w:cs="Arial"/>
                <w:sz w:val="16"/>
                <w:szCs w:val="16"/>
                <w:lang w:val="es-419"/>
              </w:rPr>
              <w:t>ancos Nacionales de Desarrollo (BND) en el ámbito de las finanzas con fines</w:t>
            </w:r>
            <w:r w:rsidR="00B81475" w:rsidRPr="00010182">
              <w:rPr>
                <w:rFonts w:ascii="Arial" w:hAnsi="Arial" w:cs="Arial"/>
                <w:sz w:val="16"/>
                <w:szCs w:val="16"/>
                <w:lang w:val="es-419"/>
              </w:rPr>
              <w:t xml:space="preserve"> </w:t>
            </w:r>
            <w:r w:rsidR="00F1660C" w:rsidRPr="00010182">
              <w:rPr>
                <w:rFonts w:ascii="Arial" w:hAnsi="Arial" w:cs="Arial"/>
                <w:sz w:val="16"/>
                <w:szCs w:val="16"/>
                <w:lang w:val="es-419"/>
              </w:rPr>
              <w:t>ecológicos, adoptando en este caso estrategias innovadoras de financiamiento estructurado</w:t>
            </w:r>
            <w:r w:rsidR="00FA40F2" w:rsidRPr="00010182">
              <w:rPr>
                <w:rFonts w:ascii="Arial" w:hAnsi="Arial" w:cs="Arial"/>
                <w:sz w:val="16"/>
                <w:szCs w:val="16"/>
                <w:lang w:val="es-419"/>
              </w:rPr>
              <w:t xml:space="preserve">. Tiene por objeto aumentar las inversiones del sector privado en eficiencia energética </w:t>
            </w:r>
            <w:r w:rsidR="00DB56A9" w:rsidRPr="00010182">
              <w:rPr>
                <w:rFonts w:ascii="Arial" w:hAnsi="Arial" w:cs="Arial"/>
                <w:sz w:val="16"/>
                <w:szCs w:val="16"/>
                <w:lang w:val="es-419"/>
              </w:rPr>
              <w:t>habilitando</w:t>
            </w:r>
            <w:r w:rsidR="00FA40F2" w:rsidRPr="00010182">
              <w:rPr>
                <w:rFonts w:ascii="Arial" w:hAnsi="Arial" w:cs="Arial"/>
                <w:sz w:val="16"/>
                <w:szCs w:val="16"/>
                <w:lang w:val="es-419"/>
              </w:rPr>
              <w:t xml:space="preserve"> a los BND para que coordinen y apoyen la estructuración</w:t>
            </w:r>
            <w:r w:rsidR="00B12DDF" w:rsidRPr="00010182">
              <w:rPr>
                <w:rFonts w:ascii="Arial" w:hAnsi="Arial" w:cs="Arial"/>
                <w:sz w:val="16"/>
                <w:szCs w:val="16"/>
                <w:lang w:val="es-419"/>
              </w:rPr>
              <w:t xml:space="preserve"> de estrategias innovadoras de financiamiento de eficiencia energética en Brasil, El Salvador, Perú, México y Colombia</w:t>
            </w:r>
            <w:r w:rsidR="00DB56A9" w:rsidRPr="00010182">
              <w:rPr>
                <w:rFonts w:ascii="Arial" w:hAnsi="Arial" w:cs="Arial"/>
                <w:sz w:val="16"/>
                <w:szCs w:val="16"/>
                <w:lang w:val="es-419"/>
              </w:rPr>
              <w:t>.</w:t>
            </w:r>
          </w:p>
        </w:tc>
        <w:tc>
          <w:tcPr>
            <w:tcW w:w="507" w:type="pct"/>
            <w:vAlign w:val="center"/>
          </w:tcPr>
          <w:p w14:paraId="2E27938C" w14:textId="2719EC12" w:rsidR="009D34EC" w:rsidRPr="00F53F33" w:rsidRDefault="009D34EC" w:rsidP="00B95E73">
            <w:pPr>
              <w:pStyle w:val="Paragraph"/>
              <w:numPr>
                <w:ilvl w:val="0"/>
                <w:numId w:val="0"/>
              </w:numPr>
              <w:tabs>
                <w:tab w:val="left" w:pos="-1260"/>
                <w:tab w:val="left" w:pos="180"/>
              </w:tabs>
              <w:jc w:val="center"/>
              <w:rPr>
                <w:rFonts w:ascii="Arial" w:hAnsi="Arial" w:cs="Arial"/>
                <w:sz w:val="16"/>
                <w:szCs w:val="16"/>
                <w:lang w:val="es-419"/>
              </w:rPr>
            </w:pPr>
            <w:r w:rsidRPr="00F53F33">
              <w:rPr>
                <w:rFonts w:ascii="Arial" w:hAnsi="Arial" w:cs="Arial"/>
                <w:sz w:val="16"/>
                <w:szCs w:val="16"/>
                <w:lang w:val="es-419"/>
              </w:rPr>
              <w:t>2015/2016</w:t>
            </w:r>
          </w:p>
        </w:tc>
        <w:tc>
          <w:tcPr>
            <w:tcW w:w="531" w:type="pct"/>
            <w:vAlign w:val="center"/>
          </w:tcPr>
          <w:p w14:paraId="3F543EB2" w14:textId="763E9047" w:rsidR="009D34EC" w:rsidRPr="00F53F33" w:rsidRDefault="009D34EC" w:rsidP="00B95E73">
            <w:pPr>
              <w:pStyle w:val="Paragraph"/>
              <w:numPr>
                <w:ilvl w:val="0"/>
                <w:numId w:val="0"/>
              </w:numPr>
              <w:tabs>
                <w:tab w:val="left" w:pos="-1260"/>
                <w:tab w:val="left" w:pos="180"/>
              </w:tabs>
              <w:jc w:val="center"/>
              <w:rPr>
                <w:rFonts w:ascii="Arial" w:hAnsi="Arial" w:cs="Arial"/>
                <w:sz w:val="16"/>
                <w:szCs w:val="16"/>
                <w:lang w:val="es-419"/>
              </w:rPr>
            </w:pPr>
            <w:r w:rsidRPr="00F53F33">
              <w:rPr>
                <w:rFonts w:ascii="Arial" w:hAnsi="Arial" w:cs="Arial"/>
                <w:sz w:val="16"/>
                <w:szCs w:val="16"/>
                <w:lang w:val="es-419"/>
              </w:rPr>
              <w:t>US$350.000</w:t>
            </w:r>
          </w:p>
        </w:tc>
        <w:tc>
          <w:tcPr>
            <w:tcW w:w="529" w:type="pct"/>
            <w:shd w:val="clear" w:color="auto" w:fill="D9D9D9" w:themeFill="background1" w:themeFillShade="D9"/>
            <w:vAlign w:val="center"/>
          </w:tcPr>
          <w:p w14:paraId="1DF60E87" w14:textId="14754818" w:rsidR="009D34EC" w:rsidRDefault="009D34EC" w:rsidP="00B95E73">
            <w:pPr>
              <w:pStyle w:val="Paragraph"/>
              <w:numPr>
                <w:ilvl w:val="0"/>
                <w:numId w:val="0"/>
              </w:numPr>
              <w:tabs>
                <w:tab w:val="left" w:pos="-1260"/>
                <w:tab w:val="left" w:pos="180"/>
              </w:tabs>
              <w:jc w:val="center"/>
              <w:rPr>
                <w:rFonts w:ascii="Arial" w:hAnsi="Arial" w:cs="Arial"/>
                <w:sz w:val="16"/>
                <w:szCs w:val="16"/>
                <w:lang w:val="es-419"/>
              </w:rPr>
            </w:pPr>
            <w:r>
              <w:rPr>
                <w:rFonts w:ascii="Arial" w:hAnsi="Arial" w:cs="Arial"/>
                <w:sz w:val="16"/>
                <w:szCs w:val="16"/>
                <w:lang w:val="es-419"/>
              </w:rPr>
              <w:t>US$50.000</w:t>
            </w:r>
          </w:p>
        </w:tc>
      </w:tr>
      <w:tr w:rsidR="00D13A21" w:rsidRPr="00770408" w14:paraId="1D310F10" w14:textId="77777777" w:rsidTr="008E326E">
        <w:tc>
          <w:tcPr>
            <w:tcW w:w="341" w:type="pct"/>
            <w:vAlign w:val="center"/>
          </w:tcPr>
          <w:p w14:paraId="07F0E232" w14:textId="5B9B1AA3" w:rsidR="009D34EC" w:rsidRPr="00770408" w:rsidRDefault="009D34EC" w:rsidP="00B95E73">
            <w:pPr>
              <w:pStyle w:val="Paragraph"/>
              <w:numPr>
                <w:ilvl w:val="0"/>
                <w:numId w:val="0"/>
              </w:numPr>
              <w:tabs>
                <w:tab w:val="left" w:pos="-1260"/>
                <w:tab w:val="left" w:pos="180"/>
              </w:tabs>
              <w:jc w:val="center"/>
              <w:rPr>
                <w:rFonts w:ascii="Arial" w:hAnsi="Arial" w:cs="Arial"/>
                <w:sz w:val="16"/>
                <w:szCs w:val="16"/>
                <w:lang w:val="es-419"/>
              </w:rPr>
            </w:pPr>
            <w:r w:rsidRPr="00770408">
              <w:rPr>
                <w:rFonts w:ascii="Arial" w:hAnsi="Arial" w:cs="Arial"/>
                <w:sz w:val="16"/>
                <w:szCs w:val="16"/>
                <w:lang w:val="es-419"/>
              </w:rPr>
              <w:t>ES-T1303</w:t>
            </w:r>
          </w:p>
        </w:tc>
        <w:tc>
          <w:tcPr>
            <w:tcW w:w="593" w:type="pct"/>
            <w:vAlign w:val="center"/>
          </w:tcPr>
          <w:p w14:paraId="3F2242A6" w14:textId="6859C2CB" w:rsidR="009D34EC" w:rsidRPr="00770408" w:rsidRDefault="009D34EC" w:rsidP="00B95E73">
            <w:pPr>
              <w:pStyle w:val="Paragraph"/>
              <w:numPr>
                <w:ilvl w:val="1"/>
                <w:numId w:val="0"/>
              </w:numPr>
              <w:tabs>
                <w:tab w:val="left" w:pos="-1260"/>
                <w:tab w:val="left" w:pos="180"/>
              </w:tabs>
              <w:jc w:val="center"/>
              <w:rPr>
                <w:rFonts w:ascii="Arial" w:hAnsi="Arial" w:cs="Arial"/>
                <w:sz w:val="16"/>
                <w:szCs w:val="16"/>
                <w:lang w:val="es-419"/>
              </w:rPr>
            </w:pPr>
            <w:r w:rsidRPr="47D61C05">
              <w:rPr>
                <w:rFonts w:ascii="Arial" w:hAnsi="Arial" w:cs="Arial"/>
                <w:sz w:val="16"/>
                <w:szCs w:val="16"/>
                <w:lang w:val="es-419"/>
              </w:rPr>
              <w:t>ATN/OC-17746-ES</w:t>
            </w:r>
          </w:p>
        </w:tc>
        <w:tc>
          <w:tcPr>
            <w:tcW w:w="753" w:type="pct"/>
            <w:vAlign w:val="center"/>
          </w:tcPr>
          <w:p w14:paraId="2063B3C5" w14:textId="7003E866" w:rsidR="009D34EC" w:rsidRPr="00770408" w:rsidRDefault="009D34EC" w:rsidP="004138D0">
            <w:pPr>
              <w:pStyle w:val="Paragraph"/>
              <w:numPr>
                <w:ilvl w:val="0"/>
                <w:numId w:val="0"/>
              </w:numPr>
              <w:tabs>
                <w:tab w:val="left" w:pos="-1260"/>
                <w:tab w:val="left" w:pos="180"/>
              </w:tabs>
              <w:spacing w:before="0" w:after="0"/>
              <w:rPr>
                <w:rFonts w:ascii="Arial" w:hAnsi="Arial" w:cs="Arial"/>
                <w:color w:val="0C1320"/>
                <w:sz w:val="16"/>
                <w:szCs w:val="16"/>
                <w:shd w:val="clear" w:color="auto" w:fill="FFFFFF"/>
              </w:rPr>
            </w:pPr>
            <w:r w:rsidRPr="00770408">
              <w:rPr>
                <w:rFonts w:ascii="Arial" w:hAnsi="Arial" w:cs="Arial"/>
                <w:color w:val="0C1320"/>
                <w:sz w:val="16"/>
                <w:szCs w:val="16"/>
                <w:shd w:val="clear" w:color="auto" w:fill="FFFFFF"/>
              </w:rPr>
              <w:t>Financiamiento Empresarial Productivo desde el Segundo Piso de BANDESAL</w:t>
            </w:r>
          </w:p>
        </w:tc>
        <w:tc>
          <w:tcPr>
            <w:tcW w:w="1746" w:type="pct"/>
            <w:vAlign w:val="center"/>
          </w:tcPr>
          <w:p w14:paraId="6CDA0DAF" w14:textId="40FA7CA2" w:rsidR="009847A9" w:rsidRPr="00010182" w:rsidRDefault="00815F2D" w:rsidP="009D34EC">
            <w:pPr>
              <w:pStyle w:val="Paragraph"/>
              <w:numPr>
                <w:ilvl w:val="0"/>
                <w:numId w:val="0"/>
              </w:numPr>
              <w:tabs>
                <w:tab w:val="left" w:pos="-1260"/>
                <w:tab w:val="left" w:pos="180"/>
              </w:tabs>
              <w:rPr>
                <w:rFonts w:ascii="Arial" w:hAnsi="Arial" w:cs="Arial"/>
                <w:sz w:val="16"/>
                <w:szCs w:val="16"/>
                <w:lang w:val="es-419"/>
              </w:rPr>
            </w:pPr>
            <w:r w:rsidRPr="00010182">
              <w:rPr>
                <w:rFonts w:ascii="Arial" w:hAnsi="Arial" w:cs="Arial"/>
                <w:sz w:val="16"/>
                <w:szCs w:val="16"/>
                <w:lang w:val="es-419"/>
              </w:rPr>
              <w:t>El objetivo de la CT es apoyar a BANDESAL para robustecer y escalar sus programas de financiamiento empresarial productivo de segundo piso. Específicamente, esta CT propone actividades para el fortalecimiento del FSG y las líneas de inclusión financiera de segundo piso de BANDESAL. A través de este apoyo, BANDESAL estará en mejores condiciones de ampliar su impacto en el acceso y uso del crédito por parte de las MYPE en el sistema financiero salvadoreño</w:t>
            </w:r>
            <w:r w:rsidR="00010182" w:rsidRPr="00010182">
              <w:rPr>
                <w:rFonts w:ascii="Arial" w:hAnsi="Arial" w:cs="Arial"/>
                <w:sz w:val="16"/>
                <w:szCs w:val="16"/>
                <w:lang w:val="es-419"/>
              </w:rPr>
              <w:t xml:space="preserve">. </w:t>
            </w:r>
            <w:r w:rsidR="00007BCA" w:rsidRPr="00010182">
              <w:rPr>
                <w:rFonts w:ascii="Arial" w:hAnsi="Arial" w:cs="Arial"/>
                <w:sz w:val="16"/>
                <w:szCs w:val="16"/>
                <w:lang w:val="es-419"/>
              </w:rPr>
              <w:t>Como parte de las actividades de la CT se financiará</w:t>
            </w:r>
            <w:r w:rsidR="009847A9" w:rsidRPr="00010182">
              <w:rPr>
                <w:rFonts w:ascii="Arial" w:hAnsi="Arial" w:cs="Arial"/>
                <w:sz w:val="16"/>
                <w:szCs w:val="16"/>
                <w:lang w:val="es-419"/>
              </w:rPr>
              <w:t xml:space="preserve"> una </w:t>
            </w:r>
            <w:r w:rsidR="00F165BF" w:rsidRPr="00010182">
              <w:rPr>
                <w:rFonts w:ascii="Arial" w:hAnsi="Arial" w:cs="Arial"/>
                <w:sz w:val="16"/>
                <w:szCs w:val="16"/>
                <w:lang w:val="es-419"/>
              </w:rPr>
              <w:t>c</w:t>
            </w:r>
            <w:r w:rsidR="009847A9" w:rsidRPr="00010182">
              <w:rPr>
                <w:rFonts w:ascii="Arial" w:hAnsi="Arial" w:cs="Arial"/>
                <w:sz w:val="16"/>
                <w:szCs w:val="16"/>
                <w:lang w:val="es-419"/>
              </w:rPr>
              <w:t xml:space="preserve">onsultoría </w:t>
            </w:r>
            <w:r w:rsidR="00F165BF" w:rsidRPr="00010182">
              <w:rPr>
                <w:rFonts w:ascii="Arial" w:hAnsi="Arial" w:cs="Arial"/>
                <w:sz w:val="16"/>
                <w:szCs w:val="16"/>
                <w:lang w:val="es-419"/>
              </w:rPr>
              <w:t>para sondear información sobre la oferta de las IFI salvadoreñas a las MIPYME durante el periodo de crisis y las expectativas de adecuación para el periodo de recuperación económica</w:t>
            </w:r>
            <w:r w:rsidR="004025C2" w:rsidRPr="00010182">
              <w:rPr>
                <w:rFonts w:ascii="Arial" w:hAnsi="Arial" w:cs="Arial"/>
                <w:sz w:val="16"/>
                <w:szCs w:val="16"/>
                <w:lang w:val="es-419"/>
              </w:rPr>
              <w:t>.</w:t>
            </w:r>
          </w:p>
        </w:tc>
        <w:tc>
          <w:tcPr>
            <w:tcW w:w="507" w:type="pct"/>
            <w:vAlign w:val="center"/>
          </w:tcPr>
          <w:p w14:paraId="0D489FA7" w14:textId="61900343" w:rsidR="009D34EC" w:rsidRPr="00770408" w:rsidRDefault="009D34EC" w:rsidP="00B95E73">
            <w:pPr>
              <w:pStyle w:val="Paragraph"/>
              <w:numPr>
                <w:ilvl w:val="0"/>
                <w:numId w:val="0"/>
              </w:numPr>
              <w:tabs>
                <w:tab w:val="left" w:pos="-1260"/>
                <w:tab w:val="left" w:pos="180"/>
              </w:tabs>
              <w:jc w:val="center"/>
              <w:rPr>
                <w:rFonts w:ascii="Arial" w:hAnsi="Arial" w:cs="Arial"/>
                <w:sz w:val="16"/>
                <w:szCs w:val="16"/>
                <w:lang w:val="es-419"/>
              </w:rPr>
            </w:pPr>
            <w:r>
              <w:rPr>
                <w:rFonts w:ascii="Arial" w:hAnsi="Arial" w:cs="Arial"/>
                <w:sz w:val="16"/>
                <w:szCs w:val="16"/>
                <w:lang w:val="es-419"/>
              </w:rPr>
              <w:t>2019/2020</w:t>
            </w:r>
          </w:p>
        </w:tc>
        <w:tc>
          <w:tcPr>
            <w:tcW w:w="531" w:type="pct"/>
            <w:vAlign w:val="center"/>
          </w:tcPr>
          <w:p w14:paraId="2BF461C3" w14:textId="1FD6C4CD" w:rsidR="009D34EC" w:rsidRPr="00770408" w:rsidRDefault="009D34EC" w:rsidP="00B95E73">
            <w:pPr>
              <w:pStyle w:val="Paragraph"/>
              <w:numPr>
                <w:ilvl w:val="0"/>
                <w:numId w:val="0"/>
              </w:numPr>
              <w:tabs>
                <w:tab w:val="left" w:pos="-1260"/>
                <w:tab w:val="left" w:pos="180"/>
              </w:tabs>
              <w:jc w:val="center"/>
              <w:rPr>
                <w:rFonts w:ascii="Arial" w:hAnsi="Arial" w:cs="Arial"/>
                <w:sz w:val="16"/>
                <w:szCs w:val="16"/>
                <w:lang w:val="es-419"/>
              </w:rPr>
            </w:pPr>
            <w:r w:rsidRPr="00770408">
              <w:rPr>
                <w:rFonts w:ascii="Arial" w:hAnsi="Arial" w:cs="Arial"/>
                <w:sz w:val="16"/>
                <w:szCs w:val="16"/>
                <w:lang w:val="es-419"/>
              </w:rPr>
              <w:t>US$150.000</w:t>
            </w:r>
          </w:p>
        </w:tc>
        <w:tc>
          <w:tcPr>
            <w:tcW w:w="529" w:type="pct"/>
            <w:shd w:val="clear" w:color="auto" w:fill="D9D9D9" w:themeFill="background1" w:themeFillShade="D9"/>
            <w:vAlign w:val="center"/>
          </w:tcPr>
          <w:p w14:paraId="59573D78" w14:textId="0649E3DB" w:rsidR="009D34EC" w:rsidRPr="00770408" w:rsidRDefault="009D34EC" w:rsidP="00B95E73">
            <w:pPr>
              <w:pStyle w:val="Paragraph"/>
              <w:numPr>
                <w:ilvl w:val="0"/>
                <w:numId w:val="0"/>
              </w:numPr>
              <w:tabs>
                <w:tab w:val="left" w:pos="-1260"/>
                <w:tab w:val="left" w:pos="180"/>
              </w:tabs>
              <w:jc w:val="center"/>
              <w:rPr>
                <w:rFonts w:ascii="Arial" w:hAnsi="Arial" w:cs="Arial"/>
                <w:color w:val="0C1320"/>
                <w:sz w:val="16"/>
                <w:szCs w:val="16"/>
                <w:shd w:val="clear" w:color="auto" w:fill="FFFFFF"/>
              </w:rPr>
            </w:pPr>
            <w:r w:rsidRPr="003D05EC">
              <w:rPr>
                <w:rFonts w:ascii="Arial" w:hAnsi="Arial" w:cs="Arial"/>
                <w:sz w:val="16"/>
                <w:szCs w:val="16"/>
                <w:lang w:val="es-419"/>
              </w:rPr>
              <w:t>US$</w:t>
            </w:r>
            <w:r>
              <w:rPr>
                <w:rFonts w:ascii="Arial" w:hAnsi="Arial" w:cs="Arial"/>
                <w:sz w:val="16"/>
                <w:szCs w:val="16"/>
                <w:lang w:val="es-419"/>
              </w:rPr>
              <w:t>2</w:t>
            </w:r>
            <w:r w:rsidRPr="003D05EC">
              <w:rPr>
                <w:rFonts w:ascii="Arial" w:hAnsi="Arial" w:cs="Arial"/>
                <w:sz w:val="16"/>
                <w:szCs w:val="16"/>
                <w:lang w:val="es-419"/>
              </w:rPr>
              <w:t>0.000</w:t>
            </w:r>
          </w:p>
        </w:tc>
      </w:tr>
      <w:tr w:rsidR="00D13A21" w:rsidRPr="00770408" w14:paraId="7E661953" w14:textId="348EE78E" w:rsidTr="008E326E">
        <w:tc>
          <w:tcPr>
            <w:tcW w:w="341" w:type="pct"/>
            <w:vAlign w:val="center"/>
          </w:tcPr>
          <w:p w14:paraId="380E3775" w14:textId="5E29377C" w:rsidR="009D34EC" w:rsidRPr="00770408" w:rsidRDefault="009D34EC" w:rsidP="00B95E73">
            <w:pPr>
              <w:pStyle w:val="Paragraph"/>
              <w:numPr>
                <w:ilvl w:val="0"/>
                <w:numId w:val="0"/>
              </w:numPr>
              <w:tabs>
                <w:tab w:val="left" w:pos="-1260"/>
                <w:tab w:val="left" w:pos="180"/>
              </w:tabs>
              <w:jc w:val="center"/>
              <w:rPr>
                <w:rFonts w:ascii="Arial" w:hAnsi="Arial" w:cs="Arial"/>
                <w:sz w:val="16"/>
                <w:szCs w:val="16"/>
                <w:lang w:val="es-419"/>
              </w:rPr>
            </w:pPr>
            <w:r w:rsidRPr="00770408">
              <w:rPr>
                <w:rFonts w:ascii="Arial" w:hAnsi="Arial" w:cs="Arial"/>
                <w:sz w:val="16"/>
                <w:szCs w:val="16"/>
                <w:lang w:val="es-419"/>
              </w:rPr>
              <w:t>RG-T3368</w:t>
            </w:r>
          </w:p>
        </w:tc>
        <w:tc>
          <w:tcPr>
            <w:tcW w:w="593" w:type="pct"/>
            <w:vAlign w:val="center"/>
          </w:tcPr>
          <w:p w14:paraId="5BCCB198" w14:textId="43A63814" w:rsidR="009D34EC" w:rsidRPr="00770408" w:rsidRDefault="009D34EC" w:rsidP="00B95E73">
            <w:pPr>
              <w:pStyle w:val="Paragraph"/>
              <w:numPr>
                <w:ilvl w:val="1"/>
                <w:numId w:val="0"/>
              </w:numPr>
              <w:tabs>
                <w:tab w:val="left" w:pos="-1260"/>
                <w:tab w:val="left" w:pos="180"/>
              </w:tabs>
              <w:jc w:val="center"/>
              <w:rPr>
                <w:rFonts w:ascii="Arial" w:hAnsi="Arial" w:cs="Arial"/>
                <w:color w:val="0C1320"/>
                <w:sz w:val="16"/>
                <w:szCs w:val="16"/>
                <w:shd w:val="clear" w:color="auto" w:fill="FFFFFF"/>
              </w:rPr>
            </w:pPr>
            <w:r w:rsidRPr="47D61C05">
              <w:rPr>
                <w:rFonts w:ascii="Arial" w:hAnsi="Arial" w:cs="Arial"/>
                <w:sz w:val="16"/>
                <w:szCs w:val="16"/>
                <w:lang w:val="es-419"/>
              </w:rPr>
              <w:t>ATN/MC-17316-RG</w:t>
            </w:r>
          </w:p>
        </w:tc>
        <w:tc>
          <w:tcPr>
            <w:tcW w:w="753" w:type="pct"/>
            <w:vAlign w:val="center"/>
          </w:tcPr>
          <w:p w14:paraId="4C11CC42" w14:textId="33D10912" w:rsidR="009D34EC" w:rsidRPr="00770408" w:rsidRDefault="009D34EC" w:rsidP="004138D0">
            <w:pPr>
              <w:pStyle w:val="Paragraph"/>
              <w:numPr>
                <w:ilvl w:val="0"/>
                <w:numId w:val="0"/>
              </w:numPr>
              <w:tabs>
                <w:tab w:val="left" w:pos="-1260"/>
                <w:tab w:val="left" w:pos="180"/>
              </w:tabs>
              <w:spacing w:before="0" w:after="0"/>
              <w:rPr>
                <w:rFonts w:ascii="Arial" w:hAnsi="Arial" w:cs="Arial"/>
                <w:color w:val="0C1320"/>
                <w:sz w:val="16"/>
                <w:szCs w:val="16"/>
                <w:shd w:val="clear" w:color="auto" w:fill="FFFFFF"/>
              </w:rPr>
            </w:pPr>
            <w:r w:rsidRPr="00770408">
              <w:rPr>
                <w:rFonts w:ascii="Arial" w:hAnsi="Arial" w:cs="Arial"/>
                <w:color w:val="0C1320"/>
                <w:sz w:val="16"/>
                <w:szCs w:val="16"/>
                <w:shd w:val="clear" w:color="auto" w:fill="FFFFFF"/>
              </w:rPr>
              <w:t>Programa Regional de Bonos Verdes para América Latina y el Caribe</w:t>
            </w:r>
          </w:p>
        </w:tc>
        <w:tc>
          <w:tcPr>
            <w:tcW w:w="1746" w:type="pct"/>
            <w:vAlign w:val="center"/>
          </w:tcPr>
          <w:p w14:paraId="52901749" w14:textId="68D6CA33" w:rsidR="009D34EC" w:rsidRPr="00010182" w:rsidRDefault="00982267" w:rsidP="009D34EC">
            <w:pPr>
              <w:pStyle w:val="Paragraph"/>
              <w:numPr>
                <w:ilvl w:val="0"/>
                <w:numId w:val="0"/>
              </w:numPr>
              <w:tabs>
                <w:tab w:val="left" w:pos="-1260"/>
                <w:tab w:val="left" w:pos="180"/>
              </w:tabs>
              <w:rPr>
                <w:rFonts w:ascii="Arial" w:hAnsi="Arial" w:cs="Arial"/>
                <w:sz w:val="16"/>
                <w:szCs w:val="16"/>
                <w:lang w:val="es-419"/>
              </w:rPr>
            </w:pPr>
            <w:r w:rsidRPr="00010182">
              <w:rPr>
                <w:rFonts w:ascii="Arial" w:hAnsi="Arial" w:cs="Arial"/>
                <w:sz w:val="16"/>
                <w:szCs w:val="16"/>
                <w:lang w:val="es-419"/>
              </w:rPr>
              <w:t>E</w:t>
            </w:r>
            <w:r w:rsidR="004C60B3" w:rsidRPr="00010182">
              <w:rPr>
                <w:rFonts w:ascii="Arial" w:hAnsi="Arial" w:cs="Arial"/>
                <w:sz w:val="16"/>
                <w:szCs w:val="16"/>
                <w:lang w:val="es-419"/>
              </w:rPr>
              <w:t xml:space="preserve">l objetivo </w:t>
            </w:r>
            <w:r w:rsidRPr="00010182">
              <w:rPr>
                <w:rFonts w:ascii="Arial" w:hAnsi="Arial" w:cs="Arial"/>
                <w:sz w:val="16"/>
                <w:szCs w:val="16"/>
                <w:lang w:val="es-419"/>
              </w:rPr>
              <w:t>de la CT</w:t>
            </w:r>
            <w:r w:rsidR="004C60B3" w:rsidRPr="00010182">
              <w:rPr>
                <w:rFonts w:ascii="Arial" w:hAnsi="Arial" w:cs="Arial"/>
                <w:sz w:val="16"/>
                <w:szCs w:val="16"/>
                <w:lang w:val="es-419"/>
              </w:rPr>
              <w:t xml:space="preserve"> es ampliar y replicar el apoyo del BID a los bonos verdes, al tiempo que se amplía la experiencia a nuevos emisores (gobiernos y municipios) y a nuevos instrumentos (bonos sostenibles): "Brindar la asistencia técnica necesaria para gobiernos y clientes de NDB relacionados con emisiones en sectores más desafiantes más allá de la Energía Renovable, incluida la agricultura sostenible, carteras multisectoriales, proyectos temáticos de Objetivos de Desarrollo Sostenible (ODS) y, entre otros, el desarrollo de marcos metodológicos, de conocimiento y técnicos; Brindar la asistencia técnica necesaria para identificar los gastos presupuestarios nacionales y subnacionales que podrían ser elegibles para bonos verdes y de sostenibilidad</w:t>
            </w:r>
            <w:r w:rsidR="00AC2904" w:rsidRPr="00010182">
              <w:rPr>
                <w:rFonts w:ascii="Arial" w:hAnsi="Arial" w:cs="Arial"/>
                <w:sz w:val="16"/>
                <w:szCs w:val="16"/>
                <w:lang w:val="es-419"/>
              </w:rPr>
              <w:t>.</w:t>
            </w:r>
          </w:p>
        </w:tc>
        <w:tc>
          <w:tcPr>
            <w:tcW w:w="507" w:type="pct"/>
            <w:vAlign w:val="center"/>
          </w:tcPr>
          <w:p w14:paraId="3E23E21B" w14:textId="20395574" w:rsidR="009D34EC" w:rsidRPr="00770408" w:rsidRDefault="009D34EC" w:rsidP="00B95E73">
            <w:pPr>
              <w:pStyle w:val="Paragraph"/>
              <w:numPr>
                <w:ilvl w:val="0"/>
                <w:numId w:val="0"/>
              </w:numPr>
              <w:tabs>
                <w:tab w:val="left" w:pos="-1260"/>
                <w:tab w:val="left" w:pos="180"/>
              </w:tabs>
              <w:jc w:val="center"/>
              <w:rPr>
                <w:rFonts w:ascii="Arial" w:hAnsi="Arial" w:cs="Arial"/>
                <w:sz w:val="16"/>
                <w:szCs w:val="16"/>
                <w:lang w:val="es-419"/>
              </w:rPr>
            </w:pPr>
            <w:r>
              <w:rPr>
                <w:rFonts w:ascii="Arial" w:hAnsi="Arial" w:cs="Arial"/>
                <w:sz w:val="16"/>
                <w:szCs w:val="16"/>
                <w:lang w:val="es-419"/>
              </w:rPr>
              <w:t>2019/2019</w:t>
            </w:r>
          </w:p>
        </w:tc>
        <w:tc>
          <w:tcPr>
            <w:tcW w:w="531" w:type="pct"/>
            <w:vAlign w:val="center"/>
          </w:tcPr>
          <w:p w14:paraId="7E0D6AF4" w14:textId="781DA5CF" w:rsidR="009D34EC" w:rsidRPr="00770408" w:rsidRDefault="009D34EC" w:rsidP="00B95E73">
            <w:pPr>
              <w:pStyle w:val="Paragraph"/>
              <w:numPr>
                <w:ilvl w:val="0"/>
                <w:numId w:val="0"/>
              </w:numPr>
              <w:tabs>
                <w:tab w:val="left" w:pos="-1260"/>
                <w:tab w:val="left" w:pos="180"/>
              </w:tabs>
              <w:jc w:val="center"/>
              <w:rPr>
                <w:rFonts w:ascii="Arial" w:hAnsi="Arial" w:cs="Arial"/>
                <w:color w:val="0C1320"/>
                <w:sz w:val="16"/>
                <w:szCs w:val="16"/>
                <w:shd w:val="clear" w:color="auto" w:fill="FFFFFF"/>
              </w:rPr>
            </w:pPr>
            <w:r>
              <w:rPr>
                <w:rFonts w:ascii="Arial" w:hAnsi="Arial" w:cs="Arial"/>
                <w:sz w:val="16"/>
                <w:szCs w:val="16"/>
                <w:lang w:val="es-419"/>
              </w:rPr>
              <w:t>US$70.000</w:t>
            </w:r>
          </w:p>
        </w:tc>
        <w:tc>
          <w:tcPr>
            <w:tcW w:w="529" w:type="pct"/>
            <w:shd w:val="clear" w:color="auto" w:fill="D9D9D9" w:themeFill="background1" w:themeFillShade="D9"/>
            <w:vAlign w:val="center"/>
          </w:tcPr>
          <w:p w14:paraId="60F41746" w14:textId="75C3BB21" w:rsidR="009D34EC" w:rsidRPr="00E158CC" w:rsidRDefault="009D34EC" w:rsidP="00B95E73">
            <w:pPr>
              <w:pStyle w:val="Paragraph"/>
              <w:numPr>
                <w:ilvl w:val="0"/>
                <w:numId w:val="0"/>
              </w:numPr>
              <w:tabs>
                <w:tab w:val="left" w:pos="-1260"/>
                <w:tab w:val="left" w:pos="180"/>
              </w:tabs>
              <w:jc w:val="center"/>
              <w:rPr>
                <w:rFonts w:ascii="Arial" w:hAnsi="Arial" w:cs="Arial"/>
                <w:sz w:val="16"/>
                <w:szCs w:val="16"/>
                <w:lang w:val="es-419"/>
              </w:rPr>
            </w:pPr>
            <w:r w:rsidRPr="003D05EC">
              <w:rPr>
                <w:rFonts w:ascii="Arial" w:hAnsi="Arial" w:cs="Arial"/>
                <w:sz w:val="16"/>
                <w:szCs w:val="16"/>
                <w:lang w:val="es-419"/>
              </w:rPr>
              <w:t>US$</w:t>
            </w:r>
            <w:r>
              <w:rPr>
                <w:rFonts w:ascii="Arial" w:hAnsi="Arial" w:cs="Arial"/>
                <w:sz w:val="16"/>
                <w:szCs w:val="16"/>
                <w:lang w:val="es-419"/>
              </w:rPr>
              <w:t>20</w:t>
            </w:r>
            <w:r w:rsidRPr="003D05EC">
              <w:rPr>
                <w:rFonts w:ascii="Arial" w:hAnsi="Arial" w:cs="Arial"/>
                <w:sz w:val="16"/>
                <w:szCs w:val="16"/>
                <w:lang w:val="es-419"/>
              </w:rPr>
              <w:t>.000</w:t>
            </w:r>
          </w:p>
        </w:tc>
      </w:tr>
      <w:tr w:rsidR="00D13A21" w:rsidRPr="00770408" w14:paraId="7964A665" w14:textId="21870D0B" w:rsidTr="000C2FB4">
        <w:trPr>
          <w:trHeight w:val="1610"/>
        </w:trPr>
        <w:tc>
          <w:tcPr>
            <w:tcW w:w="341" w:type="pct"/>
            <w:vAlign w:val="center"/>
          </w:tcPr>
          <w:p w14:paraId="7E40B51E" w14:textId="2FC34EF1" w:rsidR="009D34EC" w:rsidRPr="00770408" w:rsidRDefault="009D34EC" w:rsidP="00B95E73">
            <w:pPr>
              <w:pStyle w:val="Paragraph"/>
              <w:numPr>
                <w:ilvl w:val="0"/>
                <w:numId w:val="0"/>
              </w:numPr>
              <w:tabs>
                <w:tab w:val="left" w:pos="-1260"/>
                <w:tab w:val="left" w:pos="180"/>
              </w:tabs>
              <w:jc w:val="center"/>
              <w:rPr>
                <w:rFonts w:ascii="Arial" w:hAnsi="Arial" w:cs="Arial"/>
                <w:sz w:val="16"/>
                <w:szCs w:val="16"/>
                <w:lang w:val="es-419"/>
              </w:rPr>
            </w:pPr>
            <w:bookmarkStart w:id="0" w:name="_Hlk35948987"/>
            <w:r w:rsidRPr="00770408">
              <w:rPr>
                <w:rFonts w:ascii="Arial" w:hAnsi="Arial" w:cs="Arial"/>
                <w:sz w:val="16"/>
                <w:szCs w:val="16"/>
                <w:lang w:val="es-419"/>
              </w:rPr>
              <w:t>RG-T3488</w:t>
            </w:r>
          </w:p>
        </w:tc>
        <w:tc>
          <w:tcPr>
            <w:tcW w:w="593" w:type="pct"/>
            <w:vAlign w:val="center"/>
          </w:tcPr>
          <w:p w14:paraId="0324FD4C" w14:textId="5AC226D7" w:rsidR="009D34EC" w:rsidRPr="00770408" w:rsidRDefault="009D34EC" w:rsidP="00B95E73">
            <w:pPr>
              <w:pStyle w:val="Paragraph"/>
              <w:numPr>
                <w:ilvl w:val="1"/>
                <w:numId w:val="0"/>
              </w:numPr>
              <w:tabs>
                <w:tab w:val="left" w:pos="-1260"/>
                <w:tab w:val="left" w:pos="180"/>
              </w:tabs>
              <w:jc w:val="center"/>
              <w:rPr>
                <w:rFonts w:ascii="Arial" w:hAnsi="Arial" w:cs="Arial"/>
                <w:color w:val="0C1320"/>
                <w:sz w:val="16"/>
                <w:szCs w:val="16"/>
                <w:shd w:val="clear" w:color="auto" w:fill="FFFFFF"/>
              </w:rPr>
            </w:pPr>
            <w:r w:rsidRPr="47D61C05">
              <w:rPr>
                <w:rFonts w:ascii="Arial" w:hAnsi="Arial" w:cs="Arial"/>
                <w:sz w:val="16"/>
                <w:szCs w:val="16"/>
                <w:lang w:val="es-419"/>
              </w:rPr>
              <w:t>ATN/OC-17575-RG</w:t>
            </w:r>
          </w:p>
        </w:tc>
        <w:tc>
          <w:tcPr>
            <w:tcW w:w="753" w:type="pct"/>
            <w:vAlign w:val="center"/>
          </w:tcPr>
          <w:p w14:paraId="659EA6C0" w14:textId="11A6C418" w:rsidR="009D34EC" w:rsidRPr="00770408" w:rsidRDefault="009D34EC" w:rsidP="004138D0">
            <w:pPr>
              <w:pStyle w:val="Paragraph"/>
              <w:numPr>
                <w:ilvl w:val="0"/>
                <w:numId w:val="0"/>
              </w:numPr>
              <w:tabs>
                <w:tab w:val="left" w:pos="-1260"/>
                <w:tab w:val="left" w:pos="180"/>
              </w:tabs>
              <w:spacing w:before="0" w:after="0"/>
              <w:rPr>
                <w:rFonts w:ascii="Arial" w:hAnsi="Arial" w:cs="Arial"/>
                <w:color w:val="0C1320"/>
                <w:sz w:val="16"/>
                <w:szCs w:val="16"/>
                <w:shd w:val="clear" w:color="auto" w:fill="FFFFFF"/>
              </w:rPr>
            </w:pPr>
            <w:r w:rsidRPr="00770408">
              <w:rPr>
                <w:rFonts w:ascii="Arial" w:hAnsi="Arial" w:cs="Arial"/>
                <w:color w:val="0C1320"/>
                <w:sz w:val="16"/>
                <w:szCs w:val="16"/>
                <w:shd w:val="clear" w:color="auto" w:fill="FFFFFF"/>
              </w:rPr>
              <w:t>Apoyo a los Bancos Públicos de Desarrollo en el Fortalecimiento Institucional para el Uso de Herramientas Digitales y Mejora en la Supervisión y Evaluación de sus Programas</w:t>
            </w:r>
          </w:p>
        </w:tc>
        <w:tc>
          <w:tcPr>
            <w:tcW w:w="1746" w:type="pct"/>
            <w:vAlign w:val="center"/>
          </w:tcPr>
          <w:p w14:paraId="30C7E472" w14:textId="14C69825" w:rsidR="009D34EC" w:rsidRPr="00010182" w:rsidRDefault="005124D9" w:rsidP="009D34EC">
            <w:pPr>
              <w:pStyle w:val="Paragraph"/>
              <w:numPr>
                <w:ilvl w:val="0"/>
                <w:numId w:val="0"/>
              </w:numPr>
              <w:tabs>
                <w:tab w:val="left" w:pos="-1260"/>
                <w:tab w:val="left" w:pos="180"/>
              </w:tabs>
              <w:rPr>
                <w:rFonts w:ascii="Arial" w:hAnsi="Arial" w:cs="Arial"/>
                <w:sz w:val="16"/>
                <w:szCs w:val="16"/>
                <w:lang w:val="es-419"/>
              </w:rPr>
            </w:pPr>
            <w:r w:rsidRPr="00010182">
              <w:rPr>
                <w:rFonts w:ascii="Arial" w:hAnsi="Arial" w:cs="Arial"/>
                <w:sz w:val="16"/>
                <w:szCs w:val="16"/>
                <w:lang w:val="es-419"/>
              </w:rPr>
              <w:t xml:space="preserve">El principal objetivo de esta </w:t>
            </w:r>
            <w:r w:rsidR="002E4039" w:rsidRPr="00010182">
              <w:rPr>
                <w:rFonts w:ascii="Arial" w:hAnsi="Arial" w:cs="Arial"/>
                <w:sz w:val="16"/>
                <w:szCs w:val="16"/>
                <w:lang w:val="es-419"/>
              </w:rPr>
              <w:t>CT</w:t>
            </w:r>
            <w:r w:rsidRPr="00010182">
              <w:rPr>
                <w:rFonts w:ascii="Arial" w:hAnsi="Arial" w:cs="Arial"/>
                <w:sz w:val="16"/>
                <w:szCs w:val="16"/>
                <w:lang w:val="es-419"/>
              </w:rPr>
              <w:t xml:space="preserve"> es el fortalecimiento institucional de los Bancos Públicos de Desarrollo (BPD) en instrumentos que permitan la captura, uso y procesamiento de información digital y en sistemas de monitoreo y evaluación de sus proyectos, para aumentar la eficiencia, la eficacia y la transparencia de la gestión de sus programas.</w:t>
            </w:r>
          </w:p>
        </w:tc>
        <w:tc>
          <w:tcPr>
            <w:tcW w:w="507" w:type="pct"/>
            <w:vAlign w:val="center"/>
          </w:tcPr>
          <w:p w14:paraId="56564B9C" w14:textId="35DB152B" w:rsidR="009D34EC" w:rsidRPr="00770408" w:rsidRDefault="009D34EC" w:rsidP="00B95E73">
            <w:pPr>
              <w:pStyle w:val="Paragraph"/>
              <w:numPr>
                <w:ilvl w:val="0"/>
                <w:numId w:val="0"/>
              </w:numPr>
              <w:tabs>
                <w:tab w:val="left" w:pos="-1260"/>
                <w:tab w:val="left" w:pos="180"/>
              </w:tabs>
              <w:jc w:val="center"/>
              <w:rPr>
                <w:rFonts w:ascii="Arial" w:hAnsi="Arial" w:cs="Arial"/>
                <w:sz w:val="16"/>
                <w:szCs w:val="16"/>
                <w:highlight w:val="yellow"/>
                <w:lang w:val="es-419"/>
              </w:rPr>
            </w:pPr>
            <w:r>
              <w:rPr>
                <w:rFonts w:ascii="Arial" w:hAnsi="Arial" w:cs="Arial"/>
                <w:sz w:val="16"/>
                <w:szCs w:val="16"/>
                <w:lang w:val="es-419"/>
              </w:rPr>
              <w:t>2019/2019</w:t>
            </w:r>
          </w:p>
        </w:tc>
        <w:tc>
          <w:tcPr>
            <w:tcW w:w="531" w:type="pct"/>
            <w:vAlign w:val="center"/>
          </w:tcPr>
          <w:p w14:paraId="4D083DD6" w14:textId="25EF77AB" w:rsidR="009D34EC" w:rsidRPr="00770408" w:rsidRDefault="009D34EC" w:rsidP="00B95E73">
            <w:pPr>
              <w:pStyle w:val="Paragraph"/>
              <w:numPr>
                <w:ilvl w:val="0"/>
                <w:numId w:val="0"/>
              </w:numPr>
              <w:tabs>
                <w:tab w:val="left" w:pos="-1260"/>
                <w:tab w:val="left" w:pos="180"/>
              </w:tabs>
              <w:jc w:val="center"/>
              <w:rPr>
                <w:rFonts w:ascii="Arial" w:hAnsi="Arial" w:cs="Arial"/>
                <w:color w:val="0C1320"/>
                <w:sz w:val="16"/>
                <w:szCs w:val="16"/>
                <w:shd w:val="clear" w:color="auto" w:fill="FFFFFF"/>
              </w:rPr>
            </w:pPr>
            <w:r>
              <w:rPr>
                <w:rFonts w:ascii="Arial" w:hAnsi="Arial" w:cs="Arial"/>
                <w:sz w:val="16"/>
                <w:szCs w:val="16"/>
                <w:lang w:val="es-419"/>
              </w:rPr>
              <w:t>US$100.000</w:t>
            </w:r>
          </w:p>
        </w:tc>
        <w:tc>
          <w:tcPr>
            <w:tcW w:w="529" w:type="pct"/>
            <w:shd w:val="clear" w:color="auto" w:fill="D9D9D9" w:themeFill="background1" w:themeFillShade="D9"/>
            <w:vAlign w:val="center"/>
          </w:tcPr>
          <w:p w14:paraId="6B38E367" w14:textId="431BC5E2" w:rsidR="009D34EC" w:rsidRPr="00E158CC" w:rsidRDefault="009D34EC" w:rsidP="00B95E73">
            <w:pPr>
              <w:pStyle w:val="Paragraph"/>
              <w:numPr>
                <w:ilvl w:val="0"/>
                <w:numId w:val="0"/>
              </w:numPr>
              <w:tabs>
                <w:tab w:val="left" w:pos="-1260"/>
                <w:tab w:val="left" w:pos="180"/>
              </w:tabs>
              <w:jc w:val="center"/>
              <w:rPr>
                <w:rFonts w:ascii="Arial" w:hAnsi="Arial" w:cs="Arial"/>
                <w:sz w:val="16"/>
                <w:szCs w:val="16"/>
                <w:lang w:val="es-419"/>
              </w:rPr>
            </w:pPr>
            <w:r w:rsidRPr="003D05EC">
              <w:rPr>
                <w:rFonts w:ascii="Arial" w:hAnsi="Arial" w:cs="Arial"/>
                <w:sz w:val="16"/>
                <w:szCs w:val="16"/>
                <w:lang w:val="es-419"/>
              </w:rPr>
              <w:t>US$</w:t>
            </w:r>
            <w:r>
              <w:rPr>
                <w:rFonts w:ascii="Arial" w:hAnsi="Arial" w:cs="Arial"/>
                <w:sz w:val="16"/>
                <w:szCs w:val="16"/>
                <w:lang w:val="es-419"/>
              </w:rPr>
              <w:t>100</w:t>
            </w:r>
            <w:r w:rsidRPr="003D05EC">
              <w:rPr>
                <w:rFonts w:ascii="Arial" w:hAnsi="Arial" w:cs="Arial"/>
                <w:sz w:val="16"/>
                <w:szCs w:val="16"/>
                <w:lang w:val="es-419"/>
              </w:rPr>
              <w:t>.000</w:t>
            </w:r>
          </w:p>
        </w:tc>
      </w:tr>
      <w:bookmarkEnd w:id="0"/>
      <w:tr w:rsidR="00D13A21" w:rsidRPr="00770408" w14:paraId="0705538B" w14:textId="4F1E703C" w:rsidTr="008E326E">
        <w:tc>
          <w:tcPr>
            <w:tcW w:w="341" w:type="pct"/>
            <w:vAlign w:val="center"/>
          </w:tcPr>
          <w:p w14:paraId="1991F851" w14:textId="50B9EEBD" w:rsidR="009D34EC" w:rsidRPr="00770408" w:rsidRDefault="009D34EC" w:rsidP="00B95E73">
            <w:pPr>
              <w:pStyle w:val="Paragraph"/>
              <w:numPr>
                <w:ilvl w:val="0"/>
                <w:numId w:val="0"/>
              </w:numPr>
              <w:tabs>
                <w:tab w:val="left" w:pos="-1260"/>
                <w:tab w:val="left" w:pos="180"/>
              </w:tabs>
              <w:jc w:val="center"/>
              <w:rPr>
                <w:rFonts w:ascii="Arial" w:hAnsi="Arial" w:cs="Arial"/>
                <w:sz w:val="16"/>
                <w:szCs w:val="16"/>
                <w:lang w:val="es-419"/>
              </w:rPr>
            </w:pPr>
            <w:r w:rsidRPr="00770408">
              <w:rPr>
                <w:rFonts w:ascii="Arial" w:hAnsi="Arial" w:cs="Arial"/>
                <w:color w:val="202520"/>
                <w:sz w:val="16"/>
                <w:szCs w:val="16"/>
                <w:shd w:val="clear" w:color="auto" w:fill="FFFFFF"/>
              </w:rPr>
              <w:lastRenderedPageBreak/>
              <w:t>RG-T3530</w:t>
            </w:r>
          </w:p>
        </w:tc>
        <w:tc>
          <w:tcPr>
            <w:tcW w:w="593" w:type="pct"/>
            <w:vAlign w:val="center"/>
          </w:tcPr>
          <w:p w14:paraId="0F0B694F" w14:textId="6558F333" w:rsidR="009D34EC" w:rsidRPr="00770408" w:rsidRDefault="009D34EC" w:rsidP="00B95E73">
            <w:pPr>
              <w:pStyle w:val="Paragraph"/>
              <w:numPr>
                <w:ilvl w:val="1"/>
                <w:numId w:val="0"/>
              </w:numPr>
              <w:tabs>
                <w:tab w:val="left" w:pos="-1260"/>
                <w:tab w:val="left" w:pos="180"/>
              </w:tabs>
              <w:jc w:val="center"/>
              <w:rPr>
                <w:rFonts w:ascii="Arial" w:hAnsi="Arial" w:cs="Arial"/>
                <w:color w:val="0C1320"/>
                <w:sz w:val="16"/>
                <w:szCs w:val="16"/>
                <w:shd w:val="clear" w:color="auto" w:fill="FFFFFF"/>
              </w:rPr>
            </w:pPr>
            <w:r w:rsidRPr="47D61C05">
              <w:rPr>
                <w:rFonts w:ascii="Arial" w:hAnsi="Arial" w:cs="Arial"/>
                <w:sz w:val="16"/>
                <w:szCs w:val="16"/>
                <w:lang w:val="es-419"/>
              </w:rPr>
              <w:t>ATN/OC-17811-RG</w:t>
            </w:r>
          </w:p>
        </w:tc>
        <w:tc>
          <w:tcPr>
            <w:tcW w:w="753" w:type="pct"/>
            <w:vAlign w:val="center"/>
          </w:tcPr>
          <w:p w14:paraId="6BEC00A9" w14:textId="45BD7BC6" w:rsidR="009D34EC" w:rsidRPr="00770408" w:rsidRDefault="009D34EC" w:rsidP="004138D0">
            <w:pPr>
              <w:pStyle w:val="Paragraph"/>
              <w:numPr>
                <w:ilvl w:val="0"/>
                <w:numId w:val="0"/>
              </w:numPr>
              <w:tabs>
                <w:tab w:val="left" w:pos="-1260"/>
                <w:tab w:val="left" w:pos="180"/>
              </w:tabs>
              <w:spacing w:before="0" w:after="0"/>
              <w:rPr>
                <w:rFonts w:ascii="Arial" w:hAnsi="Arial" w:cs="Arial"/>
                <w:color w:val="0C1320"/>
                <w:sz w:val="16"/>
                <w:szCs w:val="16"/>
                <w:shd w:val="clear" w:color="auto" w:fill="FFFFFF"/>
              </w:rPr>
            </w:pPr>
            <w:r w:rsidRPr="00770408">
              <w:rPr>
                <w:rFonts w:ascii="Arial" w:hAnsi="Arial" w:cs="Arial"/>
                <w:color w:val="0C1320"/>
                <w:sz w:val="16"/>
                <w:szCs w:val="16"/>
                <w:shd w:val="clear" w:color="auto" w:fill="FFFFFF"/>
              </w:rPr>
              <w:t>Fortalecimiento de la Capacidad Institucional de los Bancos Nacionales de Desarrollo (BPD) Públicos para Atender a las Mujeres Emprendedoras</w:t>
            </w:r>
          </w:p>
        </w:tc>
        <w:tc>
          <w:tcPr>
            <w:tcW w:w="1746" w:type="pct"/>
            <w:vAlign w:val="center"/>
          </w:tcPr>
          <w:p w14:paraId="783B904A" w14:textId="31018EE5" w:rsidR="00C53292" w:rsidRPr="00010182" w:rsidRDefault="005E3062" w:rsidP="00010182">
            <w:pPr>
              <w:pStyle w:val="Paragraph"/>
              <w:numPr>
                <w:ilvl w:val="0"/>
                <w:numId w:val="0"/>
              </w:numPr>
              <w:tabs>
                <w:tab w:val="left" w:pos="-1260"/>
                <w:tab w:val="left" w:pos="180"/>
              </w:tabs>
              <w:rPr>
                <w:rFonts w:ascii="Arial" w:hAnsi="Arial" w:cs="Arial"/>
                <w:sz w:val="16"/>
                <w:szCs w:val="16"/>
                <w:lang w:val="es-419"/>
              </w:rPr>
            </w:pPr>
            <w:r w:rsidRPr="00010182">
              <w:rPr>
                <w:rFonts w:ascii="Arial" w:hAnsi="Arial" w:cs="Arial"/>
                <w:sz w:val="16"/>
                <w:szCs w:val="16"/>
                <w:lang w:val="es-419"/>
              </w:rPr>
              <w:t xml:space="preserve">El objetivo de esta CT es mejorar el acceso a financiamiento de las Empresas Lideradas por Mujeres (ELM) a través del mejoramiento de la capacidad de los BND para atender mejor este segmento, de manera directa o a través de programas implementados </w:t>
            </w:r>
            <w:r w:rsidR="0009322F" w:rsidRPr="00010182">
              <w:rPr>
                <w:rFonts w:ascii="Arial" w:hAnsi="Arial" w:cs="Arial"/>
                <w:sz w:val="16"/>
                <w:szCs w:val="16"/>
                <w:lang w:val="es-419"/>
              </w:rPr>
              <w:t>vía</w:t>
            </w:r>
            <w:r w:rsidRPr="00010182">
              <w:rPr>
                <w:rFonts w:ascii="Arial" w:hAnsi="Arial" w:cs="Arial"/>
                <w:sz w:val="16"/>
                <w:szCs w:val="16"/>
                <w:lang w:val="es-419"/>
              </w:rPr>
              <w:t xml:space="preserve"> las Instituciones Financieras (IF) intermediarias elegibles. El objetivo se logrará a través de: (i) apoyar esfuerzos para la recopilación y monitoreo de datos de género en los BND; (</w:t>
            </w:r>
            <w:proofErr w:type="spellStart"/>
            <w:r w:rsidRPr="00010182">
              <w:rPr>
                <w:rFonts w:ascii="Arial" w:hAnsi="Arial" w:cs="Arial"/>
                <w:sz w:val="16"/>
                <w:szCs w:val="16"/>
                <w:lang w:val="es-419"/>
              </w:rPr>
              <w:t>ii</w:t>
            </w:r>
            <w:proofErr w:type="spellEnd"/>
            <w:r w:rsidRPr="00010182">
              <w:rPr>
                <w:rFonts w:ascii="Arial" w:hAnsi="Arial" w:cs="Arial"/>
                <w:sz w:val="16"/>
                <w:szCs w:val="16"/>
                <w:lang w:val="es-419"/>
              </w:rPr>
              <w:t>) apoyar al diseño técnico de programas para las ELM, incluyendo el apoyo a pilotos relevantes en por lo menos dos países; (</w:t>
            </w:r>
            <w:proofErr w:type="spellStart"/>
            <w:r w:rsidRPr="00010182">
              <w:rPr>
                <w:rFonts w:ascii="Arial" w:hAnsi="Arial" w:cs="Arial"/>
                <w:sz w:val="16"/>
                <w:szCs w:val="16"/>
                <w:lang w:val="es-419"/>
              </w:rPr>
              <w:t>iii</w:t>
            </w:r>
            <w:proofErr w:type="spellEnd"/>
            <w:r w:rsidRPr="00010182">
              <w:rPr>
                <w:rFonts w:ascii="Arial" w:hAnsi="Arial" w:cs="Arial"/>
                <w:sz w:val="16"/>
                <w:szCs w:val="16"/>
                <w:lang w:val="es-419"/>
              </w:rPr>
              <w:t>) fortalecimiento de la capacidad institucional de los BND para incorporar aspectos de género tanto en programas de financiamiento como a nivel corporativo; y (</w:t>
            </w:r>
            <w:proofErr w:type="spellStart"/>
            <w:r w:rsidRPr="00010182">
              <w:rPr>
                <w:rFonts w:ascii="Arial" w:hAnsi="Arial" w:cs="Arial"/>
                <w:sz w:val="16"/>
                <w:szCs w:val="16"/>
                <w:lang w:val="es-419"/>
              </w:rPr>
              <w:t>iv</w:t>
            </w:r>
            <w:proofErr w:type="spellEnd"/>
            <w:r w:rsidRPr="00010182">
              <w:rPr>
                <w:rFonts w:ascii="Arial" w:hAnsi="Arial" w:cs="Arial"/>
                <w:sz w:val="16"/>
                <w:szCs w:val="16"/>
                <w:lang w:val="es-419"/>
              </w:rPr>
              <w:t>) diseminación activa del conocimiento y recomendaciones generadas.</w:t>
            </w:r>
            <w:r w:rsidR="00010182" w:rsidRPr="00010182">
              <w:rPr>
                <w:rFonts w:ascii="Arial" w:hAnsi="Arial" w:cs="Arial"/>
                <w:sz w:val="16"/>
                <w:szCs w:val="16"/>
                <w:lang w:val="es-419"/>
              </w:rPr>
              <w:t xml:space="preserve"> </w:t>
            </w:r>
            <w:r w:rsidR="00C53292" w:rsidRPr="00010182">
              <w:rPr>
                <w:rFonts w:ascii="Arial" w:hAnsi="Arial" w:cs="Arial"/>
                <w:sz w:val="16"/>
                <w:szCs w:val="16"/>
                <w:lang w:val="es-419"/>
              </w:rPr>
              <w:t>Con esta CT se está ejecutando una consultorí</w:t>
            </w:r>
            <w:r w:rsidR="00D23D18" w:rsidRPr="00010182">
              <w:rPr>
                <w:rFonts w:ascii="Arial" w:hAnsi="Arial" w:cs="Arial"/>
                <w:sz w:val="16"/>
                <w:szCs w:val="16"/>
                <w:lang w:val="es-419"/>
              </w:rPr>
              <w:t>a para la elaboración de un Estudio de data sobre empresas de mujeres en El Salvador y BANDESAL.</w:t>
            </w:r>
          </w:p>
        </w:tc>
        <w:tc>
          <w:tcPr>
            <w:tcW w:w="507" w:type="pct"/>
            <w:vAlign w:val="center"/>
          </w:tcPr>
          <w:p w14:paraId="4ACC21D2" w14:textId="072D845D" w:rsidR="009D34EC" w:rsidRPr="00770408" w:rsidRDefault="009D34EC" w:rsidP="00B95E73">
            <w:pPr>
              <w:pStyle w:val="Paragraph"/>
              <w:numPr>
                <w:ilvl w:val="0"/>
                <w:numId w:val="0"/>
              </w:numPr>
              <w:tabs>
                <w:tab w:val="left" w:pos="-1260"/>
                <w:tab w:val="left" w:pos="180"/>
              </w:tabs>
              <w:jc w:val="center"/>
              <w:rPr>
                <w:rFonts w:ascii="Arial" w:hAnsi="Arial" w:cs="Arial"/>
                <w:sz w:val="16"/>
                <w:szCs w:val="16"/>
                <w:highlight w:val="yellow"/>
                <w:lang w:val="es-419"/>
              </w:rPr>
            </w:pPr>
            <w:r>
              <w:rPr>
                <w:rFonts w:ascii="Arial" w:hAnsi="Arial" w:cs="Arial"/>
                <w:sz w:val="16"/>
                <w:szCs w:val="16"/>
                <w:lang w:val="es-419"/>
              </w:rPr>
              <w:t>2019/2020</w:t>
            </w:r>
          </w:p>
        </w:tc>
        <w:tc>
          <w:tcPr>
            <w:tcW w:w="531" w:type="pct"/>
            <w:vAlign w:val="center"/>
          </w:tcPr>
          <w:p w14:paraId="39DCFE08" w14:textId="2C083845" w:rsidR="009D34EC" w:rsidRPr="00770408" w:rsidRDefault="009D34EC" w:rsidP="00B95E73">
            <w:pPr>
              <w:pStyle w:val="Paragraph"/>
              <w:numPr>
                <w:ilvl w:val="0"/>
                <w:numId w:val="0"/>
              </w:numPr>
              <w:tabs>
                <w:tab w:val="left" w:pos="-1260"/>
                <w:tab w:val="left" w:pos="180"/>
              </w:tabs>
              <w:jc w:val="center"/>
              <w:rPr>
                <w:rFonts w:ascii="Arial" w:hAnsi="Arial" w:cs="Arial"/>
                <w:color w:val="0C1320"/>
                <w:sz w:val="16"/>
                <w:szCs w:val="16"/>
                <w:shd w:val="clear" w:color="auto" w:fill="FFFFFF"/>
              </w:rPr>
            </w:pPr>
            <w:r>
              <w:rPr>
                <w:rFonts w:ascii="Arial" w:hAnsi="Arial" w:cs="Arial"/>
                <w:sz w:val="16"/>
                <w:szCs w:val="16"/>
                <w:lang w:val="es-419"/>
              </w:rPr>
              <w:t>US$10.000</w:t>
            </w:r>
          </w:p>
        </w:tc>
        <w:tc>
          <w:tcPr>
            <w:tcW w:w="529" w:type="pct"/>
            <w:tcBorders>
              <w:bottom w:val="single" w:sz="4" w:space="0" w:color="auto"/>
            </w:tcBorders>
            <w:shd w:val="clear" w:color="auto" w:fill="D9D9D9" w:themeFill="background1" w:themeFillShade="D9"/>
            <w:vAlign w:val="center"/>
          </w:tcPr>
          <w:p w14:paraId="3751493C" w14:textId="5177FFB3" w:rsidR="009D34EC" w:rsidRPr="00E158CC" w:rsidRDefault="009D34EC" w:rsidP="00B95E73">
            <w:pPr>
              <w:pStyle w:val="Paragraph"/>
              <w:numPr>
                <w:ilvl w:val="0"/>
                <w:numId w:val="0"/>
              </w:numPr>
              <w:tabs>
                <w:tab w:val="left" w:pos="-1260"/>
                <w:tab w:val="left" w:pos="180"/>
              </w:tabs>
              <w:jc w:val="center"/>
              <w:rPr>
                <w:rFonts w:ascii="Arial" w:hAnsi="Arial" w:cs="Arial"/>
                <w:sz w:val="16"/>
                <w:szCs w:val="16"/>
                <w:lang w:val="es-419"/>
              </w:rPr>
            </w:pPr>
            <w:r w:rsidRPr="003D05EC">
              <w:rPr>
                <w:rFonts w:ascii="Arial" w:hAnsi="Arial" w:cs="Arial"/>
                <w:sz w:val="16"/>
                <w:szCs w:val="16"/>
                <w:lang w:val="es-419"/>
              </w:rPr>
              <w:t>US$</w:t>
            </w:r>
            <w:r>
              <w:rPr>
                <w:rFonts w:ascii="Arial" w:hAnsi="Arial" w:cs="Arial"/>
                <w:sz w:val="16"/>
                <w:szCs w:val="16"/>
                <w:lang w:val="es-419"/>
              </w:rPr>
              <w:t>10</w:t>
            </w:r>
            <w:r w:rsidRPr="003D05EC">
              <w:rPr>
                <w:rFonts w:ascii="Arial" w:hAnsi="Arial" w:cs="Arial"/>
                <w:sz w:val="16"/>
                <w:szCs w:val="16"/>
                <w:lang w:val="es-419"/>
              </w:rPr>
              <w:t>.000</w:t>
            </w:r>
          </w:p>
        </w:tc>
      </w:tr>
      <w:tr w:rsidR="00D13A21" w:rsidRPr="00770408" w14:paraId="4C89C986" w14:textId="028DA730" w:rsidTr="008E326E">
        <w:tc>
          <w:tcPr>
            <w:tcW w:w="341" w:type="pct"/>
            <w:vAlign w:val="center"/>
          </w:tcPr>
          <w:p w14:paraId="51439C95" w14:textId="60BA3969" w:rsidR="009D34EC" w:rsidRPr="00770408" w:rsidRDefault="009D34EC" w:rsidP="00B95E73">
            <w:pPr>
              <w:pStyle w:val="Paragraph"/>
              <w:numPr>
                <w:ilvl w:val="0"/>
                <w:numId w:val="0"/>
              </w:numPr>
              <w:tabs>
                <w:tab w:val="left" w:pos="-1260"/>
                <w:tab w:val="left" w:pos="180"/>
              </w:tabs>
              <w:jc w:val="center"/>
              <w:rPr>
                <w:rFonts w:ascii="Arial" w:hAnsi="Arial" w:cs="Arial"/>
                <w:sz w:val="16"/>
                <w:szCs w:val="16"/>
                <w:lang w:val="es-419"/>
              </w:rPr>
            </w:pPr>
            <w:r w:rsidRPr="00770408">
              <w:rPr>
                <w:rFonts w:ascii="Arial" w:hAnsi="Arial" w:cs="Arial"/>
                <w:sz w:val="16"/>
                <w:szCs w:val="16"/>
                <w:lang w:val="es-419"/>
              </w:rPr>
              <w:t>ES</w:t>
            </w:r>
            <w:r w:rsidRPr="00770408">
              <w:rPr>
                <w:rFonts w:ascii="Arial" w:hAnsi="Arial" w:cs="Arial"/>
                <w:sz w:val="16"/>
                <w:szCs w:val="16"/>
                <w:lang w:val="es-419"/>
              </w:rPr>
              <w:noBreakHyphen/>
              <w:t>T1324</w:t>
            </w:r>
          </w:p>
        </w:tc>
        <w:tc>
          <w:tcPr>
            <w:tcW w:w="593" w:type="pct"/>
            <w:vAlign w:val="center"/>
          </w:tcPr>
          <w:p w14:paraId="2076D75A" w14:textId="77777777" w:rsidR="009D34EC" w:rsidRPr="00770408" w:rsidRDefault="009D34EC" w:rsidP="00B95E73">
            <w:pPr>
              <w:pStyle w:val="NormalWeb"/>
              <w:shd w:val="clear" w:color="auto" w:fill="FFFFFF" w:themeFill="background1"/>
              <w:spacing w:before="0" w:beforeAutospacing="0" w:after="150" w:afterAutospacing="0"/>
              <w:ind w:right="75"/>
              <w:jc w:val="center"/>
              <w:rPr>
                <w:rFonts w:ascii="Arial" w:hAnsi="Arial" w:cs="Arial"/>
                <w:color w:val="0C1320"/>
                <w:sz w:val="16"/>
                <w:szCs w:val="16"/>
              </w:rPr>
            </w:pPr>
            <w:r w:rsidRPr="47D61C05">
              <w:rPr>
                <w:rFonts w:ascii="Arial" w:hAnsi="Arial" w:cs="Arial"/>
                <w:color w:val="0C1320"/>
                <w:sz w:val="16"/>
                <w:szCs w:val="16"/>
              </w:rPr>
              <w:t>ATN/GN-17930-ES</w:t>
            </w:r>
          </w:p>
          <w:p w14:paraId="384EDA0B" w14:textId="77777777" w:rsidR="009D34EC" w:rsidRPr="00770408" w:rsidRDefault="009D34EC" w:rsidP="00B95E73">
            <w:pPr>
              <w:pStyle w:val="Paragraph"/>
              <w:numPr>
                <w:ilvl w:val="1"/>
                <w:numId w:val="0"/>
              </w:numPr>
              <w:tabs>
                <w:tab w:val="left" w:pos="-1260"/>
                <w:tab w:val="left" w:pos="180"/>
              </w:tabs>
              <w:jc w:val="center"/>
              <w:rPr>
                <w:rFonts w:ascii="Arial" w:hAnsi="Arial" w:cs="Arial"/>
                <w:color w:val="0C1320"/>
                <w:sz w:val="16"/>
                <w:szCs w:val="16"/>
                <w:shd w:val="clear" w:color="auto" w:fill="FFFFFF"/>
              </w:rPr>
            </w:pPr>
          </w:p>
        </w:tc>
        <w:tc>
          <w:tcPr>
            <w:tcW w:w="753" w:type="pct"/>
            <w:vAlign w:val="center"/>
          </w:tcPr>
          <w:p w14:paraId="24EC2BD5" w14:textId="11423778" w:rsidR="009D34EC" w:rsidRPr="00770408" w:rsidRDefault="009D34EC" w:rsidP="004138D0">
            <w:pPr>
              <w:pStyle w:val="Paragraph"/>
              <w:numPr>
                <w:ilvl w:val="0"/>
                <w:numId w:val="0"/>
              </w:numPr>
              <w:tabs>
                <w:tab w:val="left" w:pos="-1260"/>
                <w:tab w:val="left" w:pos="180"/>
              </w:tabs>
              <w:spacing w:before="0" w:after="0"/>
              <w:rPr>
                <w:rFonts w:ascii="Arial" w:hAnsi="Arial" w:cs="Arial"/>
                <w:color w:val="0C1320"/>
                <w:sz w:val="16"/>
                <w:szCs w:val="16"/>
                <w:shd w:val="clear" w:color="auto" w:fill="FFFFFF"/>
              </w:rPr>
            </w:pPr>
            <w:r w:rsidRPr="00770408">
              <w:rPr>
                <w:rFonts w:ascii="Arial" w:hAnsi="Arial" w:cs="Arial"/>
                <w:color w:val="0C1320"/>
                <w:sz w:val="16"/>
                <w:szCs w:val="16"/>
                <w:shd w:val="clear" w:color="auto" w:fill="FFFFFF"/>
              </w:rPr>
              <w:t>Ahorros Energéticos Asegurados (ESI) para Inversiones Privadas de Micro, Pequeñas y Medianas Empresas (MIPYME)</w:t>
            </w:r>
          </w:p>
        </w:tc>
        <w:tc>
          <w:tcPr>
            <w:tcW w:w="1746" w:type="pct"/>
            <w:vAlign w:val="center"/>
          </w:tcPr>
          <w:p w14:paraId="1A8EEDF9" w14:textId="14E87BD6" w:rsidR="005D474A" w:rsidRPr="00010182" w:rsidRDefault="00F70EB9" w:rsidP="00010182">
            <w:pPr>
              <w:pStyle w:val="Paragraph"/>
              <w:numPr>
                <w:ilvl w:val="0"/>
                <w:numId w:val="0"/>
              </w:numPr>
              <w:tabs>
                <w:tab w:val="left" w:pos="-1260"/>
                <w:tab w:val="left" w:pos="180"/>
              </w:tabs>
              <w:rPr>
                <w:rFonts w:ascii="Arial" w:hAnsi="Arial" w:cs="Arial"/>
                <w:sz w:val="16"/>
                <w:szCs w:val="16"/>
                <w:lang w:val="es-419"/>
              </w:rPr>
            </w:pPr>
            <w:r w:rsidRPr="00010182">
              <w:rPr>
                <w:rFonts w:ascii="Arial" w:hAnsi="Arial" w:cs="Arial"/>
                <w:sz w:val="16"/>
                <w:szCs w:val="16"/>
                <w:lang w:val="es-419"/>
              </w:rPr>
              <w:t xml:space="preserve">El objetivo </w:t>
            </w:r>
            <w:r w:rsidR="000C0013" w:rsidRPr="00010182">
              <w:rPr>
                <w:rFonts w:ascii="Arial" w:hAnsi="Arial" w:cs="Arial"/>
                <w:sz w:val="16"/>
                <w:szCs w:val="16"/>
                <w:lang w:val="es-419"/>
              </w:rPr>
              <w:t xml:space="preserve">de la CT </w:t>
            </w:r>
            <w:r w:rsidRPr="00010182">
              <w:rPr>
                <w:rFonts w:ascii="Arial" w:hAnsi="Arial" w:cs="Arial"/>
                <w:sz w:val="16"/>
                <w:szCs w:val="16"/>
                <w:lang w:val="es-419"/>
              </w:rPr>
              <w:t>es apoyar la ejecución del programa “Préstamo Global de Crédito para el Financiamiento de Eficiencia Energética en Pequeñas y Medianas Empresas”, a través del desarrollo de instrumentos no financieros que contribuyan en la mejora de la capacidad técnica de diversos actores del mercado.</w:t>
            </w:r>
            <w:r w:rsidR="00010182" w:rsidRPr="00010182">
              <w:rPr>
                <w:rFonts w:ascii="Arial" w:hAnsi="Arial" w:cs="Arial"/>
                <w:sz w:val="16"/>
                <w:szCs w:val="16"/>
                <w:lang w:val="es-419"/>
              </w:rPr>
              <w:t xml:space="preserve"> </w:t>
            </w:r>
            <w:r w:rsidR="005D474A" w:rsidRPr="00010182">
              <w:rPr>
                <w:rFonts w:ascii="Arial" w:hAnsi="Arial" w:cs="Arial"/>
                <w:sz w:val="16"/>
                <w:szCs w:val="16"/>
                <w:lang w:val="es-419"/>
              </w:rPr>
              <w:t>Entre las a</w:t>
            </w:r>
            <w:r w:rsidR="00D73AEC" w:rsidRPr="00010182">
              <w:rPr>
                <w:rFonts w:ascii="Arial" w:hAnsi="Arial" w:cs="Arial"/>
                <w:sz w:val="16"/>
                <w:szCs w:val="16"/>
                <w:lang w:val="es-419"/>
              </w:rPr>
              <w:t xml:space="preserve">ctividades a financiar se </w:t>
            </w:r>
            <w:r w:rsidR="00AC695A" w:rsidRPr="00010182">
              <w:rPr>
                <w:rFonts w:ascii="Arial" w:hAnsi="Arial" w:cs="Arial"/>
                <w:sz w:val="16"/>
                <w:szCs w:val="16"/>
                <w:lang w:val="es-419"/>
              </w:rPr>
              <w:t xml:space="preserve">ha considerado el Desarrollo de un sistema de manejo de información para </w:t>
            </w:r>
            <w:r w:rsidR="00156D00" w:rsidRPr="00010182">
              <w:rPr>
                <w:rFonts w:ascii="Arial" w:hAnsi="Arial" w:cs="Arial"/>
                <w:sz w:val="16"/>
                <w:szCs w:val="16"/>
                <w:lang w:val="es-419"/>
              </w:rPr>
              <w:t xml:space="preserve">la ejecución y monitoreo en general del Programa y la sistematización del monitoreo y evaluación de impactos de la línea de </w:t>
            </w:r>
            <w:r w:rsidR="000C0013" w:rsidRPr="00010182">
              <w:rPr>
                <w:rFonts w:ascii="Arial" w:hAnsi="Arial" w:cs="Arial"/>
                <w:sz w:val="16"/>
                <w:szCs w:val="16"/>
                <w:lang w:val="es-419"/>
              </w:rPr>
              <w:t>crédito y el Programa 4567/GN-ES.</w:t>
            </w:r>
          </w:p>
        </w:tc>
        <w:tc>
          <w:tcPr>
            <w:tcW w:w="507" w:type="pct"/>
            <w:vAlign w:val="center"/>
          </w:tcPr>
          <w:p w14:paraId="45DBE1F0" w14:textId="5B0644EC" w:rsidR="009D34EC" w:rsidRPr="00770408" w:rsidRDefault="009D34EC" w:rsidP="00B95E73">
            <w:pPr>
              <w:pStyle w:val="Paragraph"/>
              <w:numPr>
                <w:ilvl w:val="0"/>
                <w:numId w:val="0"/>
              </w:numPr>
              <w:tabs>
                <w:tab w:val="left" w:pos="-1260"/>
                <w:tab w:val="left" w:pos="180"/>
              </w:tabs>
              <w:jc w:val="center"/>
              <w:rPr>
                <w:rFonts w:ascii="Arial" w:hAnsi="Arial" w:cs="Arial"/>
                <w:sz w:val="16"/>
                <w:szCs w:val="16"/>
                <w:lang w:val="es-419"/>
              </w:rPr>
            </w:pPr>
            <w:r>
              <w:rPr>
                <w:rFonts w:ascii="Arial" w:hAnsi="Arial" w:cs="Arial"/>
                <w:sz w:val="16"/>
                <w:szCs w:val="16"/>
                <w:lang w:val="es-419"/>
              </w:rPr>
              <w:t>2020/2020</w:t>
            </w:r>
          </w:p>
        </w:tc>
        <w:tc>
          <w:tcPr>
            <w:tcW w:w="531" w:type="pct"/>
            <w:tcBorders>
              <w:bottom w:val="single" w:sz="4" w:space="0" w:color="auto"/>
            </w:tcBorders>
            <w:vAlign w:val="center"/>
          </w:tcPr>
          <w:p w14:paraId="1BF4174E" w14:textId="236A7374" w:rsidR="009D34EC" w:rsidRPr="00770408" w:rsidRDefault="009D34EC" w:rsidP="00B95E73">
            <w:pPr>
              <w:pStyle w:val="Paragraph"/>
              <w:numPr>
                <w:ilvl w:val="0"/>
                <w:numId w:val="0"/>
              </w:numPr>
              <w:tabs>
                <w:tab w:val="left" w:pos="-1260"/>
                <w:tab w:val="left" w:pos="180"/>
              </w:tabs>
              <w:jc w:val="center"/>
              <w:rPr>
                <w:rFonts w:ascii="Arial" w:hAnsi="Arial" w:cs="Arial"/>
                <w:color w:val="0C1320"/>
                <w:sz w:val="16"/>
                <w:szCs w:val="16"/>
                <w:shd w:val="clear" w:color="auto" w:fill="FFFFFF"/>
              </w:rPr>
            </w:pPr>
            <w:r w:rsidRPr="00770408">
              <w:rPr>
                <w:rFonts w:ascii="Arial" w:hAnsi="Arial" w:cs="Arial"/>
                <w:sz w:val="16"/>
                <w:szCs w:val="16"/>
                <w:lang w:val="es-419"/>
              </w:rPr>
              <w:t>US$1.700.000</w:t>
            </w:r>
          </w:p>
        </w:tc>
        <w:tc>
          <w:tcPr>
            <w:tcW w:w="529" w:type="pct"/>
            <w:tcBorders>
              <w:bottom w:val="single" w:sz="4" w:space="0" w:color="auto"/>
            </w:tcBorders>
            <w:shd w:val="clear" w:color="auto" w:fill="D9D9D9" w:themeFill="background1" w:themeFillShade="D9"/>
            <w:vAlign w:val="center"/>
          </w:tcPr>
          <w:p w14:paraId="21527291" w14:textId="42D94A99" w:rsidR="009D34EC" w:rsidRPr="00770408" w:rsidRDefault="009D34EC" w:rsidP="00B95E73">
            <w:pPr>
              <w:pStyle w:val="Paragraph"/>
              <w:numPr>
                <w:ilvl w:val="0"/>
                <w:numId w:val="0"/>
              </w:numPr>
              <w:tabs>
                <w:tab w:val="left" w:pos="-1260"/>
                <w:tab w:val="left" w:pos="180"/>
              </w:tabs>
              <w:jc w:val="center"/>
              <w:rPr>
                <w:rFonts w:ascii="Arial" w:hAnsi="Arial" w:cs="Arial"/>
                <w:sz w:val="16"/>
                <w:szCs w:val="16"/>
                <w:lang w:val="es-419"/>
              </w:rPr>
            </w:pPr>
            <w:r w:rsidRPr="003D05EC">
              <w:rPr>
                <w:rFonts w:ascii="Arial" w:hAnsi="Arial" w:cs="Arial"/>
                <w:sz w:val="16"/>
                <w:szCs w:val="16"/>
                <w:lang w:val="es-419"/>
              </w:rPr>
              <w:t>US$</w:t>
            </w:r>
            <w:r>
              <w:rPr>
                <w:rFonts w:ascii="Arial" w:hAnsi="Arial" w:cs="Arial"/>
                <w:sz w:val="16"/>
                <w:szCs w:val="16"/>
                <w:lang w:val="es-419"/>
              </w:rPr>
              <w:t>150</w:t>
            </w:r>
            <w:r w:rsidRPr="003D05EC">
              <w:rPr>
                <w:rFonts w:ascii="Arial" w:hAnsi="Arial" w:cs="Arial"/>
                <w:sz w:val="16"/>
                <w:szCs w:val="16"/>
                <w:lang w:val="es-419"/>
              </w:rPr>
              <w:t>.000</w:t>
            </w:r>
          </w:p>
        </w:tc>
      </w:tr>
      <w:tr w:rsidR="00F70EB9" w:rsidRPr="00770408" w14:paraId="06E233D2" w14:textId="77777777" w:rsidTr="008E326E">
        <w:tc>
          <w:tcPr>
            <w:tcW w:w="3940" w:type="pct"/>
            <w:gridSpan w:val="5"/>
          </w:tcPr>
          <w:p w14:paraId="21CBCC8E" w14:textId="7AB5B408" w:rsidR="00F70EB9" w:rsidRPr="008E326E" w:rsidRDefault="00F70EB9" w:rsidP="00B95E73">
            <w:pPr>
              <w:pStyle w:val="Paragraph"/>
              <w:numPr>
                <w:ilvl w:val="0"/>
                <w:numId w:val="0"/>
              </w:numPr>
              <w:tabs>
                <w:tab w:val="left" w:pos="-1260"/>
                <w:tab w:val="left" w:pos="180"/>
              </w:tabs>
              <w:jc w:val="center"/>
              <w:rPr>
                <w:rFonts w:ascii="Arial" w:hAnsi="Arial" w:cs="Arial"/>
                <w:b/>
                <w:bCs/>
                <w:smallCaps/>
                <w:sz w:val="16"/>
                <w:szCs w:val="16"/>
                <w:lang w:val="es-419"/>
              </w:rPr>
            </w:pPr>
            <w:r w:rsidRPr="008E326E">
              <w:rPr>
                <w:rFonts w:ascii="Arial" w:hAnsi="Arial" w:cs="Arial"/>
                <w:b/>
                <w:bCs/>
                <w:smallCaps/>
                <w:sz w:val="16"/>
                <w:szCs w:val="16"/>
                <w:lang w:val="es-419"/>
              </w:rPr>
              <w:t>Total</w:t>
            </w:r>
          </w:p>
        </w:tc>
        <w:tc>
          <w:tcPr>
            <w:tcW w:w="531" w:type="pct"/>
            <w:tcBorders>
              <w:bottom w:val="single" w:sz="4" w:space="0" w:color="auto"/>
            </w:tcBorders>
            <w:vAlign w:val="center"/>
          </w:tcPr>
          <w:p w14:paraId="227324B3" w14:textId="094BBEA5" w:rsidR="00F70EB9" w:rsidRPr="008E326E" w:rsidRDefault="00F70EB9" w:rsidP="00B95E73">
            <w:pPr>
              <w:pStyle w:val="Paragraph"/>
              <w:numPr>
                <w:ilvl w:val="0"/>
                <w:numId w:val="0"/>
              </w:numPr>
              <w:tabs>
                <w:tab w:val="left" w:pos="-1260"/>
                <w:tab w:val="left" w:pos="180"/>
              </w:tabs>
              <w:jc w:val="center"/>
              <w:rPr>
                <w:rFonts w:ascii="Arial" w:hAnsi="Arial" w:cs="Arial"/>
                <w:b/>
                <w:bCs/>
                <w:smallCaps/>
                <w:sz w:val="16"/>
                <w:szCs w:val="16"/>
                <w:lang w:val="es-419"/>
              </w:rPr>
            </w:pPr>
            <w:r w:rsidRPr="008E326E">
              <w:rPr>
                <w:rFonts w:ascii="Arial" w:hAnsi="Arial" w:cs="Arial"/>
                <w:b/>
                <w:bCs/>
                <w:smallCaps/>
                <w:sz w:val="16"/>
                <w:szCs w:val="16"/>
                <w:lang w:val="es-419"/>
              </w:rPr>
              <w:t>US$2.380.000</w:t>
            </w:r>
          </w:p>
        </w:tc>
        <w:tc>
          <w:tcPr>
            <w:tcW w:w="529" w:type="pct"/>
            <w:tcBorders>
              <w:bottom w:val="single" w:sz="4" w:space="0" w:color="auto"/>
            </w:tcBorders>
            <w:shd w:val="clear" w:color="auto" w:fill="D9D9D9" w:themeFill="background1" w:themeFillShade="D9"/>
            <w:vAlign w:val="center"/>
          </w:tcPr>
          <w:p w14:paraId="3653BAF3" w14:textId="1C0A851A" w:rsidR="00F70EB9" w:rsidRPr="008E326E" w:rsidRDefault="00F70EB9" w:rsidP="00B95E73">
            <w:pPr>
              <w:pStyle w:val="Paragraph"/>
              <w:numPr>
                <w:ilvl w:val="0"/>
                <w:numId w:val="0"/>
              </w:numPr>
              <w:tabs>
                <w:tab w:val="left" w:pos="-1260"/>
                <w:tab w:val="left" w:pos="180"/>
              </w:tabs>
              <w:jc w:val="center"/>
              <w:rPr>
                <w:rFonts w:ascii="Arial" w:hAnsi="Arial" w:cs="Arial"/>
                <w:b/>
                <w:bCs/>
                <w:smallCaps/>
                <w:sz w:val="16"/>
                <w:szCs w:val="16"/>
                <w:lang w:val="es-419"/>
              </w:rPr>
            </w:pPr>
            <w:r w:rsidRPr="008E326E">
              <w:rPr>
                <w:rFonts w:ascii="Arial" w:hAnsi="Arial" w:cs="Arial"/>
                <w:b/>
                <w:bCs/>
                <w:smallCaps/>
                <w:sz w:val="16"/>
                <w:szCs w:val="16"/>
                <w:lang w:val="es-419"/>
              </w:rPr>
              <w:t>US$350.000</w:t>
            </w:r>
          </w:p>
        </w:tc>
      </w:tr>
    </w:tbl>
    <w:p w14:paraId="3F6E4415" w14:textId="77777777" w:rsidR="00CC3002" w:rsidRPr="00EE4B4E" w:rsidRDefault="00B66B9E">
      <w:pPr>
        <w:rPr>
          <w:b/>
          <w:bCs/>
          <w:lang w:val="es-419"/>
        </w:rPr>
      </w:pPr>
    </w:p>
    <w:sectPr w:rsidR="00CC3002" w:rsidRPr="00EE4B4E" w:rsidSect="00F867A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3B3DFC"/>
    <w:multiLevelType w:val="multilevel"/>
    <w:tmpl w:val="5F04A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905A8"/>
    <w:multiLevelType w:val="multilevel"/>
    <w:tmpl w:val="4B6A8AB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1296"/>
        </w:tabs>
        <w:ind w:left="1296" w:hanging="1296"/>
      </w:pPr>
      <w:rPr>
        <w:rFonts w:ascii="Arial" w:hAnsi="Arial" w:cs="Arial" w:hint="default"/>
        <w:b w:val="0"/>
        <w:i w:val="0"/>
        <w:sz w:val="22"/>
        <w:szCs w:val="22"/>
        <w:lang w:val="es-E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 w15:restartNumberingAfterBreak="0">
    <w:nsid w:val="60881973"/>
    <w:multiLevelType w:val="multilevel"/>
    <w:tmpl w:val="3C6092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B4E"/>
    <w:rsid w:val="00007BCA"/>
    <w:rsid w:val="00010182"/>
    <w:rsid w:val="0007355B"/>
    <w:rsid w:val="0009322F"/>
    <w:rsid w:val="00095127"/>
    <w:rsid w:val="000C0013"/>
    <w:rsid w:val="000C2FB4"/>
    <w:rsid w:val="001362AE"/>
    <w:rsid w:val="00156D00"/>
    <w:rsid w:val="00165D36"/>
    <w:rsid w:val="00190696"/>
    <w:rsid w:val="00192709"/>
    <w:rsid w:val="001C6751"/>
    <w:rsid w:val="0020650F"/>
    <w:rsid w:val="002267DE"/>
    <w:rsid w:val="002558F9"/>
    <w:rsid w:val="00263CEE"/>
    <w:rsid w:val="002A2090"/>
    <w:rsid w:val="002E4039"/>
    <w:rsid w:val="004025C2"/>
    <w:rsid w:val="004138D0"/>
    <w:rsid w:val="0042731A"/>
    <w:rsid w:val="004955FB"/>
    <w:rsid w:val="004C60B3"/>
    <w:rsid w:val="005124D9"/>
    <w:rsid w:val="005166BB"/>
    <w:rsid w:val="0056752D"/>
    <w:rsid w:val="00596E53"/>
    <w:rsid w:val="005D474A"/>
    <w:rsid w:val="005D7786"/>
    <w:rsid w:val="005E3062"/>
    <w:rsid w:val="00631004"/>
    <w:rsid w:val="00652F18"/>
    <w:rsid w:val="007173E0"/>
    <w:rsid w:val="0074202D"/>
    <w:rsid w:val="00770408"/>
    <w:rsid w:val="00787B96"/>
    <w:rsid w:val="007E0868"/>
    <w:rsid w:val="00815F2D"/>
    <w:rsid w:val="008A096D"/>
    <w:rsid w:val="008A18DD"/>
    <w:rsid w:val="008E326E"/>
    <w:rsid w:val="00982267"/>
    <w:rsid w:val="009847A9"/>
    <w:rsid w:val="0099333B"/>
    <w:rsid w:val="009D34EC"/>
    <w:rsid w:val="009E3EF6"/>
    <w:rsid w:val="00A030C4"/>
    <w:rsid w:val="00A50624"/>
    <w:rsid w:val="00A67C43"/>
    <w:rsid w:val="00AC2904"/>
    <w:rsid w:val="00AC695A"/>
    <w:rsid w:val="00B12DDF"/>
    <w:rsid w:val="00B2060A"/>
    <w:rsid w:val="00B66B9E"/>
    <w:rsid w:val="00B81475"/>
    <w:rsid w:val="00B95E73"/>
    <w:rsid w:val="00C06177"/>
    <w:rsid w:val="00C53292"/>
    <w:rsid w:val="00CB1F0D"/>
    <w:rsid w:val="00D13A21"/>
    <w:rsid w:val="00D23D18"/>
    <w:rsid w:val="00D73AEC"/>
    <w:rsid w:val="00DB56A9"/>
    <w:rsid w:val="00DE1294"/>
    <w:rsid w:val="00E158CC"/>
    <w:rsid w:val="00E27B4A"/>
    <w:rsid w:val="00E75EB7"/>
    <w:rsid w:val="00EE31F9"/>
    <w:rsid w:val="00EE4B4E"/>
    <w:rsid w:val="00F165BF"/>
    <w:rsid w:val="00F1660C"/>
    <w:rsid w:val="00F53F33"/>
    <w:rsid w:val="00F70EB9"/>
    <w:rsid w:val="00F867A6"/>
    <w:rsid w:val="00FA40F2"/>
    <w:rsid w:val="00FC6068"/>
    <w:rsid w:val="47D61C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45AEF"/>
  <w15:chartTrackingRefBased/>
  <w15:docId w15:val="{9A7E3A3D-513A-455A-9F3F-03954E35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qFormat/>
    <w:rsid w:val="00EE4B4E"/>
    <w:pPr>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at Char,paragraph+1"/>
    <w:basedOn w:val="BodyTextIndent"/>
    <w:link w:val="ParagraphChar"/>
    <w:qFormat/>
    <w:rsid w:val="00EE4B4E"/>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EE4B4E"/>
    <w:pPr>
      <w:numPr>
        <w:ilvl w:val="2"/>
        <w:numId w:val="1"/>
      </w:numPr>
      <w:tabs>
        <w:tab w:val="clear" w:pos="2304"/>
        <w:tab w:val="num" w:pos="360"/>
      </w:tabs>
      <w:spacing w:before="120" w:line="240" w:lineRule="auto"/>
      <w:ind w:left="360" w:firstLine="0"/>
      <w:jc w:val="both"/>
      <w:outlineLvl w:val="2"/>
    </w:pPr>
    <w:rPr>
      <w:rFonts w:ascii="Times New Roman" w:eastAsia="Times New Roman" w:hAnsi="Times New Roman" w:cs="Times New Roman"/>
      <w:sz w:val="24"/>
      <w:lang w:val="es-ES_tradnl"/>
    </w:rPr>
  </w:style>
  <w:style w:type="paragraph" w:customStyle="1" w:styleId="SubSubPar">
    <w:name w:val="SubSubPar"/>
    <w:basedOn w:val="subpar"/>
    <w:rsid w:val="00EE4B4E"/>
    <w:pPr>
      <w:numPr>
        <w:ilvl w:val="3"/>
      </w:numPr>
      <w:tabs>
        <w:tab w:val="clear" w:pos="2736"/>
        <w:tab w:val="left" w:pos="0"/>
        <w:tab w:val="num" w:pos="360"/>
        <w:tab w:val="num" w:pos="1296"/>
      </w:tabs>
      <w:ind w:left="1296"/>
    </w:pPr>
  </w:style>
  <w:style w:type="character" w:customStyle="1" w:styleId="ParagraphChar">
    <w:name w:val="Paragraph Char"/>
    <w:aliases w:val="paragraph Char,p Char,PARAGRAPH Char,PG Char,pa Char,Paragraph Char1"/>
    <w:link w:val="Paragraph"/>
    <w:rsid w:val="00EE4B4E"/>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EE4B4E"/>
    <w:pPr>
      <w:spacing w:after="120"/>
      <w:ind w:left="360"/>
    </w:pPr>
  </w:style>
  <w:style w:type="character" w:customStyle="1" w:styleId="BodyTextIndentChar">
    <w:name w:val="Body Text Indent Char"/>
    <w:basedOn w:val="DefaultParagraphFont"/>
    <w:link w:val="BodyTextIndent"/>
    <w:uiPriority w:val="99"/>
    <w:semiHidden/>
    <w:rsid w:val="00EE4B4E"/>
  </w:style>
  <w:style w:type="paragraph" w:styleId="BodyTextIndent3">
    <w:name w:val="Body Text Indent 3"/>
    <w:basedOn w:val="Normal"/>
    <w:link w:val="BodyTextIndent3Char"/>
    <w:uiPriority w:val="99"/>
    <w:semiHidden/>
    <w:unhideWhenUsed/>
    <w:rsid w:val="00EE4B4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E4B4E"/>
    <w:rPr>
      <w:sz w:val="16"/>
      <w:szCs w:val="16"/>
    </w:rPr>
  </w:style>
  <w:style w:type="table" w:styleId="TableGrid">
    <w:name w:val="Table Grid"/>
    <w:basedOn w:val="TableNormal"/>
    <w:uiPriority w:val="39"/>
    <w:rsid w:val="00EE4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E08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0868"/>
    <w:rPr>
      <w:rFonts w:ascii="Segoe UI" w:hAnsi="Segoe UI" w:cs="Segoe UI"/>
      <w:sz w:val="18"/>
      <w:szCs w:val="18"/>
    </w:rPr>
  </w:style>
  <w:style w:type="paragraph" w:styleId="NormalWeb">
    <w:name w:val="Normal (Web)"/>
    <w:basedOn w:val="Normal"/>
    <w:uiPriority w:val="99"/>
    <w:semiHidden/>
    <w:unhideWhenUsed/>
    <w:rsid w:val="002558F9"/>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466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ustomXml" Target="../customXml/item6.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50</Value>
      <Value>27</Value>
      <Value>24</Value>
      <Value>262</Value>
      <Value>1</Value>
      <Value>51</Value>
    </TaxCatchAll>
    <Operation_x0020_Type xmlns="cdc7663a-08f0-4737-9e8c-148ce897a09c" xsi:nil="true"/>
    <Package_x0020_Code xmlns="cdc7663a-08f0-4737-9e8c-148ce897a09c" xsi:nil="true"/>
    <Identifier xmlns="cdc7663a-08f0-4737-9e8c-148ce897a09c">EEO</Identifier>
    <Project_x0020_Number xmlns="cdc7663a-08f0-4737-9e8c-148ce897a09c">ES-L1138;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EZSHARE-780044944-45</_dlc_DocId>
    <_dlc_DocIdUrl xmlns="cdc7663a-08f0-4737-9e8c-148ce897a09c">
      <Url>https://idbg.sharepoint.com/teams/EZ-ES-LON/ES-L1138/_layouts/15/DocIdRedir.aspx?ID=EZSHARE-780044944-45</Url>
      <Description>EZSHARE-780044944-45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14E89286345F4BA26AFD550E3F34D7" ma:contentTypeVersion="222" ma:contentTypeDescription="A content type to manage public (operations) IDB documents" ma:contentTypeScope="" ma:versionID="eea864a517a8a7e9c5c9d40b8964014d">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B5D43F-9A5D-42BB-9158-B010885B4943}">
  <ds:schemaRefs>
    <ds:schemaRef ds:uri="http://schemas.microsoft.com/sharepoint/v3/contenttype/forms"/>
  </ds:schemaRefs>
</ds:datastoreItem>
</file>

<file path=customXml/itemProps2.xml><?xml version="1.0" encoding="utf-8"?>
<ds:datastoreItem xmlns:ds="http://schemas.openxmlformats.org/officeDocument/2006/customXml" ds:itemID="{D373B743-8FA9-47C3-9929-9607D6724F5A}">
  <ds:schemaRefs>
    <ds:schemaRef ds:uri="http://purl.org/dc/elements/1.1/"/>
    <ds:schemaRef ds:uri="http://schemas.microsoft.com/office/2006/metadata/properties"/>
    <ds:schemaRef ds:uri="00a23cd6-e6f6-4b48-b378-fe6b5d322c5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6aabb3d-2200-4d75-8f41-4312ac664642"/>
    <ds:schemaRef ds:uri="http://www.w3.org/XML/1998/namespace"/>
    <ds:schemaRef ds:uri="http://purl.org/dc/dcmitype/"/>
  </ds:schemaRefs>
</ds:datastoreItem>
</file>

<file path=customXml/itemProps3.xml><?xml version="1.0" encoding="utf-8"?>
<ds:datastoreItem xmlns:ds="http://schemas.openxmlformats.org/officeDocument/2006/customXml" ds:itemID="{E95F5500-CEDB-460E-ACB5-5F4BAADA51B9}"/>
</file>

<file path=customXml/itemProps4.xml><?xml version="1.0" encoding="utf-8"?>
<ds:datastoreItem xmlns:ds="http://schemas.openxmlformats.org/officeDocument/2006/customXml" ds:itemID="{373A3385-EA5C-4E7B-8D80-400BD0B81D34}">
  <ds:schemaRefs>
    <ds:schemaRef ds:uri="http://schemas.openxmlformats.org/officeDocument/2006/bibliography"/>
  </ds:schemaRefs>
</ds:datastoreItem>
</file>

<file path=customXml/itemProps5.xml><?xml version="1.0" encoding="utf-8"?>
<ds:datastoreItem xmlns:ds="http://schemas.openxmlformats.org/officeDocument/2006/customXml" ds:itemID="{FCB4D295-49E8-427A-8604-7F514C91C308}"/>
</file>

<file path=customXml/itemProps6.xml><?xml version="1.0" encoding="utf-8"?>
<ds:datastoreItem xmlns:ds="http://schemas.openxmlformats.org/officeDocument/2006/customXml" ds:itemID="{69584F5A-6D28-4C09-BD0C-72A829F1754C}"/>
</file>

<file path=customXml/itemProps7.xml><?xml version="1.0" encoding="utf-8"?>
<ds:datastoreItem xmlns:ds="http://schemas.openxmlformats.org/officeDocument/2006/customXml" ds:itemID="{7220CA5C-AEA9-40FF-A741-9BD776376C27}"/>
</file>

<file path=docProps/app.xml><?xml version="1.0" encoding="utf-8"?>
<Properties xmlns="http://schemas.openxmlformats.org/officeDocument/2006/extended-properties" xmlns:vt="http://schemas.openxmlformats.org/officeDocument/2006/docPropsVTypes">
  <Template>Normal</Template>
  <TotalTime>0</TotalTime>
  <Pages>2</Pages>
  <Words>762</Words>
  <Characters>4345</Characters>
  <Application>Microsoft Office Word</Application>
  <DocSecurity>0</DocSecurity>
  <Lines>36</Lines>
  <Paragraphs>10</Paragraphs>
  <ScaleCrop>false</ScaleCrop>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Villacorta Alvarez, Omar</dc:creator>
  <cp:keywords>Enlace Opcional post QRR</cp:keywords>
  <dc:description/>
  <cp:lastModifiedBy>Lozano Miranda, Ana Lucia</cp:lastModifiedBy>
  <cp:revision>2</cp:revision>
  <dcterms:created xsi:type="dcterms:W3CDTF">2020-05-18T14:09:00Z</dcterms:created>
  <dcterms:modified xsi:type="dcterms:W3CDTF">2020-05-18T14:09:00Z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262;#Enlace Opcional post QRR|df293057-fd7a-40fc-baf6-e16e6367e3c2</vt:lpwstr>
  </property>
  <property fmtid="{D5CDD505-2E9C-101B-9397-08002B2CF9AE}" pid="4" name="TaxKeywordTaxHTField">
    <vt:lpwstr>Enlace Opcional post QRR|df293057-fd7a-40fc-baf6-e16e6367e3c2</vt:lpwstr>
  </property>
  <property fmtid="{D5CDD505-2E9C-101B-9397-08002B2CF9AE}" pid="5" name="Series Operations IDB">
    <vt:lpwstr/>
  </property>
  <property fmtid="{D5CDD505-2E9C-101B-9397-08002B2CF9AE}" pid="6" name="Sub-Sector">
    <vt:lpwstr>51;#BANKING MARKET DEVELOPMENT|5f08329b-f2bb-4342-ba75-eb4216b403d4</vt:lpwstr>
  </property>
  <property fmtid="{D5CDD505-2E9C-101B-9397-08002B2CF9AE}" pid="7" name="Fund IDB">
    <vt:lpwstr>27;#ORC|c028a4b2-ad8b-4cf4-9cac-a2ae6a778e23</vt:lpwstr>
  </property>
  <property fmtid="{D5CDD505-2E9C-101B-9397-08002B2CF9AE}" pid="8" name="Country">
    <vt:lpwstr>24;#El Salvador|057b77a9-2761-48a1-b9dc-78a115c002df</vt:lpwstr>
  </property>
  <property fmtid="{D5CDD505-2E9C-101B-9397-08002B2CF9AE}" pid="9" name="Sector IDB">
    <vt:lpwstr>50;#FINANCIAL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c03f6c89-cb21-4703-a681-752dc87c218c</vt:lpwstr>
  </property>
  <property fmtid="{D5CDD505-2E9C-101B-9397-08002B2CF9AE}" pid="12" name="ContentTypeId">
    <vt:lpwstr>0x0101001A458A224826124E8B45B1D613300CFC00BC14E89286345F4BA26AFD550E3F34D7</vt:lpwstr>
  </property>
</Properties>
</file>