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D6772A" w14:textId="77777777" w:rsidR="00C77236" w:rsidRPr="00046E14" w:rsidRDefault="00C77236" w:rsidP="00C77236">
      <w:pPr>
        <w:tabs>
          <w:tab w:val="left" w:pos="1440"/>
          <w:tab w:val="left" w:pos="3060"/>
        </w:tabs>
        <w:jc w:val="center"/>
        <w:rPr>
          <w:rFonts w:ascii="Arial" w:hAnsi="Arial" w:cs="Arial"/>
          <w:b/>
          <w:smallCaps/>
          <w:sz w:val="28"/>
          <w:szCs w:val="28"/>
          <w:lang w:val="es-ES"/>
        </w:rPr>
      </w:pPr>
      <w:bookmarkStart w:id="0" w:name="_Hlk36292361"/>
      <w:r>
        <w:rPr>
          <w:rFonts w:ascii="Arial" w:hAnsi="Arial" w:cs="Arial"/>
          <w:b/>
          <w:smallCaps/>
          <w:sz w:val="28"/>
          <w:szCs w:val="28"/>
          <w:lang w:val="es-ES"/>
        </w:rPr>
        <w:t>El Salvador</w:t>
      </w:r>
    </w:p>
    <w:p w14:paraId="10A67C0C" w14:textId="77777777" w:rsidR="00C77236" w:rsidRPr="00046E14" w:rsidRDefault="00C77236" w:rsidP="00C77236">
      <w:pPr>
        <w:tabs>
          <w:tab w:val="left" w:pos="1440"/>
          <w:tab w:val="left" w:pos="3060"/>
        </w:tabs>
        <w:jc w:val="center"/>
        <w:rPr>
          <w:rFonts w:ascii="Arial" w:hAnsi="Arial" w:cs="Arial"/>
          <w:smallCaps/>
          <w:lang w:val="es-ES"/>
        </w:rPr>
      </w:pPr>
    </w:p>
    <w:p w14:paraId="5DF1A084" w14:textId="77777777" w:rsidR="00C77236" w:rsidRPr="00046E14" w:rsidRDefault="00C77236" w:rsidP="00C77236">
      <w:pPr>
        <w:tabs>
          <w:tab w:val="left" w:pos="1440"/>
          <w:tab w:val="left" w:pos="3060"/>
        </w:tabs>
        <w:jc w:val="center"/>
        <w:rPr>
          <w:rFonts w:ascii="Arial" w:hAnsi="Arial" w:cs="Arial"/>
          <w:smallCaps/>
          <w:lang w:val="es-ES"/>
        </w:rPr>
      </w:pPr>
    </w:p>
    <w:p w14:paraId="19A7BEB9" w14:textId="77777777" w:rsidR="00C77236" w:rsidRPr="007C0F77" w:rsidRDefault="00C77236" w:rsidP="00C77236">
      <w:pPr>
        <w:tabs>
          <w:tab w:val="left" w:pos="1440"/>
          <w:tab w:val="left" w:pos="3060"/>
        </w:tabs>
        <w:jc w:val="center"/>
        <w:rPr>
          <w:rFonts w:ascii="Arial" w:hAnsi="Arial" w:cs="Arial"/>
          <w:b/>
          <w:smallCaps/>
          <w:sz w:val="28"/>
          <w:szCs w:val="28"/>
          <w:lang w:val="es-ES"/>
        </w:rPr>
      </w:pPr>
      <w:r w:rsidRPr="007C0F77">
        <w:rPr>
          <w:rFonts w:ascii="Arial" w:hAnsi="Arial" w:cs="Arial"/>
          <w:b/>
          <w:smallCaps/>
          <w:sz w:val="28"/>
          <w:szCs w:val="28"/>
          <w:lang w:val="es-ES"/>
        </w:rPr>
        <w:t xml:space="preserve">Línea </w:t>
      </w:r>
      <w:r>
        <w:rPr>
          <w:rFonts w:ascii="Arial" w:hAnsi="Arial" w:cs="Arial"/>
          <w:b/>
          <w:smallCaps/>
          <w:sz w:val="28"/>
          <w:szCs w:val="28"/>
          <w:lang w:val="es-ES"/>
        </w:rPr>
        <w:t xml:space="preserve">de </w:t>
      </w:r>
      <w:r w:rsidRPr="001322D1">
        <w:rPr>
          <w:rFonts w:ascii="Arial" w:hAnsi="Arial" w:cs="Arial"/>
          <w:b/>
          <w:smallCaps/>
          <w:sz w:val="28"/>
          <w:szCs w:val="28"/>
          <w:lang w:val="es-ES"/>
        </w:rPr>
        <w:t xml:space="preserve">Crédito Condicional para Proyectos de Inversión (CCLIP) </w:t>
      </w:r>
      <w:r>
        <w:rPr>
          <w:rFonts w:ascii="Arial" w:hAnsi="Arial" w:cs="Arial"/>
          <w:b/>
          <w:smallCaps/>
          <w:sz w:val="28"/>
          <w:szCs w:val="28"/>
          <w:lang w:val="es-ES"/>
        </w:rPr>
        <w:t>de Acceso al</w:t>
      </w:r>
      <w:r w:rsidRPr="001322D1">
        <w:rPr>
          <w:rFonts w:ascii="Arial" w:hAnsi="Arial" w:cs="Arial"/>
          <w:b/>
          <w:smallCaps/>
          <w:sz w:val="28"/>
          <w:szCs w:val="28"/>
          <w:lang w:val="es-ES"/>
        </w:rPr>
        <w:t xml:space="preserve"> Crédito Empresarial y de Vivienda</w:t>
      </w:r>
    </w:p>
    <w:p w14:paraId="38CC9EBE" w14:textId="77777777" w:rsidR="00C77236" w:rsidRPr="007C0F77" w:rsidRDefault="00C77236" w:rsidP="00C77236">
      <w:pPr>
        <w:tabs>
          <w:tab w:val="left" w:pos="1440"/>
          <w:tab w:val="left" w:pos="3060"/>
        </w:tabs>
        <w:jc w:val="center"/>
        <w:rPr>
          <w:rFonts w:ascii="Arial" w:hAnsi="Arial" w:cs="Arial"/>
          <w:b/>
          <w:smallCaps/>
          <w:sz w:val="28"/>
          <w:szCs w:val="28"/>
          <w:lang w:val="es-ES"/>
        </w:rPr>
      </w:pPr>
      <w:r w:rsidRPr="007C0F77">
        <w:rPr>
          <w:rFonts w:ascii="Arial" w:hAnsi="Arial" w:cs="Arial"/>
          <w:b/>
          <w:smallCaps/>
          <w:sz w:val="28"/>
          <w:szCs w:val="28"/>
          <w:lang w:val="es-ES"/>
        </w:rPr>
        <w:t>(</w:t>
      </w:r>
      <w:r>
        <w:rPr>
          <w:rFonts w:ascii="Arial" w:hAnsi="Arial" w:cs="Arial"/>
          <w:b/>
          <w:smallCaps/>
          <w:sz w:val="28"/>
          <w:szCs w:val="28"/>
          <w:lang w:val="es-ES"/>
        </w:rPr>
        <w:t>ES</w:t>
      </w:r>
      <w:r w:rsidRPr="007C0F77">
        <w:rPr>
          <w:rFonts w:ascii="Arial" w:hAnsi="Arial" w:cs="Arial"/>
          <w:b/>
          <w:smallCaps/>
          <w:sz w:val="28"/>
          <w:szCs w:val="28"/>
          <w:lang w:val="es-ES"/>
        </w:rPr>
        <w:t>-O000</w:t>
      </w:r>
      <w:r>
        <w:rPr>
          <w:rFonts w:ascii="Arial" w:hAnsi="Arial" w:cs="Arial"/>
          <w:b/>
          <w:smallCaps/>
          <w:sz w:val="28"/>
          <w:szCs w:val="28"/>
          <w:lang w:val="es-ES"/>
        </w:rPr>
        <w:t>9</w:t>
      </w:r>
      <w:r w:rsidRPr="007C0F77">
        <w:rPr>
          <w:rFonts w:ascii="Arial" w:hAnsi="Arial" w:cs="Arial"/>
          <w:b/>
          <w:smallCaps/>
          <w:sz w:val="28"/>
          <w:szCs w:val="28"/>
          <w:lang w:val="es-ES"/>
        </w:rPr>
        <w:t>)</w:t>
      </w:r>
    </w:p>
    <w:p w14:paraId="1CF2C441" w14:textId="77777777" w:rsidR="00C77236" w:rsidRPr="007C0F77" w:rsidRDefault="00C77236" w:rsidP="00C77236">
      <w:pPr>
        <w:tabs>
          <w:tab w:val="left" w:pos="1440"/>
          <w:tab w:val="left" w:pos="3060"/>
        </w:tabs>
        <w:jc w:val="center"/>
        <w:rPr>
          <w:rFonts w:ascii="Arial" w:hAnsi="Arial" w:cs="Arial"/>
          <w:b/>
          <w:smallCaps/>
          <w:sz w:val="28"/>
          <w:szCs w:val="28"/>
          <w:lang w:val="es-ES"/>
        </w:rPr>
      </w:pPr>
    </w:p>
    <w:p w14:paraId="285FB44D" w14:textId="77777777" w:rsidR="00C77236" w:rsidRPr="007C0F77" w:rsidRDefault="00C77236" w:rsidP="00C77236">
      <w:pPr>
        <w:tabs>
          <w:tab w:val="left" w:pos="1440"/>
          <w:tab w:val="left" w:pos="3060"/>
        </w:tabs>
        <w:jc w:val="center"/>
        <w:rPr>
          <w:rFonts w:ascii="Arial" w:hAnsi="Arial" w:cs="Arial"/>
          <w:b/>
          <w:smallCaps/>
          <w:sz w:val="28"/>
          <w:szCs w:val="28"/>
          <w:lang w:val="es-ES"/>
        </w:rPr>
      </w:pPr>
    </w:p>
    <w:p w14:paraId="7A94BAC5" w14:textId="77777777" w:rsidR="00C77236" w:rsidRPr="007C0F77" w:rsidRDefault="00C77236" w:rsidP="00C77236">
      <w:pPr>
        <w:tabs>
          <w:tab w:val="left" w:pos="1440"/>
          <w:tab w:val="left" w:pos="3060"/>
        </w:tabs>
        <w:jc w:val="center"/>
        <w:rPr>
          <w:rFonts w:ascii="Arial" w:hAnsi="Arial" w:cs="Arial"/>
          <w:b/>
          <w:smallCaps/>
          <w:sz w:val="28"/>
          <w:szCs w:val="28"/>
          <w:lang w:val="es-ES"/>
        </w:rPr>
      </w:pPr>
    </w:p>
    <w:p w14:paraId="36CE1EBD" w14:textId="77777777" w:rsidR="00C77236" w:rsidRPr="007C0F77" w:rsidRDefault="00C77236" w:rsidP="00C77236">
      <w:pPr>
        <w:tabs>
          <w:tab w:val="left" w:pos="1440"/>
          <w:tab w:val="left" w:pos="3060"/>
        </w:tabs>
        <w:jc w:val="center"/>
        <w:rPr>
          <w:rFonts w:ascii="Arial" w:hAnsi="Arial" w:cs="Arial"/>
          <w:b/>
          <w:smallCaps/>
          <w:sz w:val="28"/>
          <w:szCs w:val="28"/>
          <w:lang w:val="es-ES"/>
        </w:rPr>
      </w:pPr>
      <w:r w:rsidRPr="007C0F77">
        <w:rPr>
          <w:rFonts w:ascii="Arial" w:hAnsi="Arial" w:cs="Arial"/>
          <w:b/>
          <w:smallCaps/>
          <w:sz w:val="28"/>
          <w:szCs w:val="28"/>
          <w:lang w:val="es-ES"/>
        </w:rPr>
        <w:t xml:space="preserve">Primer Programa </w:t>
      </w:r>
      <w:bookmarkStart w:id="1" w:name="_Hlk38268451"/>
      <w:r>
        <w:rPr>
          <w:rFonts w:ascii="Arial" w:hAnsi="Arial" w:cs="Arial"/>
          <w:b/>
          <w:smallCaps/>
          <w:sz w:val="28"/>
          <w:szCs w:val="28"/>
          <w:lang w:val="es-ES"/>
        </w:rPr>
        <w:t>de Acceso al Crédito para la Recuperación de la Micro, Pequeña y Mediana Empresa (MIPYME)</w:t>
      </w:r>
      <w:bookmarkEnd w:id="1"/>
    </w:p>
    <w:p w14:paraId="29C11F62" w14:textId="77777777" w:rsidR="00C77236" w:rsidRPr="007C0F77" w:rsidRDefault="00C77236" w:rsidP="00C77236">
      <w:pPr>
        <w:tabs>
          <w:tab w:val="left" w:pos="1440"/>
          <w:tab w:val="left" w:pos="3060"/>
        </w:tabs>
        <w:jc w:val="center"/>
        <w:rPr>
          <w:rFonts w:ascii="Arial" w:hAnsi="Arial" w:cs="Arial"/>
          <w:b/>
          <w:smallCaps/>
          <w:sz w:val="28"/>
          <w:szCs w:val="28"/>
          <w:lang w:val="es-ES"/>
        </w:rPr>
      </w:pPr>
      <w:r w:rsidRPr="007C0F77">
        <w:rPr>
          <w:rFonts w:ascii="Arial" w:hAnsi="Arial" w:cs="Arial"/>
          <w:b/>
          <w:smallCaps/>
          <w:sz w:val="28"/>
          <w:szCs w:val="28"/>
          <w:lang w:val="es-ES"/>
        </w:rPr>
        <w:t>(</w:t>
      </w:r>
      <w:r>
        <w:rPr>
          <w:rFonts w:ascii="Arial" w:hAnsi="Arial" w:cs="Arial"/>
          <w:b/>
          <w:smallCaps/>
          <w:sz w:val="28"/>
          <w:szCs w:val="28"/>
          <w:lang w:val="es-ES"/>
        </w:rPr>
        <w:t>ES</w:t>
      </w:r>
      <w:r w:rsidRPr="007C0F77">
        <w:rPr>
          <w:rFonts w:ascii="Arial" w:hAnsi="Arial" w:cs="Arial"/>
          <w:b/>
          <w:smallCaps/>
          <w:sz w:val="28"/>
          <w:szCs w:val="28"/>
          <w:lang w:val="es-ES"/>
        </w:rPr>
        <w:t>-L1</w:t>
      </w:r>
      <w:r>
        <w:rPr>
          <w:rFonts w:ascii="Arial" w:hAnsi="Arial" w:cs="Arial"/>
          <w:b/>
          <w:smallCaps/>
          <w:sz w:val="28"/>
          <w:szCs w:val="28"/>
          <w:lang w:val="es-ES"/>
        </w:rPr>
        <w:t>138</w:t>
      </w:r>
      <w:r w:rsidRPr="007C0F77">
        <w:rPr>
          <w:rFonts w:ascii="Arial" w:hAnsi="Arial" w:cs="Arial"/>
          <w:b/>
          <w:smallCaps/>
          <w:sz w:val="28"/>
          <w:szCs w:val="28"/>
          <w:lang w:val="es-ES"/>
        </w:rPr>
        <w:t>)</w:t>
      </w:r>
    </w:p>
    <w:p w14:paraId="70DDBD4D" w14:textId="77777777" w:rsidR="00C77236" w:rsidRPr="00046E14" w:rsidRDefault="00C77236" w:rsidP="00C77236">
      <w:pPr>
        <w:tabs>
          <w:tab w:val="left" w:pos="1440"/>
          <w:tab w:val="left" w:pos="3060"/>
        </w:tabs>
        <w:jc w:val="center"/>
        <w:rPr>
          <w:rFonts w:ascii="Arial" w:hAnsi="Arial" w:cs="Arial"/>
          <w:smallCaps/>
          <w:lang w:val="es-ES"/>
        </w:rPr>
      </w:pPr>
    </w:p>
    <w:p w14:paraId="05B436DA" w14:textId="77777777" w:rsidR="00C77236" w:rsidRPr="00D515C7" w:rsidRDefault="00C77236" w:rsidP="00C77236">
      <w:pPr>
        <w:tabs>
          <w:tab w:val="left" w:pos="1440"/>
          <w:tab w:val="left" w:pos="3060"/>
        </w:tabs>
        <w:jc w:val="center"/>
        <w:rPr>
          <w:rFonts w:ascii="Arial" w:hAnsi="Arial" w:cs="Arial"/>
          <w:smallCaps/>
          <w:lang w:val="es-ES"/>
        </w:rPr>
      </w:pPr>
    </w:p>
    <w:p w14:paraId="6DA8F0AE" w14:textId="77777777" w:rsidR="00C77236" w:rsidRPr="00D515C7" w:rsidRDefault="00C77236" w:rsidP="00C77236">
      <w:pPr>
        <w:tabs>
          <w:tab w:val="left" w:pos="1440"/>
          <w:tab w:val="left" w:pos="3060"/>
        </w:tabs>
        <w:jc w:val="center"/>
        <w:rPr>
          <w:rFonts w:ascii="Arial" w:hAnsi="Arial" w:cs="Arial"/>
          <w:smallCaps/>
          <w:lang w:val="es-ES"/>
        </w:rPr>
      </w:pPr>
    </w:p>
    <w:p w14:paraId="052638DA" w14:textId="77777777" w:rsidR="00C77236" w:rsidRPr="00D515C7" w:rsidRDefault="00C77236" w:rsidP="00C77236">
      <w:pPr>
        <w:tabs>
          <w:tab w:val="left" w:pos="1440"/>
          <w:tab w:val="left" w:pos="3060"/>
        </w:tabs>
        <w:jc w:val="center"/>
        <w:rPr>
          <w:rFonts w:ascii="Arial" w:hAnsi="Arial" w:cs="Arial"/>
          <w:smallCaps/>
          <w:lang w:val="es-ES"/>
        </w:rPr>
      </w:pPr>
    </w:p>
    <w:p w14:paraId="265FBD91" w14:textId="3CDB2601" w:rsidR="00C77236" w:rsidRPr="00046E14" w:rsidRDefault="00C77236" w:rsidP="00C77236">
      <w:pPr>
        <w:tabs>
          <w:tab w:val="left" w:pos="1440"/>
          <w:tab w:val="left" w:pos="3060"/>
        </w:tabs>
        <w:jc w:val="center"/>
        <w:outlineLvl w:val="0"/>
        <w:rPr>
          <w:rFonts w:ascii="Arial" w:hAnsi="Arial" w:cs="Arial"/>
          <w:b/>
          <w:lang w:val="es-ES"/>
        </w:rPr>
      </w:pPr>
      <w:r w:rsidRPr="00D515C7">
        <w:rPr>
          <w:rFonts w:ascii="Arial" w:hAnsi="Arial" w:cs="Arial"/>
          <w:b/>
          <w:smallCaps/>
          <w:lang w:val="es-ES"/>
        </w:rPr>
        <w:t>P</w:t>
      </w:r>
      <w:r>
        <w:rPr>
          <w:rFonts w:ascii="Arial" w:hAnsi="Arial" w:cs="Arial"/>
          <w:b/>
          <w:smallCaps/>
          <w:lang w:val="es-ES"/>
        </w:rPr>
        <w:t xml:space="preserve">lan de Monitoreo y Evaluación </w:t>
      </w:r>
    </w:p>
    <w:p w14:paraId="41F82A42" w14:textId="77777777" w:rsidR="00C77236" w:rsidRPr="00046E14" w:rsidRDefault="00C77236" w:rsidP="00C77236">
      <w:pPr>
        <w:tabs>
          <w:tab w:val="left" w:pos="1440"/>
          <w:tab w:val="left" w:pos="3060"/>
        </w:tabs>
        <w:jc w:val="center"/>
        <w:rPr>
          <w:rFonts w:ascii="Arial" w:hAnsi="Arial" w:cs="Arial"/>
          <w:lang w:val="es-ES"/>
        </w:rPr>
      </w:pPr>
    </w:p>
    <w:p w14:paraId="687A03DC" w14:textId="77777777" w:rsidR="00C77236" w:rsidRPr="00046E14" w:rsidRDefault="00C77236" w:rsidP="00C77236">
      <w:pPr>
        <w:tabs>
          <w:tab w:val="left" w:pos="1440"/>
          <w:tab w:val="left" w:pos="3060"/>
        </w:tabs>
        <w:jc w:val="center"/>
        <w:rPr>
          <w:rFonts w:ascii="Arial" w:hAnsi="Arial" w:cs="Arial"/>
          <w:lang w:val="es-ES"/>
        </w:rPr>
      </w:pPr>
    </w:p>
    <w:p w14:paraId="24450B12" w14:textId="77777777" w:rsidR="00C77236" w:rsidRPr="00046E14" w:rsidRDefault="00C77236" w:rsidP="00C77236">
      <w:pPr>
        <w:tabs>
          <w:tab w:val="left" w:pos="1440"/>
          <w:tab w:val="left" w:pos="3060"/>
        </w:tabs>
        <w:jc w:val="center"/>
        <w:rPr>
          <w:rFonts w:ascii="Arial" w:hAnsi="Arial" w:cs="Arial"/>
          <w:lang w:val="es-ES"/>
        </w:rPr>
      </w:pPr>
    </w:p>
    <w:p w14:paraId="07C66DA3" w14:textId="77777777" w:rsidR="00C77236" w:rsidRPr="00046E14" w:rsidRDefault="00C77236" w:rsidP="00C77236">
      <w:pPr>
        <w:tabs>
          <w:tab w:val="left" w:pos="1440"/>
          <w:tab w:val="left" w:pos="3060"/>
        </w:tabs>
        <w:jc w:val="center"/>
        <w:rPr>
          <w:rFonts w:ascii="Arial" w:hAnsi="Arial" w:cs="Arial"/>
          <w:lang w:val="es-ES"/>
        </w:rPr>
      </w:pPr>
    </w:p>
    <w:p w14:paraId="6268AD40" w14:textId="4E84DE77" w:rsidR="00C77236" w:rsidRPr="00046E14" w:rsidRDefault="00C77236" w:rsidP="00C77236">
      <w:pPr>
        <w:pStyle w:val="BodyText"/>
        <w:pBdr>
          <w:top w:val="single" w:sz="4" w:space="1" w:color="auto"/>
          <w:left w:val="single" w:sz="4" w:space="4" w:color="auto"/>
          <w:bottom w:val="single" w:sz="4" w:space="0" w:color="auto"/>
          <w:right w:val="single" w:sz="4" w:space="4" w:color="auto"/>
        </w:pBdr>
        <w:tabs>
          <w:tab w:val="left" w:pos="1440"/>
        </w:tabs>
        <w:jc w:val="both"/>
        <w:rPr>
          <w:rFonts w:ascii="Arial" w:hAnsi="Arial" w:cs="Arial"/>
          <w:sz w:val="20"/>
          <w:lang w:val="es-ES"/>
        </w:rPr>
      </w:pPr>
      <w:r w:rsidRPr="01AAAC04">
        <w:rPr>
          <w:rFonts w:ascii="Arial" w:hAnsi="Arial" w:cs="Arial"/>
          <w:sz w:val="20"/>
          <w:lang w:val="es-ES"/>
        </w:rPr>
        <w:t xml:space="preserve">Este documento fue preparado por: </w:t>
      </w:r>
      <w:r>
        <w:rPr>
          <w:rFonts w:ascii="Arial" w:hAnsi="Arial" w:cs="Arial"/>
          <w:sz w:val="20"/>
          <w:lang w:val="es-ES"/>
        </w:rPr>
        <w:t xml:space="preserve">María Cabrera, </w:t>
      </w:r>
      <w:r w:rsidRPr="01AAAC04">
        <w:rPr>
          <w:rFonts w:ascii="Arial" w:hAnsi="Arial" w:cs="Arial"/>
          <w:sz w:val="20"/>
          <w:lang w:val="es-ES"/>
        </w:rPr>
        <w:t>Omar Villacorta y Ana Luc</w:t>
      </w:r>
      <w:r w:rsidR="00800713">
        <w:rPr>
          <w:rFonts w:ascii="Arial" w:hAnsi="Arial" w:cs="Arial"/>
          <w:sz w:val="20"/>
          <w:lang w:val="es-ES"/>
        </w:rPr>
        <w:t>í</w:t>
      </w:r>
      <w:r w:rsidRPr="01AAAC04">
        <w:rPr>
          <w:rFonts w:ascii="Arial" w:hAnsi="Arial" w:cs="Arial"/>
          <w:sz w:val="20"/>
          <w:lang w:val="es-ES"/>
        </w:rPr>
        <w:t>a Lozano (IFD/CMF)</w:t>
      </w:r>
      <w:r>
        <w:rPr>
          <w:rFonts w:ascii="Arial" w:hAnsi="Arial" w:cs="Arial"/>
          <w:sz w:val="20"/>
          <w:lang w:val="es-ES"/>
        </w:rPr>
        <w:t>.</w:t>
      </w:r>
    </w:p>
    <w:p w14:paraId="64CB6270" w14:textId="77777777" w:rsidR="00C77236" w:rsidRPr="00046E14" w:rsidRDefault="00C77236" w:rsidP="00C77236">
      <w:pPr>
        <w:tabs>
          <w:tab w:val="left" w:pos="1440"/>
          <w:tab w:val="left" w:pos="3060"/>
        </w:tabs>
        <w:outlineLvl w:val="0"/>
        <w:rPr>
          <w:rFonts w:ascii="Arial" w:hAnsi="Arial" w:cs="Arial"/>
          <w:sz w:val="20"/>
          <w:lang w:val="es-ES"/>
        </w:rPr>
      </w:pPr>
    </w:p>
    <w:p w14:paraId="182715C9" w14:textId="77777777" w:rsidR="00145881" w:rsidRPr="00C77236" w:rsidRDefault="00145881" w:rsidP="00145881">
      <w:pPr>
        <w:rPr>
          <w:rFonts w:ascii="Arial" w:hAnsi="Arial" w:cs="Arial"/>
          <w:b/>
          <w:lang w:val="es-ES"/>
        </w:rPr>
        <w:sectPr w:rsidR="00145881" w:rsidRPr="00C77236" w:rsidSect="002F348C">
          <w:headerReference w:type="default" r:id="rId16"/>
          <w:footerReference w:type="default" r:id="rId17"/>
          <w:pgSz w:w="12240" w:h="15840"/>
          <w:pgMar w:top="1440" w:right="1800" w:bottom="1440" w:left="1800" w:header="720" w:footer="720" w:gutter="0"/>
          <w:cols w:space="720"/>
          <w:titlePg/>
          <w:docGrid w:linePitch="360"/>
        </w:sectPr>
      </w:pPr>
    </w:p>
    <w:p w14:paraId="2E7B7751" w14:textId="77777777" w:rsidR="00145881" w:rsidRPr="001F731F" w:rsidRDefault="00145881" w:rsidP="00145881">
      <w:pPr>
        <w:jc w:val="center"/>
        <w:rPr>
          <w:rFonts w:ascii="Arial" w:hAnsi="Arial" w:cs="Arial"/>
          <w:b/>
          <w:bCs/>
          <w:smallCaps/>
          <w:spacing w:val="5"/>
          <w:lang w:val="es-ES_tradnl"/>
        </w:rPr>
      </w:pPr>
      <w:r w:rsidRPr="001F731F">
        <w:rPr>
          <w:rStyle w:val="BookTitle"/>
          <w:rFonts w:ascii="Arial" w:hAnsi="Arial" w:cs="Arial"/>
          <w:lang w:val="es-ES_tradnl"/>
        </w:rPr>
        <w:lastRenderedPageBreak/>
        <w:t>CONTENIDO</w:t>
      </w:r>
    </w:p>
    <w:p w14:paraId="5701BF4C" w14:textId="6DFC41CC" w:rsidR="0088185B" w:rsidRPr="00503915" w:rsidRDefault="00145881">
      <w:pPr>
        <w:pStyle w:val="TOC1"/>
        <w:rPr>
          <w:rFonts w:ascii="Arial" w:hAnsi="Arial"/>
          <w:b w:val="0"/>
          <w:smallCaps w:val="0"/>
          <w:sz w:val="22"/>
          <w:lang w:val="es-ES"/>
        </w:rPr>
      </w:pPr>
      <w:r w:rsidRPr="0016237B">
        <w:rPr>
          <w:rFonts w:ascii="Arial" w:hAnsi="Arial" w:cs="Arial"/>
          <w:b w:val="0"/>
          <w:noProof w:val="0"/>
          <w:sz w:val="22"/>
          <w:lang w:val="es-ES_tradnl"/>
        </w:rPr>
        <w:fldChar w:fldCharType="begin"/>
      </w:r>
      <w:r w:rsidRPr="0016237B">
        <w:rPr>
          <w:rFonts w:ascii="Arial" w:hAnsi="Arial" w:cs="Arial"/>
          <w:b w:val="0"/>
          <w:noProof w:val="0"/>
          <w:sz w:val="22"/>
          <w:lang w:val="es-ES_tradnl"/>
        </w:rPr>
        <w:instrText xml:space="preserve"> TOC \f \t "Chapter,1,FirstHeading,2,SecHeading,3" </w:instrText>
      </w:r>
      <w:r w:rsidRPr="0016237B">
        <w:rPr>
          <w:rFonts w:ascii="Arial" w:hAnsi="Arial" w:cs="Arial"/>
          <w:b w:val="0"/>
          <w:noProof w:val="0"/>
          <w:sz w:val="22"/>
          <w:lang w:val="es-ES_tradnl"/>
        </w:rPr>
        <w:fldChar w:fldCharType="separate"/>
      </w:r>
      <w:r w:rsidR="0088185B" w:rsidRPr="00503915">
        <w:rPr>
          <w:rFonts w:ascii="Arial" w:hAnsi="Arial"/>
          <w:sz w:val="22"/>
          <w:lang w:val="es-ES_tradnl"/>
        </w:rPr>
        <w:t>I.</w:t>
      </w:r>
      <w:r w:rsidR="0088185B" w:rsidRPr="00503915">
        <w:rPr>
          <w:rFonts w:ascii="Arial" w:hAnsi="Arial"/>
          <w:b w:val="0"/>
          <w:smallCaps w:val="0"/>
          <w:sz w:val="22"/>
          <w:lang w:val="es-ES"/>
        </w:rPr>
        <w:tab/>
      </w:r>
      <w:r w:rsidR="0088185B" w:rsidRPr="006527D2">
        <w:rPr>
          <w:rFonts w:ascii="Arial" w:hAnsi="Arial" w:cs="Arial"/>
          <w:sz w:val="22"/>
          <w:lang w:val="es-ES_tradnl"/>
        </w:rPr>
        <w:t>Introducción</w:t>
      </w:r>
      <w:r w:rsidR="0088185B" w:rsidRPr="00503915">
        <w:rPr>
          <w:rFonts w:ascii="Arial" w:hAnsi="Arial"/>
          <w:sz w:val="22"/>
          <w:lang w:val="es-ES"/>
        </w:rPr>
        <w:tab/>
      </w:r>
      <w:r w:rsidR="0008631C" w:rsidRPr="00B64881">
        <w:rPr>
          <w:rFonts w:ascii="Arial" w:hAnsi="Arial" w:cs="Arial"/>
          <w:sz w:val="22"/>
        </w:rPr>
        <w:fldChar w:fldCharType="begin"/>
      </w:r>
      <w:r w:rsidR="0008631C" w:rsidRPr="00B64881">
        <w:rPr>
          <w:rFonts w:ascii="Arial" w:hAnsi="Arial" w:cs="Arial"/>
          <w:sz w:val="22"/>
          <w:lang w:val="es-ES"/>
        </w:rPr>
        <w:instrText xml:space="preserve"> PAGEREF _Toc40530254 \h </w:instrText>
      </w:r>
      <w:r w:rsidR="0008631C" w:rsidRPr="00B64881">
        <w:rPr>
          <w:rFonts w:ascii="Arial" w:hAnsi="Arial" w:cs="Arial"/>
          <w:sz w:val="22"/>
        </w:rPr>
      </w:r>
      <w:r w:rsidR="0008631C" w:rsidRPr="00B64881">
        <w:rPr>
          <w:rFonts w:ascii="Arial" w:hAnsi="Arial" w:cs="Arial"/>
          <w:sz w:val="22"/>
        </w:rPr>
        <w:fldChar w:fldCharType="separate"/>
      </w:r>
      <w:r w:rsidR="00800713">
        <w:rPr>
          <w:rFonts w:ascii="Arial" w:hAnsi="Arial" w:cs="Arial"/>
          <w:sz w:val="22"/>
          <w:lang w:val="es-ES"/>
        </w:rPr>
        <w:t>1</w:t>
      </w:r>
      <w:r w:rsidR="0008631C" w:rsidRPr="00B64881">
        <w:rPr>
          <w:rFonts w:ascii="Arial" w:hAnsi="Arial" w:cs="Arial"/>
          <w:sz w:val="22"/>
        </w:rPr>
        <w:fldChar w:fldCharType="end"/>
      </w:r>
    </w:p>
    <w:p w14:paraId="7914B37A" w14:textId="043DE8ED" w:rsidR="0088185B" w:rsidRPr="00503915" w:rsidRDefault="0088185B">
      <w:pPr>
        <w:pStyle w:val="TOC1"/>
        <w:rPr>
          <w:rFonts w:ascii="Arial" w:hAnsi="Arial"/>
          <w:b w:val="0"/>
          <w:smallCaps w:val="0"/>
          <w:sz w:val="22"/>
          <w:lang w:val="es-ES"/>
        </w:rPr>
      </w:pPr>
      <w:r w:rsidRPr="006527D2">
        <w:rPr>
          <w:rFonts w:ascii="Arial" w:hAnsi="Arial" w:cs="Arial"/>
          <w:sz w:val="22"/>
          <w:lang w:val="es-ES_tradnl"/>
        </w:rPr>
        <w:t>II.</w:t>
      </w:r>
      <w:r w:rsidRPr="00503915">
        <w:rPr>
          <w:rFonts w:ascii="Arial" w:hAnsi="Arial"/>
          <w:b w:val="0"/>
          <w:smallCaps w:val="0"/>
          <w:sz w:val="22"/>
          <w:lang w:val="es-ES"/>
        </w:rPr>
        <w:tab/>
      </w:r>
      <w:r w:rsidRPr="006527D2">
        <w:rPr>
          <w:rFonts w:ascii="Arial" w:hAnsi="Arial" w:cs="Arial"/>
          <w:sz w:val="22"/>
          <w:lang w:val="es-ES_tradnl"/>
        </w:rPr>
        <w:t>Monitoreo</w:t>
      </w:r>
      <w:r w:rsidRPr="00503915">
        <w:rPr>
          <w:rFonts w:ascii="Arial" w:hAnsi="Arial"/>
          <w:sz w:val="22"/>
          <w:lang w:val="es-ES"/>
        </w:rPr>
        <w:tab/>
      </w:r>
      <w:r w:rsidR="0008631C" w:rsidRPr="00B64881">
        <w:rPr>
          <w:rFonts w:ascii="Arial" w:hAnsi="Arial" w:cs="Arial"/>
          <w:sz w:val="22"/>
        </w:rPr>
        <w:fldChar w:fldCharType="begin"/>
      </w:r>
      <w:r w:rsidR="0008631C" w:rsidRPr="00B64881">
        <w:rPr>
          <w:rFonts w:ascii="Arial" w:hAnsi="Arial" w:cs="Arial"/>
          <w:sz w:val="22"/>
          <w:lang w:val="es-ES"/>
        </w:rPr>
        <w:instrText xml:space="preserve"> PAGEREF _Toc40530255 \h </w:instrText>
      </w:r>
      <w:r w:rsidR="0008631C" w:rsidRPr="00B64881">
        <w:rPr>
          <w:rFonts w:ascii="Arial" w:hAnsi="Arial" w:cs="Arial"/>
          <w:sz w:val="22"/>
        </w:rPr>
      </w:r>
      <w:r w:rsidR="0008631C" w:rsidRPr="00B64881">
        <w:rPr>
          <w:rFonts w:ascii="Arial" w:hAnsi="Arial" w:cs="Arial"/>
          <w:sz w:val="22"/>
        </w:rPr>
        <w:fldChar w:fldCharType="separate"/>
      </w:r>
      <w:r w:rsidR="00800713">
        <w:rPr>
          <w:rFonts w:ascii="Arial" w:hAnsi="Arial" w:cs="Arial"/>
          <w:sz w:val="22"/>
          <w:lang w:val="es-ES"/>
        </w:rPr>
        <w:t>7</w:t>
      </w:r>
      <w:r w:rsidR="0008631C" w:rsidRPr="00B64881">
        <w:rPr>
          <w:rFonts w:ascii="Arial" w:hAnsi="Arial" w:cs="Arial"/>
          <w:sz w:val="22"/>
        </w:rPr>
        <w:fldChar w:fldCharType="end"/>
      </w:r>
    </w:p>
    <w:p w14:paraId="2A364C9A" w14:textId="420AC639" w:rsidR="0088185B" w:rsidRPr="00503915" w:rsidRDefault="0088185B">
      <w:pPr>
        <w:pStyle w:val="TOC3"/>
        <w:rPr>
          <w:rFonts w:ascii="Arial" w:hAnsi="Arial"/>
          <w:noProof/>
          <w:sz w:val="22"/>
          <w:lang w:val="es-ES"/>
        </w:rPr>
      </w:pPr>
      <w:r w:rsidRPr="00503915">
        <w:rPr>
          <w:rFonts w:ascii="Arial" w:hAnsi="Arial"/>
          <w:noProof/>
          <w:sz w:val="22"/>
          <w:lang w:val="es-ES"/>
        </w:rPr>
        <w:t>1.</w:t>
      </w:r>
      <w:r w:rsidRPr="00503915">
        <w:rPr>
          <w:rFonts w:ascii="Arial" w:hAnsi="Arial"/>
          <w:noProof/>
          <w:sz w:val="22"/>
          <w:lang w:val="es-ES"/>
        </w:rPr>
        <w:tab/>
        <w:t>Indicadores</w:t>
      </w:r>
      <w:r w:rsidRPr="00503915">
        <w:rPr>
          <w:rFonts w:ascii="Arial" w:hAnsi="Arial"/>
          <w:noProof/>
          <w:sz w:val="22"/>
          <w:lang w:val="es-ES"/>
        </w:rPr>
        <w:tab/>
      </w:r>
      <w:r w:rsidR="0008631C" w:rsidRPr="00B64881">
        <w:rPr>
          <w:rFonts w:ascii="Arial" w:hAnsi="Arial" w:cs="Arial"/>
          <w:noProof/>
          <w:sz w:val="22"/>
        </w:rPr>
        <w:fldChar w:fldCharType="begin"/>
      </w:r>
      <w:r w:rsidR="0008631C" w:rsidRPr="00B64881">
        <w:rPr>
          <w:rFonts w:ascii="Arial" w:hAnsi="Arial" w:cs="Arial"/>
          <w:noProof/>
          <w:sz w:val="22"/>
          <w:lang w:val="es-ES"/>
        </w:rPr>
        <w:instrText xml:space="preserve"> PAGEREF _Toc40530256 \h </w:instrText>
      </w:r>
      <w:r w:rsidR="0008631C" w:rsidRPr="00B64881">
        <w:rPr>
          <w:rFonts w:ascii="Arial" w:hAnsi="Arial" w:cs="Arial"/>
          <w:noProof/>
          <w:sz w:val="22"/>
        </w:rPr>
      </w:r>
      <w:r w:rsidR="0008631C" w:rsidRPr="00B64881">
        <w:rPr>
          <w:rFonts w:ascii="Arial" w:hAnsi="Arial" w:cs="Arial"/>
          <w:noProof/>
          <w:sz w:val="22"/>
        </w:rPr>
        <w:fldChar w:fldCharType="separate"/>
      </w:r>
      <w:r w:rsidR="00800713">
        <w:rPr>
          <w:rFonts w:ascii="Arial" w:hAnsi="Arial" w:cs="Arial"/>
          <w:noProof/>
          <w:sz w:val="22"/>
          <w:lang w:val="es-ES"/>
        </w:rPr>
        <w:t>8</w:t>
      </w:r>
      <w:r w:rsidR="0008631C" w:rsidRPr="00B64881">
        <w:rPr>
          <w:rFonts w:ascii="Arial" w:hAnsi="Arial" w:cs="Arial"/>
          <w:noProof/>
          <w:sz w:val="22"/>
        </w:rPr>
        <w:fldChar w:fldCharType="end"/>
      </w:r>
    </w:p>
    <w:p w14:paraId="00257E66" w14:textId="25434EFA" w:rsidR="0088185B" w:rsidRPr="00503915" w:rsidRDefault="0088185B">
      <w:pPr>
        <w:pStyle w:val="TOC3"/>
        <w:rPr>
          <w:rFonts w:ascii="Arial" w:hAnsi="Arial"/>
          <w:noProof/>
          <w:sz w:val="22"/>
          <w:lang w:val="es-ES"/>
        </w:rPr>
      </w:pPr>
      <w:r w:rsidRPr="00503915">
        <w:rPr>
          <w:rFonts w:ascii="Arial" w:hAnsi="Arial"/>
          <w:noProof/>
          <w:sz w:val="22"/>
          <w:lang w:val="es-ES"/>
        </w:rPr>
        <w:t>2.</w:t>
      </w:r>
      <w:r w:rsidRPr="00503915">
        <w:rPr>
          <w:rFonts w:ascii="Arial" w:hAnsi="Arial"/>
          <w:noProof/>
          <w:sz w:val="22"/>
          <w:lang w:val="es-ES"/>
        </w:rPr>
        <w:tab/>
        <w:t>Recolección de Información e Instrumentos</w:t>
      </w:r>
      <w:r w:rsidRPr="00503915">
        <w:rPr>
          <w:rFonts w:ascii="Arial" w:hAnsi="Arial"/>
          <w:noProof/>
          <w:sz w:val="22"/>
          <w:lang w:val="es-ES"/>
        </w:rPr>
        <w:tab/>
      </w:r>
      <w:r w:rsidRPr="006527D2">
        <w:rPr>
          <w:rFonts w:ascii="Arial" w:hAnsi="Arial" w:cs="Arial"/>
          <w:noProof/>
          <w:sz w:val="22"/>
        </w:rPr>
        <w:fldChar w:fldCharType="begin"/>
      </w:r>
      <w:r w:rsidRPr="00503915">
        <w:rPr>
          <w:rFonts w:ascii="Arial" w:hAnsi="Arial"/>
          <w:noProof/>
          <w:sz w:val="22"/>
          <w:lang w:val="es-ES"/>
        </w:rPr>
        <w:instrText xml:space="preserve"> PAGEREF _</w:instrText>
      </w:r>
      <w:r w:rsidR="0008631C" w:rsidRPr="00B64881">
        <w:rPr>
          <w:rFonts w:ascii="Arial" w:hAnsi="Arial" w:cs="Arial"/>
          <w:noProof/>
          <w:sz w:val="22"/>
          <w:lang w:val="es-ES"/>
        </w:rPr>
        <w:instrText>Toc40530257</w:instrText>
      </w:r>
      <w:r w:rsidRPr="00503915">
        <w:rPr>
          <w:rFonts w:ascii="Arial" w:hAnsi="Arial"/>
          <w:noProof/>
          <w:sz w:val="22"/>
          <w:lang w:val="es-ES"/>
        </w:rPr>
        <w:instrText xml:space="preserve"> \h </w:instrText>
      </w:r>
      <w:r w:rsidRPr="006527D2">
        <w:rPr>
          <w:rFonts w:ascii="Arial" w:hAnsi="Arial" w:cs="Arial"/>
          <w:noProof/>
          <w:sz w:val="22"/>
        </w:rPr>
      </w:r>
      <w:r w:rsidRPr="006527D2">
        <w:rPr>
          <w:rFonts w:ascii="Arial" w:hAnsi="Arial" w:cs="Arial"/>
          <w:noProof/>
          <w:sz w:val="22"/>
        </w:rPr>
        <w:fldChar w:fldCharType="separate"/>
      </w:r>
      <w:r w:rsidR="00800713">
        <w:rPr>
          <w:rFonts w:ascii="Arial" w:hAnsi="Arial"/>
          <w:noProof/>
          <w:sz w:val="22"/>
          <w:lang w:val="es-ES"/>
        </w:rPr>
        <w:t>11</w:t>
      </w:r>
      <w:r w:rsidRPr="006527D2">
        <w:rPr>
          <w:rFonts w:ascii="Arial" w:hAnsi="Arial" w:cs="Arial"/>
          <w:noProof/>
          <w:sz w:val="22"/>
        </w:rPr>
        <w:fldChar w:fldCharType="end"/>
      </w:r>
    </w:p>
    <w:p w14:paraId="396EC95A" w14:textId="14A80204" w:rsidR="0088185B" w:rsidRPr="00503915" w:rsidRDefault="0088185B">
      <w:pPr>
        <w:pStyle w:val="TOC3"/>
        <w:rPr>
          <w:rFonts w:ascii="Arial" w:hAnsi="Arial"/>
          <w:noProof/>
          <w:sz w:val="22"/>
          <w:lang w:val="es-ES"/>
        </w:rPr>
      </w:pPr>
      <w:r w:rsidRPr="00503915">
        <w:rPr>
          <w:rFonts w:ascii="Arial" w:hAnsi="Arial"/>
          <w:noProof/>
          <w:sz w:val="22"/>
          <w:lang w:val="es-ES"/>
        </w:rPr>
        <w:t>3.</w:t>
      </w:r>
      <w:r w:rsidRPr="00503915">
        <w:rPr>
          <w:rFonts w:ascii="Arial" w:hAnsi="Arial"/>
          <w:noProof/>
          <w:sz w:val="22"/>
          <w:lang w:val="es-ES"/>
        </w:rPr>
        <w:tab/>
        <w:t>Presentación de Informes</w:t>
      </w:r>
      <w:r w:rsidRPr="00503915">
        <w:rPr>
          <w:rFonts w:ascii="Arial" w:hAnsi="Arial"/>
          <w:noProof/>
          <w:sz w:val="22"/>
          <w:lang w:val="es-ES"/>
        </w:rPr>
        <w:tab/>
      </w:r>
      <w:r w:rsidRPr="006527D2">
        <w:rPr>
          <w:rFonts w:ascii="Arial" w:hAnsi="Arial" w:cs="Arial"/>
          <w:noProof/>
          <w:sz w:val="22"/>
        </w:rPr>
        <w:fldChar w:fldCharType="begin"/>
      </w:r>
      <w:r w:rsidRPr="00503915">
        <w:rPr>
          <w:rFonts w:ascii="Arial" w:hAnsi="Arial"/>
          <w:noProof/>
          <w:sz w:val="22"/>
          <w:lang w:val="es-ES"/>
        </w:rPr>
        <w:instrText xml:space="preserve"> PAGEREF _</w:instrText>
      </w:r>
      <w:r w:rsidR="0008631C" w:rsidRPr="00B64881">
        <w:rPr>
          <w:rFonts w:ascii="Arial" w:hAnsi="Arial" w:cs="Arial"/>
          <w:noProof/>
          <w:sz w:val="22"/>
          <w:lang w:val="es-ES"/>
        </w:rPr>
        <w:instrText>Toc40530258</w:instrText>
      </w:r>
      <w:r w:rsidRPr="00503915">
        <w:rPr>
          <w:rFonts w:ascii="Arial" w:hAnsi="Arial"/>
          <w:noProof/>
          <w:sz w:val="22"/>
          <w:lang w:val="es-ES"/>
        </w:rPr>
        <w:instrText xml:space="preserve"> \h </w:instrText>
      </w:r>
      <w:r w:rsidRPr="006527D2">
        <w:rPr>
          <w:rFonts w:ascii="Arial" w:hAnsi="Arial" w:cs="Arial"/>
          <w:noProof/>
          <w:sz w:val="22"/>
        </w:rPr>
      </w:r>
      <w:r w:rsidRPr="006527D2">
        <w:rPr>
          <w:rFonts w:ascii="Arial" w:hAnsi="Arial" w:cs="Arial"/>
          <w:noProof/>
          <w:sz w:val="22"/>
        </w:rPr>
        <w:fldChar w:fldCharType="separate"/>
      </w:r>
      <w:r w:rsidR="00800713">
        <w:rPr>
          <w:rFonts w:ascii="Arial" w:hAnsi="Arial"/>
          <w:noProof/>
          <w:sz w:val="22"/>
          <w:lang w:val="es-ES"/>
        </w:rPr>
        <w:t>11</w:t>
      </w:r>
      <w:r w:rsidRPr="006527D2">
        <w:rPr>
          <w:rFonts w:ascii="Arial" w:hAnsi="Arial" w:cs="Arial"/>
          <w:noProof/>
          <w:sz w:val="22"/>
        </w:rPr>
        <w:fldChar w:fldCharType="end"/>
      </w:r>
    </w:p>
    <w:p w14:paraId="6A2F414F" w14:textId="2796CB4C" w:rsidR="0088185B" w:rsidRPr="00503915" w:rsidRDefault="0088185B">
      <w:pPr>
        <w:pStyle w:val="TOC3"/>
        <w:rPr>
          <w:rFonts w:ascii="Arial" w:hAnsi="Arial"/>
          <w:noProof/>
          <w:sz w:val="22"/>
          <w:lang w:val="es-ES"/>
        </w:rPr>
      </w:pPr>
      <w:r w:rsidRPr="00503915">
        <w:rPr>
          <w:rFonts w:ascii="Arial" w:hAnsi="Arial"/>
          <w:noProof/>
          <w:sz w:val="22"/>
          <w:lang w:val="es-ES"/>
        </w:rPr>
        <w:t>4.</w:t>
      </w:r>
      <w:r w:rsidRPr="00503915">
        <w:rPr>
          <w:rFonts w:ascii="Arial" w:hAnsi="Arial"/>
          <w:noProof/>
          <w:sz w:val="22"/>
          <w:lang w:val="es-ES"/>
        </w:rPr>
        <w:tab/>
        <w:t>Coordinación del Monitoreo, Plan de Trabajo y Presupuesto</w:t>
      </w:r>
      <w:r w:rsidRPr="00503915">
        <w:rPr>
          <w:rFonts w:ascii="Arial" w:hAnsi="Arial"/>
          <w:noProof/>
          <w:sz w:val="22"/>
          <w:lang w:val="es-ES"/>
        </w:rPr>
        <w:tab/>
      </w:r>
      <w:r w:rsidRPr="006527D2">
        <w:rPr>
          <w:rFonts w:ascii="Arial" w:hAnsi="Arial" w:cs="Arial"/>
          <w:noProof/>
          <w:sz w:val="22"/>
        </w:rPr>
        <w:fldChar w:fldCharType="begin"/>
      </w:r>
      <w:r w:rsidRPr="00503915">
        <w:rPr>
          <w:rFonts w:ascii="Arial" w:hAnsi="Arial"/>
          <w:noProof/>
          <w:sz w:val="22"/>
          <w:lang w:val="es-ES"/>
        </w:rPr>
        <w:instrText xml:space="preserve"> PAGEREF _</w:instrText>
      </w:r>
      <w:r w:rsidR="0008631C" w:rsidRPr="00B64881">
        <w:rPr>
          <w:rFonts w:ascii="Arial" w:hAnsi="Arial" w:cs="Arial"/>
          <w:noProof/>
          <w:sz w:val="22"/>
          <w:lang w:val="es-ES"/>
        </w:rPr>
        <w:instrText>Toc40530259</w:instrText>
      </w:r>
      <w:r w:rsidRPr="00503915">
        <w:rPr>
          <w:rFonts w:ascii="Arial" w:hAnsi="Arial"/>
          <w:noProof/>
          <w:sz w:val="22"/>
          <w:lang w:val="es-ES"/>
        </w:rPr>
        <w:instrText xml:space="preserve"> \h </w:instrText>
      </w:r>
      <w:r w:rsidRPr="006527D2">
        <w:rPr>
          <w:rFonts w:ascii="Arial" w:hAnsi="Arial" w:cs="Arial"/>
          <w:noProof/>
          <w:sz w:val="22"/>
        </w:rPr>
      </w:r>
      <w:r w:rsidRPr="006527D2">
        <w:rPr>
          <w:rFonts w:ascii="Arial" w:hAnsi="Arial" w:cs="Arial"/>
          <w:noProof/>
          <w:sz w:val="22"/>
        </w:rPr>
        <w:fldChar w:fldCharType="separate"/>
      </w:r>
      <w:r w:rsidR="00800713">
        <w:rPr>
          <w:rFonts w:ascii="Arial" w:hAnsi="Arial"/>
          <w:noProof/>
          <w:sz w:val="22"/>
          <w:lang w:val="es-ES"/>
        </w:rPr>
        <w:t>12</w:t>
      </w:r>
      <w:r w:rsidRPr="006527D2">
        <w:rPr>
          <w:rFonts w:ascii="Arial" w:hAnsi="Arial" w:cs="Arial"/>
          <w:noProof/>
          <w:sz w:val="22"/>
        </w:rPr>
        <w:fldChar w:fldCharType="end"/>
      </w:r>
    </w:p>
    <w:p w14:paraId="0CDF5472" w14:textId="69FC7C6C" w:rsidR="0008631C" w:rsidRPr="00B64881" w:rsidRDefault="0088185B">
      <w:pPr>
        <w:pStyle w:val="TOC1"/>
        <w:rPr>
          <w:rFonts w:ascii="Arial" w:hAnsi="Arial" w:cs="Arial"/>
          <w:b w:val="0"/>
          <w:smallCaps w:val="0"/>
          <w:sz w:val="22"/>
          <w:lang w:val="es-ES" w:eastAsia="en-US"/>
        </w:rPr>
      </w:pPr>
      <w:r w:rsidRPr="006527D2">
        <w:rPr>
          <w:rFonts w:ascii="Arial" w:hAnsi="Arial" w:cs="Arial"/>
          <w:sz w:val="22"/>
          <w:lang w:val="es-ES_tradnl"/>
        </w:rPr>
        <w:t>III.</w:t>
      </w:r>
      <w:r w:rsidRPr="00503915">
        <w:rPr>
          <w:rFonts w:ascii="Arial" w:hAnsi="Arial"/>
          <w:b w:val="0"/>
          <w:smallCaps w:val="0"/>
          <w:sz w:val="22"/>
          <w:lang w:val="es-ES"/>
        </w:rPr>
        <w:tab/>
      </w:r>
      <w:r w:rsidRPr="006527D2">
        <w:rPr>
          <w:rFonts w:ascii="Arial" w:hAnsi="Arial" w:cs="Arial"/>
          <w:sz w:val="22"/>
          <w:lang w:val="es-ES_tradnl"/>
        </w:rPr>
        <w:t>Evaluación</w:t>
      </w:r>
      <w:r w:rsidRPr="00503915">
        <w:rPr>
          <w:rFonts w:ascii="Arial" w:hAnsi="Arial"/>
          <w:sz w:val="22"/>
          <w:lang w:val="es-ES"/>
        </w:rPr>
        <w:tab/>
      </w:r>
      <w:r w:rsidR="0008631C" w:rsidRPr="00B64881">
        <w:rPr>
          <w:rFonts w:ascii="Arial" w:hAnsi="Arial" w:cs="Arial"/>
          <w:sz w:val="22"/>
        </w:rPr>
        <w:fldChar w:fldCharType="begin"/>
      </w:r>
      <w:r w:rsidR="0008631C" w:rsidRPr="00B64881">
        <w:rPr>
          <w:rFonts w:ascii="Arial" w:hAnsi="Arial" w:cs="Arial"/>
          <w:sz w:val="22"/>
          <w:lang w:val="es-ES"/>
        </w:rPr>
        <w:instrText xml:space="preserve"> PAGEREF _Toc40530260 \h </w:instrText>
      </w:r>
      <w:r w:rsidR="0008631C" w:rsidRPr="00B64881">
        <w:rPr>
          <w:rFonts w:ascii="Arial" w:hAnsi="Arial" w:cs="Arial"/>
          <w:sz w:val="22"/>
        </w:rPr>
      </w:r>
      <w:r w:rsidR="0008631C" w:rsidRPr="00B64881">
        <w:rPr>
          <w:rFonts w:ascii="Arial" w:hAnsi="Arial" w:cs="Arial"/>
          <w:sz w:val="22"/>
        </w:rPr>
        <w:fldChar w:fldCharType="separate"/>
      </w:r>
      <w:r w:rsidR="00800713">
        <w:rPr>
          <w:rFonts w:ascii="Arial" w:hAnsi="Arial" w:cs="Arial"/>
          <w:sz w:val="22"/>
          <w:lang w:val="es-ES"/>
        </w:rPr>
        <w:t>13</w:t>
      </w:r>
      <w:r w:rsidR="0008631C" w:rsidRPr="00B64881">
        <w:rPr>
          <w:rFonts w:ascii="Arial" w:hAnsi="Arial" w:cs="Arial"/>
          <w:sz w:val="22"/>
        </w:rPr>
        <w:fldChar w:fldCharType="end"/>
      </w:r>
    </w:p>
    <w:p w14:paraId="31E96418" w14:textId="695ECD2E" w:rsidR="0088185B" w:rsidRPr="00503915" w:rsidRDefault="0008631C">
      <w:pPr>
        <w:pStyle w:val="TOC1"/>
        <w:rPr>
          <w:rFonts w:ascii="Arial" w:hAnsi="Arial"/>
          <w:b w:val="0"/>
          <w:smallCaps w:val="0"/>
          <w:sz w:val="22"/>
          <w:lang w:val="es-ES"/>
        </w:rPr>
      </w:pPr>
      <w:r w:rsidRPr="00B64881">
        <w:rPr>
          <w:rFonts w:ascii="Arial" w:hAnsi="Arial" w:cs="Arial"/>
          <w:sz w:val="22"/>
          <w:lang w:val="es-ES"/>
        </w:rPr>
        <w:t xml:space="preserve">Anexo I: </w:t>
      </w:r>
      <w:r w:rsidRPr="00AA2E17">
        <w:rPr>
          <w:rFonts w:ascii="Arial" w:hAnsi="Arial" w:cs="Arial"/>
          <w:sz w:val="22"/>
          <w:lang w:val="es-ES"/>
        </w:rPr>
        <w:t>Plan de trabajo BANDESAL bajo la RG-T3530</w:t>
      </w:r>
      <w:r w:rsidRPr="00B64881">
        <w:rPr>
          <w:rFonts w:ascii="Arial" w:hAnsi="Arial" w:cs="Arial"/>
          <w:sz w:val="22"/>
          <w:lang w:val="es-ES"/>
        </w:rPr>
        <w:tab/>
      </w:r>
      <w:r w:rsidRPr="00B64881">
        <w:rPr>
          <w:rFonts w:ascii="Arial" w:hAnsi="Arial" w:cs="Arial"/>
          <w:sz w:val="22"/>
        </w:rPr>
        <w:fldChar w:fldCharType="begin"/>
      </w:r>
      <w:r w:rsidRPr="00B64881">
        <w:rPr>
          <w:rFonts w:ascii="Arial" w:hAnsi="Arial" w:cs="Arial"/>
          <w:sz w:val="22"/>
          <w:lang w:val="es-ES"/>
        </w:rPr>
        <w:instrText xml:space="preserve"> PAGEREF _Toc40530261 \h </w:instrText>
      </w:r>
      <w:r w:rsidRPr="00B64881">
        <w:rPr>
          <w:rFonts w:ascii="Arial" w:hAnsi="Arial" w:cs="Arial"/>
          <w:sz w:val="22"/>
        </w:rPr>
      </w:r>
      <w:r w:rsidRPr="00B64881">
        <w:rPr>
          <w:rFonts w:ascii="Arial" w:hAnsi="Arial" w:cs="Arial"/>
          <w:sz w:val="22"/>
        </w:rPr>
        <w:fldChar w:fldCharType="separate"/>
      </w:r>
      <w:r w:rsidR="00800713">
        <w:rPr>
          <w:rFonts w:ascii="Arial" w:hAnsi="Arial" w:cs="Arial"/>
          <w:sz w:val="22"/>
          <w:lang w:val="es-ES"/>
        </w:rPr>
        <w:t>19</w:t>
      </w:r>
      <w:r w:rsidRPr="00B64881">
        <w:rPr>
          <w:rFonts w:ascii="Arial" w:hAnsi="Arial" w:cs="Arial"/>
          <w:sz w:val="22"/>
        </w:rPr>
        <w:fldChar w:fldCharType="end"/>
      </w:r>
    </w:p>
    <w:p w14:paraId="3C62F764" w14:textId="61B1B1E0" w:rsidR="00145881" w:rsidRPr="001F731F" w:rsidRDefault="00145881" w:rsidP="00145881">
      <w:pPr>
        <w:pStyle w:val="TOC3"/>
        <w:rPr>
          <w:rFonts w:ascii="Arial" w:hAnsi="Arial" w:cs="Arial"/>
          <w:sz w:val="22"/>
          <w:lang w:val="es-ES_tradnl"/>
        </w:rPr>
      </w:pPr>
      <w:r w:rsidRPr="0016237B">
        <w:rPr>
          <w:rFonts w:ascii="Arial" w:hAnsi="Arial" w:cs="Arial"/>
          <w:sz w:val="22"/>
          <w:lang w:val="es-ES_tradnl"/>
        </w:rPr>
        <w:fldChar w:fldCharType="end"/>
      </w:r>
    </w:p>
    <w:p w14:paraId="3BB98CAC" w14:textId="77777777" w:rsidR="00145881" w:rsidRPr="001F731F" w:rsidRDefault="00145881" w:rsidP="00145881">
      <w:pPr>
        <w:rPr>
          <w:rFonts w:ascii="Arial" w:hAnsi="Arial" w:cs="Arial"/>
          <w:lang w:val="es-ES_tradnl"/>
        </w:rPr>
      </w:pPr>
    </w:p>
    <w:p w14:paraId="5856780D" w14:textId="77777777" w:rsidR="00145881" w:rsidRPr="001F731F" w:rsidRDefault="00145881" w:rsidP="00145881">
      <w:pPr>
        <w:rPr>
          <w:rFonts w:ascii="Arial" w:hAnsi="Arial" w:cs="Arial"/>
          <w:lang w:val="es-ES_tradnl"/>
        </w:rPr>
      </w:pPr>
    </w:p>
    <w:p w14:paraId="08487533" w14:textId="77777777" w:rsidR="00145881" w:rsidRPr="001F731F" w:rsidRDefault="00145881" w:rsidP="00145881">
      <w:pPr>
        <w:rPr>
          <w:rFonts w:ascii="Arial" w:hAnsi="Arial" w:cs="Arial"/>
          <w:lang w:val="es-ES_tradnl"/>
        </w:rPr>
        <w:sectPr w:rsidR="00145881" w:rsidRPr="001F731F" w:rsidSect="002F348C">
          <w:footerReference w:type="default" r:id="rId18"/>
          <w:pgSz w:w="12240" w:h="15840"/>
          <w:pgMar w:top="1440" w:right="1800" w:bottom="1440" w:left="1800" w:header="720" w:footer="720" w:gutter="0"/>
          <w:pgNumType w:start="0"/>
          <w:cols w:space="720"/>
          <w:titlePg/>
          <w:docGrid w:linePitch="360"/>
        </w:sectPr>
      </w:pPr>
      <w:r w:rsidRPr="001F731F">
        <w:rPr>
          <w:rFonts w:ascii="Arial" w:hAnsi="Arial" w:cs="Arial"/>
          <w:lang w:val="es-ES_tradnl"/>
        </w:rPr>
        <w:br w:type="page"/>
      </w:r>
    </w:p>
    <w:p w14:paraId="5EC4DD46" w14:textId="77777777" w:rsidR="00145881" w:rsidRPr="001F731F" w:rsidRDefault="00145881" w:rsidP="00145881">
      <w:pPr>
        <w:pStyle w:val="Chapter"/>
        <w:spacing w:before="0"/>
        <w:rPr>
          <w:rFonts w:ascii="Arial" w:hAnsi="Arial" w:cs="Arial"/>
          <w:sz w:val="22"/>
          <w:szCs w:val="22"/>
          <w:lang w:val="es-ES_tradnl"/>
        </w:rPr>
      </w:pPr>
      <w:bookmarkStart w:id="2" w:name="_Toc352756751"/>
      <w:bookmarkStart w:id="3" w:name="_Toc38880730"/>
      <w:bookmarkStart w:id="4" w:name="_Toc40530254"/>
      <w:r w:rsidRPr="001F731F">
        <w:rPr>
          <w:rFonts w:ascii="Arial" w:hAnsi="Arial" w:cs="Arial"/>
          <w:sz w:val="22"/>
          <w:szCs w:val="22"/>
          <w:lang w:val="es-ES_tradnl"/>
        </w:rPr>
        <w:lastRenderedPageBreak/>
        <w:t>Introducción</w:t>
      </w:r>
      <w:bookmarkEnd w:id="2"/>
      <w:bookmarkEnd w:id="3"/>
      <w:bookmarkEnd w:id="4"/>
      <w:r w:rsidRPr="001F731F">
        <w:rPr>
          <w:rFonts w:ascii="Arial" w:hAnsi="Arial" w:cs="Arial"/>
          <w:sz w:val="22"/>
          <w:szCs w:val="22"/>
          <w:lang w:val="es-ES_tradnl"/>
        </w:rPr>
        <w:t xml:space="preserve"> </w:t>
      </w:r>
    </w:p>
    <w:p w14:paraId="6BFE2BA9" w14:textId="0B2112A1" w:rsidR="007B71D2" w:rsidRPr="00D361EF" w:rsidRDefault="007B71D2" w:rsidP="007B71D2">
      <w:pPr>
        <w:pStyle w:val="Paragraph"/>
        <w:numPr>
          <w:ilvl w:val="1"/>
          <w:numId w:val="12"/>
        </w:numPr>
        <w:tabs>
          <w:tab w:val="left" w:pos="180"/>
        </w:tabs>
        <w:spacing w:after="0"/>
        <w:ind w:left="720" w:hanging="720"/>
        <w:rPr>
          <w:rFonts w:ascii="Arial" w:eastAsia="Calibri" w:hAnsi="Arial" w:cs="Arial"/>
          <w:sz w:val="22"/>
          <w:szCs w:val="22"/>
          <w:lang w:val="es-BO" w:eastAsia="es-PE"/>
        </w:rPr>
      </w:pPr>
      <w:r>
        <w:rPr>
          <w:rFonts w:ascii="Arial" w:eastAsia="Calibri" w:hAnsi="Arial" w:cs="Arial"/>
          <w:b/>
          <w:bCs/>
          <w:sz w:val="22"/>
          <w:szCs w:val="22"/>
          <w:lang w:val="es-BO" w:eastAsia="es-PE"/>
        </w:rPr>
        <w:t xml:space="preserve">Antecedentes. </w:t>
      </w:r>
      <w:r>
        <w:rPr>
          <w:rFonts w:ascii="Arial" w:eastAsia="Calibri" w:hAnsi="Arial" w:cs="Arial"/>
          <w:sz w:val="22"/>
          <w:szCs w:val="22"/>
          <w:lang w:val="es-BO" w:eastAsia="es-PE"/>
        </w:rPr>
        <w:t xml:space="preserve">El Salvador es la cuarta mayor economía de Centroamérica, dolarizada y abierta al exterior, vulnerable a choques externos y desastres naturales. </w:t>
      </w:r>
      <w:r w:rsidRPr="00D361EF">
        <w:rPr>
          <w:rFonts w:ascii="Arial" w:eastAsia="Calibri" w:hAnsi="Arial" w:cs="Arial"/>
          <w:sz w:val="22"/>
          <w:szCs w:val="22"/>
          <w:lang w:val="es-BO" w:eastAsia="es-PE"/>
        </w:rPr>
        <w:t>El Producto Interno Bruto (PIB) registró un crecimiento de 2,38% para el año 2019</w:t>
      </w:r>
      <w:r w:rsidRPr="000F4F6E">
        <w:rPr>
          <w:rStyle w:val="FootnoteReference"/>
          <w:rFonts w:ascii="Arial" w:eastAsia="Calibri" w:hAnsi="Arial" w:cs="Arial"/>
          <w:sz w:val="22"/>
          <w:szCs w:val="22"/>
          <w:lang w:val="es-BO" w:eastAsia="es-PE"/>
        </w:rPr>
        <w:footnoteReference w:id="2"/>
      </w:r>
      <w:r w:rsidRPr="00D361EF">
        <w:rPr>
          <w:rFonts w:ascii="Arial" w:eastAsia="Calibri" w:hAnsi="Arial" w:cs="Arial"/>
          <w:sz w:val="22"/>
          <w:szCs w:val="22"/>
          <w:lang w:val="es-BO" w:eastAsia="es-PE"/>
        </w:rPr>
        <w:t>, con proyecciones iniciales de crecimiento para 2020 en un rango entre 2,3% y 2,7%</w:t>
      </w:r>
      <w:r>
        <w:rPr>
          <w:rStyle w:val="FootnoteReference"/>
          <w:rFonts w:ascii="Arial" w:eastAsia="Calibri" w:hAnsi="Arial" w:cs="Arial"/>
          <w:sz w:val="22"/>
          <w:szCs w:val="22"/>
          <w:lang w:val="es-BO" w:eastAsia="es-PE"/>
        </w:rPr>
        <w:footnoteReference w:id="3"/>
      </w:r>
      <w:r>
        <w:rPr>
          <w:rFonts w:ascii="Arial" w:eastAsia="Calibri" w:hAnsi="Arial" w:cs="Arial"/>
          <w:sz w:val="22"/>
          <w:szCs w:val="22"/>
          <w:lang w:val="es-BO" w:eastAsia="es-PE"/>
        </w:rPr>
        <w:t>.</w:t>
      </w:r>
      <w:r w:rsidRPr="00D361EF">
        <w:rPr>
          <w:rFonts w:ascii="Arial" w:eastAsia="Calibri" w:hAnsi="Arial" w:cs="Arial"/>
          <w:sz w:val="22"/>
          <w:szCs w:val="22"/>
          <w:lang w:val="es-BO" w:eastAsia="es-PE"/>
        </w:rPr>
        <w:t xml:space="preserve"> </w:t>
      </w:r>
      <w:r w:rsidRPr="00C70487">
        <w:rPr>
          <w:rFonts w:ascii="Arial" w:eastAsia="Calibri" w:hAnsi="Arial" w:cs="Arial"/>
          <w:sz w:val="22"/>
          <w:szCs w:val="22"/>
          <w:lang w:val="es-BO" w:eastAsia="es-PE"/>
        </w:rPr>
        <w:t xml:space="preserve">En las últimas dos </w:t>
      </w:r>
      <w:r w:rsidRPr="00C7116D">
        <w:rPr>
          <w:rFonts w:ascii="Arial" w:eastAsia="Calibri" w:hAnsi="Arial" w:cs="Arial"/>
          <w:sz w:val="22"/>
          <w:szCs w:val="22"/>
          <w:lang w:val="es-BO" w:eastAsia="es-PE"/>
        </w:rPr>
        <w:t>décadas</w:t>
      </w:r>
      <w:r w:rsidRPr="00652A1A">
        <w:rPr>
          <w:rFonts w:ascii="Arial" w:eastAsia="Calibri" w:hAnsi="Arial" w:cs="Arial"/>
          <w:sz w:val="22"/>
          <w:szCs w:val="22"/>
          <w:lang w:val="es-BO" w:eastAsia="es-PE"/>
        </w:rPr>
        <w:t xml:space="preserve"> el bajo crecimiento </w:t>
      </w:r>
      <w:r w:rsidRPr="00D428F2">
        <w:rPr>
          <w:rFonts w:ascii="Arial" w:eastAsia="Calibri" w:hAnsi="Arial" w:cs="Arial"/>
          <w:sz w:val="22"/>
          <w:szCs w:val="22"/>
          <w:lang w:val="es-BO" w:eastAsia="es-PE"/>
        </w:rPr>
        <w:t>se atribuy</w:t>
      </w:r>
      <w:r w:rsidRPr="00E56D4B">
        <w:rPr>
          <w:rFonts w:ascii="Arial" w:eastAsia="Calibri" w:hAnsi="Arial" w:cs="Arial"/>
          <w:sz w:val="22"/>
          <w:szCs w:val="22"/>
          <w:lang w:val="es-BO" w:eastAsia="es-PE"/>
        </w:rPr>
        <w:t xml:space="preserve">ó principalmente a la disminución de las contribuciones </w:t>
      </w:r>
      <w:r w:rsidRPr="00986392">
        <w:rPr>
          <w:rFonts w:ascii="Arial" w:eastAsia="Calibri" w:hAnsi="Arial" w:cs="Arial"/>
          <w:sz w:val="22"/>
          <w:szCs w:val="22"/>
          <w:lang w:val="es-BO" w:eastAsia="es-PE"/>
        </w:rPr>
        <w:t>tanto del capital como de la productividad total de factores</w:t>
      </w:r>
      <w:r w:rsidRPr="00C70487">
        <w:rPr>
          <w:rStyle w:val="FootnoteReference"/>
          <w:rFonts w:ascii="Arial" w:eastAsia="Calibri" w:hAnsi="Arial" w:cs="Arial"/>
          <w:sz w:val="22"/>
          <w:szCs w:val="22"/>
          <w:lang w:val="es-BO" w:eastAsia="es-PE"/>
        </w:rPr>
        <w:footnoteReference w:id="4"/>
      </w:r>
      <w:r w:rsidRPr="00C70487">
        <w:rPr>
          <w:rFonts w:ascii="Arial" w:eastAsia="Calibri" w:hAnsi="Arial" w:cs="Arial"/>
          <w:sz w:val="22"/>
          <w:szCs w:val="22"/>
          <w:lang w:val="es-BO" w:eastAsia="es-PE"/>
        </w:rPr>
        <w:t xml:space="preserve">. A finales de 2019, </w:t>
      </w:r>
      <w:r w:rsidRPr="00D361EF">
        <w:rPr>
          <w:rFonts w:ascii="Arial" w:eastAsia="Calibri" w:hAnsi="Arial" w:cs="Arial"/>
          <w:sz w:val="22"/>
          <w:szCs w:val="22"/>
          <w:lang w:val="es-BO" w:eastAsia="es-PE"/>
        </w:rPr>
        <w:t>el brote de la enfermedad</w:t>
      </w:r>
      <w:r w:rsidRPr="00444F6D">
        <w:rPr>
          <w:rFonts w:ascii="Arial" w:hAnsi="Arial" w:cs="Arial"/>
          <w:sz w:val="22"/>
          <w:szCs w:val="22"/>
          <w:shd w:val="clear" w:color="auto" w:fill="FFFFFF"/>
          <w:lang w:val="es-ES"/>
        </w:rPr>
        <w:t xml:space="preserve"> del coronavirus 2019 (COVID-19, por sus siglas en inglés)</w:t>
      </w:r>
      <w:r>
        <w:rPr>
          <w:rFonts w:ascii="Arial" w:eastAsia="Calibri" w:hAnsi="Arial" w:cs="Arial"/>
          <w:sz w:val="22"/>
          <w:szCs w:val="22"/>
          <w:lang w:val="es-BO" w:eastAsia="es-PE"/>
        </w:rPr>
        <w:t>,</w:t>
      </w:r>
      <w:r w:rsidRPr="00D361EF">
        <w:rPr>
          <w:rFonts w:ascii="Arial" w:eastAsia="Calibri" w:hAnsi="Arial" w:cs="Arial"/>
          <w:sz w:val="22"/>
          <w:szCs w:val="22"/>
          <w:lang w:val="es-BO" w:eastAsia="es-PE"/>
        </w:rPr>
        <w:t xml:space="preserve"> </w:t>
      </w:r>
      <w:r>
        <w:rPr>
          <w:rFonts w:ascii="Arial" w:eastAsia="Calibri" w:hAnsi="Arial" w:cs="Arial"/>
          <w:sz w:val="22"/>
          <w:szCs w:val="22"/>
          <w:lang w:val="es-BO" w:eastAsia="es-PE"/>
        </w:rPr>
        <w:t>cambió</w:t>
      </w:r>
      <w:r w:rsidRPr="00D361EF">
        <w:rPr>
          <w:rFonts w:ascii="Arial" w:eastAsia="Calibri" w:hAnsi="Arial" w:cs="Arial"/>
          <w:sz w:val="22"/>
          <w:szCs w:val="22"/>
          <w:lang w:val="es-BO" w:eastAsia="es-PE"/>
        </w:rPr>
        <w:t xml:space="preserve"> drásticamente el panorama</w:t>
      </w:r>
      <w:r w:rsidRPr="00652A1A">
        <w:rPr>
          <w:rFonts w:ascii="Arial" w:eastAsia="Calibri" w:hAnsi="Arial" w:cs="Arial"/>
          <w:sz w:val="22"/>
          <w:szCs w:val="22"/>
          <w:lang w:val="es-BO" w:eastAsia="es-PE"/>
        </w:rPr>
        <w:t xml:space="preserve"> para El Salvador</w:t>
      </w:r>
      <w:r w:rsidRPr="00C70487">
        <w:rPr>
          <w:rStyle w:val="FootnoteReference"/>
          <w:rFonts w:ascii="Arial" w:eastAsia="Calibri" w:hAnsi="Arial" w:cs="Arial"/>
          <w:sz w:val="22"/>
          <w:szCs w:val="22"/>
          <w:lang w:val="es-BO" w:eastAsia="es-PE"/>
        </w:rPr>
        <w:footnoteReference w:id="5"/>
      </w:r>
      <w:r w:rsidRPr="00C70487">
        <w:rPr>
          <w:rFonts w:ascii="Arial" w:eastAsia="Calibri" w:hAnsi="Arial" w:cs="Arial"/>
          <w:sz w:val="22"/>
          <w:szCs w:val="22"/>
          <w:lang w:val="es-BO" w:eastAsia="es-PE"/>
        </w:rPr>
        <w:t>.</w:t>
      </w:r>
      <w:r w:rsidRPr="00D361EF">
        <w:rPr>
          <w:rFonts w:ascii="Arial" w:eastAsia="Calibri" w:hAnsi="Arial" w:cs="Arial"/>
          <w:sz w:val="22"/>
          <w:szCs w:val="22"/>
          <w:lang w:val="es-BO" w:eastAsia="es-PE"/>
        </w:rPr>
        <w:t xml:space="preserve"> Ante el efecto combinado del choque externo y la interrupción de todas las actividades no esenciales en el país</w:t>
      </w:r>
      <w:r>
        <w:rPr>
          <w:rStyle w:val="FootnoteReference"/>
          <w:rFonts w:ascii="Arial" w:eastAsia="Calibri" w:hAnsi="Arial" w:cs="Arial"/>
          <w:sz w:val="22"/>
          <w:szCs w:val="22"/>
          <w:lang w:val="es-BO" w:eastAsia="es-PE"/>
        </w:rPr>
        <w:footnoteReference w:id="6"/>
      </w:r>
      <w:r>
        <w:rPr>
          <w:rFonts w:ascii="Arial" w:eastAsia="Calibri" w:hAnsi="Arial" w:cs="Arial"/>
          <w:sz w:val="22"/>
          <w:szCs w:val="22"/>
          <w:lang w:val="es-BO" w:eastAsia="es-PE"/>
        </w:rPr>
        <w:t>,</w:t>
      </w:r>
      <w:r w:rsidRPr="00D361EF">
        <w:rPr>
          <w:rFonts w:ascii="Arial" w:eastAsia="Calibri" w:hAnsi="Arial" w:cs="Arial"/>
          <w:sz w:val="22"/>
          <w:szCs w:val="22"/>
          <w:lang w:val="es-BO" w:eastAsia="es-PE"/>
        </w:rPr>
        <w:t xml:space="preserve"> se espera un impacto severo, aunque temporal, sobre la economía, proyectando una contracción </w:t>
      </w:r>
      <w:r w:rsidR="008C3D0F">
        <w:rPr>
          <w:rFonts w:ascii="Arial" w:eastAsia="Calibri" w:hAnsi="Arial" w:cs="Arial"/>
          <w:sz w:val="22"/>
          <w:szCs w:val="22"/>
          <w:lang w:val="es-BO" w:eastAsia="es-PE"/>
        </w:rPr>
        <w:t xml:space="preserve">entre el 5,4% y </w:t>
      </w:r>
      <w:r w:rsidRPr="000F4F6E">
        <w:rPr>
          <w:rFonts w:ascii="Arial" w:eastAsia="Calibri" w:hAnsi="Arial" w:cs="Arial"/>
          <w:sz w:val="22"/>
          <w:szCs w:val="22"/>
          <w:lang w:val="es-BO" w:eastAsia="es-PE"/>
        </w:rPr>
        <w:t>6,7% en 2020</w:t>
      </w:r>
      <w:r w:rsidR="008C3D0F">
        <w:rPr>
          <w:rFonts w:ascii="Arial" w:eastAsia="Calibri" w:hAnsi="Arial" w:cs="Arial"/>
          <w:sz w:val="22"/>
          <w:szCs w:val="22"/>
          <w:lang w:val="es-BO" w:eastAsia="es-PE"/>
        </w:rPr>
        <w:t xml:space="preserve">. </w:t>
      </w:r>
      <w:r w:rsidR="008C3D0F" w:rsidRPr="00A56632">
        <w:rPr>
          <w:rFonts w:ascii="Arial" w:eastAsia="Calibri" w:hAnsi="Arial" w:cs="Arial"/>
          <w:sz w:val="22"/>
          <w:szCs w:val="22"/>
          <w:lang w:val="es-BO" w:eastAsia="es-PE"/>
        </w:rPr>
        <w:t xml:space="preserve">La reducción en los ingresos fiscales por la menor actividad </w:t>
      </w:r>
      <w:r w:rsidR="008C3D0F" w:rsidRPr="002C6AE7">
        <w:rPr>
          <w:rFonts w:ascii="Arial" w:eastAsia="Calibri" w:hAnsi="Arial" w:cs="Arial"/>
          <w:sz w:val="22"/>
          <w:szCs w:val="22"/>
          <w:lang w:val="es-BO" w:eastAsia="es-PE"/>
        </w:rPr>
        <w:t>económica</w:t>
      </w:r>
      <w:r w:rsidR="008C3D0F" w:rsidRPr="006342D9">
        <w:rPr>
          <w:rFonts w:ascii="Arial" w:eastAsia="Calibri" w:hAnsi="Arial" w:cs="Arial"/>
          <w:sz w:val="22"/>
          <w:szCs w:val="22"/>
          <w:lang w:val="es-BO" w:eastAsia="es-PE"/>
        </w:rPr>
        <w:t xml:space="preserve"> y el aumento del gasto </w:t>
      </w:r>
      <w:r w:rsidR="008C3D0F">
        <w:rPr>
          <w:rFonts w:ascii="Arial" w:eastAsia="Calibri" w:hAnsi="Arial" w:cs="Arial"/>
          <w:sz w:val="22"/>
          <w:szCs w:val="22"/>
          <w:lang w:val="es-BO" w:eastAsia="es-PE"/>
        </w:rPr>
        <w:t xml:space="preserve">generarán </w:t>
      </w:r>
      <w:r w:rsidR="008C3D0F" w:rsidRPr="005E4D22">
        <w:rPr>
          <w:rFonts w:ascii="Arial" w:eastAsia="Calibri" w:hAnsi="Arial" w:cs="Arial"/>
          <w:sz w:val="22"/>
          <w:szCs w:val="22"/>
          <w:lang w:val="es-BO" w:eastAsia="es-PE"/>
        </w:rPr>
        <w:t>un déficit</w:t>
      </w:r>
      <w:r w:rsidR="008C3D0F" w:rsidRPr="00EA0E46">
        <w:rPr>
          <w:rFonts w:ascii="Arial" w:eastAsia="Calibri" w:hAnsi="Arial" w:cs="Arial"/>
          <w:sz w:val="22"/>
          <w:szCs w:val="22"/>
          <w:lang w:val="es-BO" w:eastAsia="es-PE"/>
        </w:rPr>
        <w:t xml:space="preserve"> </w:t>
      </w:r>
      <w:r w:rsidR="008C3D0F" w:rsidRPr="005B4D77">
        <w:rPr>
          <w:rFonts w:ascii="Arial" w:eastAsia="Calibri" w:hAnsi="Arial" w:cs="Arial"/>
          <w:sz w:val="22"/>
          <w:szCs w:val="22"/>
          <w:lang w:val="es-BO" w:eastAsia="es-PE"/>
        </w:rPr>
        <w:t xml:space="preserve">que se </w:t>
      </w:r>
      <w:r w:rsidR="008C3D0F" w:rsidRPr="00A56632">
        <w:rPr>
          <w:rFonts w:ascii="Arial" w:eastAsia="Calibri" w:hAnsi="Arial" w:cs="Arial"/>
          <w:sz w:val="22"/>
          <w:szCs w:val="22"/>
          <w:lang w:val="es-BO" w:eastAsia="es-PE"/>
        </w:rPr>
        <w:t xml:space="preserve">estima en 8,7% del PIB, </w:t>
      </w:r>
      <w:r w:rsidR="008C3D0F">
        <w:rPr>
          <w:rFonts w:ascii="Arial" w:eastAsia="Calibri" w:hAnsi="Arial" w:cs="Arial"/>
          <w:sz w:val="22"/>
          <w:szCs w:val="22"/>
          <w:lang w:val="es-BO" w:eastAsia="es-PE"/>
        </w:rPr>
        <w:t xml:space="preserve">aunque </w:t>
      </w:r>
      <w:r w:rsidR="008C3D0F" w:rsidRPr="005E4D22">
        <w:rPr>
          <w:rFonts w:ascii="Arial" w:eastAsia="Calibri" w:hAnsi="Arial" w:cs="Arial"/>
          <w:sz w:val="22"/>
          <w:szCs w:val="22"/>
          <w:lang w:val="es-BO" w:eastAsia="es-PE"/>
        </w:rPr>
        <w:t xml:space="preserve">podría ser mayor en función </w:t>
      </w:r>
      <w:r w:rsidR="008C3D0F" w:rsidRPr="00EA0E46">
        <w:rPr>
          <w:rFonts w:ascii="Arial" w:eastAsia="Calibri" w:hAnsi="Arial" w:cs="Arial"/>
          <w:sz w:val="22"/>
          <w:szCs w:val="22"/>
          <w:lang w:val="es-BO" w:eastAsia="es-PE"/>
        </w:rPr>
        <w:t>a las necesidade</w:t>
      </w:r>
      <w:r w:rsidR="008C3D0F" w:rsidRPr="005B4D77">
        <w:rPr>
          <w:rFonts w:ascii="Arial" w:eastAsia="Calibri" w:hAnsi="Arial" w:cs="Arial"/>
          <w:sz w:val="22"/>
          <w:szCs w:val="22"/>
          <w:lang w:val="es-BO" w:eastAsia="es-PE"/>
        </w:rPr>
        <w:t>s</w:t>
      </w:r>
      <w:r w:rsidR="008C3D0F" w:rsidRPr="00A56632">
        <w:rPr>
          <w:rFonts w:ascii="Arial" w:eastAsia="Calibri" w:hAnsi="Arial" w:cs="Arial"/>
          <w:sz w:val="22"/>
          <w:szCs w:val="22"/>
          <w:lang w:val="es-BO" w:eastAsia="es-PE"/>
        </w:rPr>
        <w:t xml:space="preserve"> del </w:t>
      </w:r>
      <w:r w:rsidR="008C3D0F" w:rsidRPr="008C3D0F">
        <w:rPr>
          <w:rFonts w:ascii="Arial" w:hAnsi="Arial" w:cs="Arial"/>
          <w:sz w:val="22"/>
          <w:szCs w:val="22"/>
          <w:lang w:val="es-ES"/>
        </w:rPr>
        <w:t xml:space="preserve">plan económico y fiscal que el </w:t>
      </w:r>
      <w:r w:rsidR="008C3D0F">
        <w:rPr>
          <w:rFonts w:ascii="Arial" w:eastAsia="Calibri" w:hAnsi="Arial" w:cs="Arial"/>
          <w:sz w:val="22"/>
          <w:szCs w:val="22"/>
          <w:lang w:val="es-BO" w:eastAsia="es-PE"/>
        </w:rPr>
        <w:t>G</w:t>
      </w:r>
      <w:r w:rsidR="008C3D0F" w:rsidRPr="00B22261">
        <w:rPr>
          <w:rFonts w:ascii="Arial" w:eastAsia="Calibri" w:hAnsi="Arial" w:cs="Arial"/>
          <w:sz w:val="22"/>
          <w:szCs w:val="22"/>
          <w:lang w:val="es-BO" w:eastAsia="es-PE"/>
        </w:rPr>
        <w:t>obierno</w:t>
      </w:r>
      <w:r w:rsidR="008C3D0F">
        <w:rPr>
          <w:rFonts w:ascii="Arial" w:eastAsia="Calibri" w:hAnsi="Arial" w:cs="Arial"/>
          <w:sz w:val="22"/>
          <w:szCs w:val="22"/>
          <w:lang w:val="es-BO" w:eastAsia="es-PE"/>
        </w:rPr>
        <w:t xml:space="preserve"> está planteando para atender la emergencia e iniciar la recuperación económica</w:t>
      </w:r>
      <w:r>
        <w:rPr>
          <w:rStyle w:val="FootnoteReference"/>
          <w:rFonts w:ascii="Arial" w:eastAsia="Calibri" w:hAnsi="Arial" w:cs="Arial"/>
          <w:sz w:val="22"/>
          <w:szCs w:val="22"/>
          <w:lang w:val="es-BO" w:eastAsia="es-PE"/>
        </w:rPr>
        <w:footnoteReference w:id="7"/>
      </w:r>
      <w:r w:rsidR="00AA2E17">
        <w:rPr>
          <w:rFonts w:ascii="Arial" w:eastAsia="Calibri" w:hAnsi="Arial" w:cs="Arial"/>
          <w:sz w:val="22"/>
          <w:szCs w:val="22"/>
          <w:lang w:val="es-BO" w:eastAsia="es-PE"/>
        </w:rPr>
        <w:t>.</w:t>
      </w:r>
    </w:p>
    <w:p w14:paraId="75406F93" w14:textId="1DD62DF1" w:rsidR="007B71D2" w:rsidRDefault="007B71D2" w:rsidP="007B71D2">
      <w:pPr>
        <w:pStyle w:val="Paragraph"/>
        <w:numPr>
          <w:ilvl w:val="1"/>
          <w:numId w:val="12"/>
        </w:numPr>
        <w:tabs>
          <w:tab w:val="left" w:pos="0"/>
        </w:tabs>
        <w:spacing w:after="0"/>
        <w:ind w:left="720" w:hanging="720"/>
        <w:rPr>
          <w:rFonts w:ascii="Arial" w:eastAsia="Calibri" w:hAnsi="Arial" w:cs="Arial"/>
          <w:sz w:val="22"/>
          <w:szCs w:val="22"/>
          <w:lang w:val="es-BO" w:eastAsia="es-PE"/>
        </w:rPr>
      </w:pPr>
      <w:r w:rsidRPr="0030432E">
        <w:rPr>
          <w:rFonts w:ascii="Arial" w:eastAsia="Calibri" w:hAnsi="Arial" w:cs="Arial"/>
          <w:b/>
          <w:bCs/>
          <w:sz w:val="22"/>
          <w:szCs w:val="22"/>
          <w:lang w:val="es-BO" w:eastAsia="es-PE"/>
        </w:rPr>
        <w:t>La colocación de créditos podría desacelerarse, lo que incrementaría el riesgo de exclusión del sistema financiero</w:t>
      </w:r>
      <w:r>
        <w:rPr>
          <w:rFonts w:ascii="Arial" w:eastAsia="Calibri" w:hAnsi="Arial" w:cs="Arial"/>
          <w:b/>
          <w:bCs/>
          <w:sz w:val="22"/>
          <w:szCs w:val="22"/>
          <w:lang w:val="es-BO" w:eastAsia="es-PE"/>
        </w:rPr>
        <w:t>.</w:t>
      </w:r>
      <w:r w:rsidRPr="0030432E">
        <w:rPr>
          <w:rFonts w:ascii="Arial" w:eastAsia="Calibri" w:hAnsi="Arial" w:cs="Arial"/>
          <w:sz w:val="22"/>
          <w:szCs w:val="22"/>
          <w:lang w:val="es-BO" w:eastAsia="es-PE"/>
        </w:rPr>
        <w:t xml:space="preserve"> Si bien el sistema financiero de El Salvador mostraba su robustez consolidándose como uno de los rubros más dinámicos de las </w:t>
      </w:r>
      <w:r>
        <w:rPr>
          <w:rFonts w:ascii="Arial" w:eastAsia="Calibri" w:hAnsi="Arial" w:cs="Arial"/>
          <w:sz w:val="22"/>
          <w:szCs w:val="22"/>
          <w:lang w:val="es-BO" w:eastAsia="es-PE"/>
        </w:rPr>
        <w:t>ú</w:t>
      </w:r>
      <w:r w:rsidRPr="0030432E">
        <w:rPr>
          <w:rFonts w:ascii="Arial" w:eastAsia="Calibri" w:hAnsi="Arial" w:cs="Arial"/>
          <w:sz w:val="22"/>
          <w:szCs w:val="22"/>
          <w:lang w:val="es-BO" w:eastAsia="es-PE"/>
        </w:rPr>
        <w:t>ltimas dos décadas en la economía de El Salvador</w:t>
      </w:r>
      <w:r>
        <w:rPr>
          <w:rFonts w:ascii="Arial" w:eastAsia="Calibri" w:hAnsi="Arial" w:cs="Arial"/>
          <w:sz w:val="22"/>
          <w:szCs w:val="22"/>
          <w:lang w:val="es-BO" w:eastAsia="es-PE"/>
        </w:rPr>
        <w:t>, se prevé que la crisis del COVID-19 tenga efecto</w:t>
      </w:r>
      <w:r w:rsidR="00A13196">
        <w:rPr>
          <w:rFonts w:ascii="Arial" w:eastAsia="Calibri" w:hAnsi="Arial" w:cs="Arial"/>
          <w:sz w:val="22"/>
          <w:szCs w:val="22"/>
          <w:lang w:val="es-BO" w:eastAsia="es-PE"/>
        </w:rPr>
        <w:t>s</w:t>
      </w:r>
      <w:r>
        <w:rPr>
          <w:rFonts w:ascii="Arial" w:eastAsia="Calibri" w:hAnsi="Arial" w:cs="Arial"/>
          <w:sz w:val="22"/>
          <w:szCs w:val="22"/>
          <w:lang w:val="es-BO" w:eastAsia="es-PE"/>
        </w:rPr>
        <w:t xml:space="preserve"> adversos sobre el mismo. La crisis del COVID-19 impone </w:t>
      </w:r>
      <w:r w:rsidRPr="00023CA3">
        <w:rPr>
          <w:rFonts w:ascii="Arial" w:eastAsia="Calibri" w:hAnsi="Arial" w:cs="Arial"/>
          <w:sz w:val="22"/>
          <w:szCs w:val="22"/>
          <w:lang w:val="es-BO" w:eastAsia="es-PE"/>
        </w:rPr>
        <w:t>desafíos para las IFI, particularmente en las de menor tamaño, y aquell</w:t>
      </w:r>
      <w:r>
        <w:rPr>
          <w:rFonts w:ascii="Arial" w:eastAsia="Calibri" w:hAnsi="Arial" w:cs="Arial"/>
          <w:sz w:val="22"/>
          <w:szCs w:val="22"/>
          <w:lang w:val="es-BO" w:eastAsia="es-PE"/>
        </w:rPr>
        <w:t>a</w:t>
      </w:r>
      <w:r w:rsidRPr="00023CA3">
        <w:rPr>
          <w:rFonts w:ascii="Arial" w:eastAsia="Calibri" w:hAnsi="Arial" w:cs="Arial"/>
          <w:sz w:val="22"/>
          <w:szCs w:val="22"/>
          <w:lang w:val="es-BO" w:eastAsia="es-PE"/>
        </w:rPr>
        <w:t>s concentrad</w:t>
      </w:r>
      <w:r>
        <w:rPr>
          <w:rFonts w:ascii="Arial" w:eastAsia="Calibri" w:hAnsi="Arial" w:cs="Arial"/>
          <w:sz w:val="22"/>
          <w:szCs w:val="22"/>
          <w:lang w:val="es-BO" w:eastAsia="es-PE"/>
        </w:rPr>
        <w:t>a</w:t>
      </w:r>
      <w:r w:rsidRPr="00023CA3">
        <w:rPr>
          <w:rFonts w:ascii="Arial" w:eastAsia="Calibri" w:hAnsi="Arial" w:cs="Arial"/>
          <w:sz w:val="22"/>
          <w:szCs w:val="22"/>
          <w:lang w:val="es-BO" w:eastAsia="es-PE"/>
        </w:rPr>
        <w:t xml:space="preserve">s </w:t>
      </w:r>
      <w:r>
        <w:rPr>
          <w:rFonts w:ascii="Arial" w:eastAsia="Calibri" w:hAnsi="Arial" w:cs="Arial"/>
          <w:sz w:val="22"/>
          <w:szCs w:val="22"/>
          <w:lang w:val="es-BO" w:eastAsia="es-PE"/>
        </w:rPr>
        <w:t xml:space="preserve">en </w:t>
      </w:r>
      <w:r w:rsidRPr="00023CA3">
        <w:rPr>
          <w:rFonts w:ascii="Arial" w:eastAsia="Calibri" w:hAnsi="Arial" w:cs="Arial"/>
          <w:sz w:val="22"/>
          <w:szCs w:val="22"/>
          <w:lang w:val="es-BO" w:eastAsia="es-PE"/>
        </w:rPr>
        <w:t xml:space="preserve">segmentos con mayor exposición a la crisis. </w:t>
      </w:r>
      <w:r>
        <w:rPr>
          <w:rFonts w:ascii="Arial" w:eastAsia="Calibri" w:hAnsi="Arial" w:cs="Arial"/>
          <w:sz w:val="22"/>
          <w:szCs w:val="22"/>
          <w:lang w:val="es-BO" w:eastAsia="es-PE"/>
        </w:rPr>
        <w:t>Entre las</w:t>
      </w:r>
      <w:r w:rsidRPr="00023CA3">
        <w:rPr>
          <w:rFonts w:ascii="Arial" w:eastAsia="Calibri" w:hAnsi="Arial" w:cs="Arial"/>
          <w:sz w:val="22"/>
          <w:szCs w:val="22"/>
          <w:lang w:val="es-BO" w:eastAsia="es-PE"/>
        </w:rPr>
        <w:t xml:space="preserve"> amenazas</w:t>
      </w:r>
      <w:r>
        <w:rPr>
          <w:rFonts w:ascii="Arial" w:eastAsia="Calibri" w:hAnsi="Arial" w:cs="Arial"/>
          <w:sz w:val="22"/>
          <w:szCs w:val="22"/>
          <w:lang w:val="es-BO" w:eastAsia="es-PE"/>
        </w:rPr>
        <w:t xml:space="preserve"> palpables están </w:t>
      </w:r>
      <w:r w:rsidRPr="00023CA3">
        <w:rPr>
          <w:rFonts w:ascii="Arial" w:eastAsia="Calibri" w:hAnsi="Arial" w:cs="Arial"/>
          <w:sz w:val="22"/>
          <w:szCs w:val="22"/>
          <w:lang w:val="es-BO" w:eastAsia="es-PE"/>
        </w:rPr>
        <w:t xml:space="preserve">la pérdida de rentabilidad, un mayor riesgo </w:t>
      </w:r>
      <w:r w:rsidRPr="00C7116D">
        <w:rPr>
          <w:rFonts w:ascii="Arial" w:eastAsia="Calibri" w:hAnsi="Arial" w:cs="Arial"/>
          <w:sz w:val="22"/>
          <w:szCs w:val="22"/>
          <w:lang w:val="es-BO" w:eastAsia="es-PE"/>
        </w:rPr>
        <w:t>de impago, la posibilidad de retiros de depósitos, así como dificultades para acce</w:t>
      </w:r>
      <w:r w:rsidRPr="00652A1A">
        <w:rPr>
          <w:rFonts w:ascii="Arial" w:eastAsia="Calibri" w:hAnsi="Arial" w:cs="Arial"/>
          <w:sz w:val="22"/>
          <w:szCs w:val="22"/>
          <w:lang w:val="es-BO" w:eastAsia="es-PE"/>
        </w:rPr>
        <w:t>der a financiamiento debido a la estrechez de liquidez en los mercados</w:t>
      </w:r>
      <w:r w:rsidRPr="000F4F6E">
        <w:rPr>
          <w:rStyle w:val="FootnoteReference"/>
          <w:rFonts w:ascii="Arial" w:eastAsia="Calibri" w:hAnsi="Arial" w:cs="Arial"/>
          <w:sz w:val="22"/>
          <w:szCs w:val="22"/>
          <w:lang w:val="es-BO" w:eastAsia="es-PE"/>
        </w:rPr>
        <w:footnoteReference w:id="8"/>
      </w:r>
      <w:r>
        <w:rPr>
          <w:rFonts w:ascii="Arial" w:eastAsia="Calibri" w:hAnsi="Arial" w:cs="Arial"/>
          <w:sz w:val="22"/>
          <w:szCs w:val="22"/>
          <w:lang w:val="es-BO" w:eastAsia="es-PE"/>
        </w:rPr>
        <w:t>.</w:t>
      </w:r>
      <w:r w:rsidRPr="0018125A">
        <w:rPr>
          <w:rFonts w:ascii="Arial" w:eastAsia="Calibri" w:hAnsi="Arial" w:cs="Arial"/>
          <w:sz w:val="22"/>
          <w:szCs w:val="22"/>
          <w:lang w:val="es-BO" w:eastAsia="es-PE"/>
        </w:rPr>
        <w:t xml:space="preserve"> </w:t>
      </w:r>
      <w:r w:rsidRPr="0030432E">
        <w:rPr>
          <w:rFonts w:ascii="Arial" w:eastAsia="Calibri" w:hAnsi="Arial" w:cs="Arial"/>
          <w:sz w:val="22"/>
          <w:szCs w:val="22"/>
          <w:lang w:val="es-BO" w:eastAsia="es-PE"/>
        </w:rPr>
        <w:t>La evidencia sugiere que las IFI se comportan de manera procíclica y pueden restringir el crédito en tiempos de crisis</w:t>
      </w:r>
      <w:r w:rsidRPr="0030432E">
        <w:rPr>
          <w:rStyle w:val="FootnoteReference"/>
          <w:rFonts w:ascii="Arial" w:eastAsia="Calibri" w:hAnsi="Arial" w:cs="Arial"/>
          <w:sz w:val="22"/>
          <w:szCs w:val="22"/>
          <w:lang w:val="es-BO" w:eastAsia="es-PE"/>
        </w:rPr>
        <w:footnoteReference w:id="9"/>
      </w:r>
      <w:r w:rsidR="00A16320">
        <w:rPr>
          <w:rFonts w:ascii="Arial" w:eastAsia="Calibri" w:hAnsi="Arial" w:cs="Arial"/>
          <w:sz w:val="22"/>
          <w:szCs w:val="22"/>
          <w:lang w:val="es-BO" w:eastAsia="es-PE"/>
        </w:rPr>
        <w:t>,</w:t>
      </w:r>
      <w:r w:rsidRPr="0030432E">
        <w:rPr>
          <w:rFonts w:ascii="Arial" w:eastAsia="Calibri" w:hAnsi="Arial" w:cs="Arial"/>
          <w:sz w:val="22"/>
          <w:szCs w:val="22"/>
          <w:lang w:val="es-BO" w:eastAsia="es-PE"/>
        </w:rPr>
        <w:t xml:space="preserve"> </w:t>
      </w:r>
      <w:r w:rsidR="00EF328B">
        <w:rPr>
          <w:rFonts w:ascii="Arial" w:eastAsia="Calibri" w:hAnsi="Arial" w:cs="Arial"/>
          <w:sz w:val="22"/>
          <w:szCs w:val="22"/>
          <w:lang w:val="es-BO" w:eastAsia="es-PE"/>
        </w:rPr>
        <w:t>c</w:t>
      </w:r>
      <w:r>
        <w:rPr>
          <w:rFonts w:ascii="Arial" w:eastAsia="Calibri" w:hAnsi="Arial" w:cs="Arial"/>
          <w:sz w:val="22"/>
          <w:szCs w:val="22"/>
          <w:lang w:val="es-BO" w:eastAsia="es-PE"/>
        </w:rPr>
        <w:t>on lo que</w:t>
      </w:r>
      <w:r w:rsidRPr="0030432E">
        <w:rPr>
          <w:rFonts w:ascii="Arial" w:eastAsia="Calibri" w:hAnsi="Arial" w:cs="Arial"/>
          <w:sz w:val="22"/>
          <w:szCs w:val="22"/>
          <w:lang w:val="es-BO" w:eastAsia="es-PE"/>
        </w:rPr>
        <w:t xml:space="preserve"> podrían ser más conservadoras y tomar los segmentos que aseguren ingresos, descartando a individuos y empresas con perfiles de riesgo fuera de su umbral de prudencia. En efecto, existen precedentes de exclusión en el sistema financiero de El Salvador durante los años de la crisis financiera internacional. Entre 2007 y 2010, mientras el número de créditos de consumo creció un 6% (70</w:t>
      </w:r>
      <w:r w:rsidR="008C3D0F">
        <w:rPr>
          <w:rFonts w:ascii="Arial" w:eastAsia="Calibri" w:hAnsi="Arial" w:cs="Arial"/>
          <w:sz w:val="22"/>
          <w:szCs w:val="22"/>
          <w:lang w:val="es-BO" w:eastAsia="es-PE"/>
        </w:rPr>
        <w:t>.000</w:t>
      </w:r>
      <w:r w:rsidRPr="0030432E">
        <w:rPr>
          <w:rFonts w:ascii="Arial" w:eastAsia="Calibri" w:hAnsi="Arial" w:cs="Arial"/>
          <w:sz w:val="22"/>
          <w:szCs w:val="22"/>
          <w:lang w:val="es-BO" w:eastAsia="es-PE"/>
        </w:rPr>
        <w:t xml:space="preserve"> operaciones), el número de créditos empresariales y de vivienda se redujo en 14% y 12%, respectivamente, representando en conjunto una reducción de 34</w:t>
      </w:r>
      <w:r>
        <w:rPr>
          <w:rFonts w:ascii="Arial" w:eastAsia="Calibri" w:hAnsi="Arial" w:cs="Arial"/>
          <w:sz w:val="22"/>
          <w:szCs w:val="22"/>
          <w:lang w:val="es-BO" w:eastAsia="es-PE"/>
        </w:rPr>
        <w:t>.000</w:t>
      </w:r>
      <w:r w:rsidRPr="0030432E">
        <w:rPr>
          <w:rFonts w:ascii="Arial" w:eastAsia="Calibri" w:hAnsi="Arial" w:cs="Arial"/>
          <w:sz w:val="22"/>
          <w:szCs w:val="22"/>
          <w:lang w:val="es-BO" w:eastAsia="es-PE"/>
        </w:rPr>
        <w:t xml:space="preserve"> operaciones</w:t>
      </w:r>
      <w:r>
        <w:rPr>
          <w:rFonts w:ascii="Arial" w:eastAsia="Calibri" w:hAnsi="Arial" w:cs="Arial"/>
          <w:sz w:val="22"/>
          <w:szCs w:val="22"/>
          <w:lang w:val="es-BO" w:eastAsia="es-PE"/>
        </w:rPr>
        <w:t xml:space="preserve">. </w:t>
      </w:r>
      <w:r w:rsidRPr="0030432E">
        <w:rPr>
          <w:rFonts w:ascii="Arial" w:eastAsia="Calibri" w:hAnsi="Arial" w:cs="Arial"/>
          <w:sz w:val="22"/>
          <w:szCs w:val="22"/>
          <w:lang w:val="es-BO" w:eastAsia="es-PE"/>
        </w:rPr>
        <w:t xml:space="preserve"> </w:t>
      </w:r>
      <w:r>
        <w:rPr>
          <w:rFonts w:ascii="Arial" w:eastAsia="Calibri" w:hAnsi="Arial" w:cs="Arial"/>
          <w:sz w:val="22"/>
          <w:szCs w:val="22"/>
          <w:lang w:val="es-BO" w:eastAsia="es-PE"/>
        </w:rPr>
        <w:t>De 193</w:t>
      </w:r>
      <w:r w:rsidR="008C3D0F">
        <w:rPr>
          <w:rFonts w:ascii="Arial" w:eastAsia="Calibri" w:hAnsi="Arial" w:cs="Arial"/>
          <w:sz w:val="22"/>
          <w:szCs w:val="22"/>
          <w:lang w:val="es-BO" w:eastAsia="es-PE"/>
        </w:rPr>
        <w:t>.000</w:t>
      </w:r>
      <w:r>
        <w:rPr>
          <w:rFonts w:ascii="Arial" w:eastAsia="Calibri" w:hAnsi="Arial" w:cs="Arial"/>
          <w:sz w:val="22"/>
          <w:szCs w:val="22"/>
          <w:lang w:val="es-BO" w:eastAsia="es-PE"/>
        </w:rPr>
        <w:t xml:space="preserve"> créditos de empresa </w:t>
      </w:r>
      <w:r>
        <w:rPr>
          <w:rFonts w:ascii="Arial" w:eastAsia="Calibri" w:hAnsi="Arial" w:cs="Arial"/>
          <w:sz w:val="22"/>
          <w:szCs w:val="22"/>
          <w:lang w:val="es-BO" w:eastAsia="es-PE"/>
        </w:rPr>
        <w:lastRenderedPageBreak/>
        <w:t>y 89</w:t>
      </w:r>
      <w:r w:rsidR="008C3D0F">
        <w:rPr>
          <w:rFonts w:ascii="Arial" w:eastAsia="Calibri" w:hAnsi="Arial" w:cs="Arial"/>
          <w:sz w:val="22"/>
          <w:szCs w:val="22"/>
          <w:lang w:val="es-BO" w:eastAsia="es-PE"/>
        </w:rPr>
        <w:t>.000</w:t>
      </w:r>
      <w:r>
        <w:rPr>
          <w:rFonts w:ascii="Arial" w:eastAsia="Calibri" w:hAnsi="Arial" w:cs="Arial"/>
          <w:sz w:val="22"/>
          <w:szCs w:val="22"/>
          <w:lang w:val="es-BO" w:eastAsia="es-PE"/>
        </w:rPr>
        <w:t xml:space="preserve"> créditos de vivienda en diciembre de 2009, se pasó a </w:t>
      </w:r>
      <w:r w:rsidR="008C3D0F">
        <w:rPr>
          <w:rFonts w:ascii="Arial" w:eastAsia="Calibri" w:hAnsi="Arial" w:cs="Arial"/>
          <w:sz w:val="22"/>
          <w:szCs w:val="22"/>
          <w:lang w:val="es-BO" w:eastAsia="es-PE"/>
        </w:rPr>
        <w:t>123.000</w:t>
      </w:r>
      <w:r>
        <w:rPr>
          <w:rFonts w:ascii="Arial" w:eastAsia="Calibri" w:hAnsi="Arial" w:cs="Arial"/>
          <w:sz w:val="22"/>
          <w:szCs w:val="22"/>
          <w:lang w:val="es-BO" w:eastAsia="es-PE"/>
        </w:rPr>
        <w:t xml:space="preserve"> créditos de empresa y </w:t>
      </w:r>
      <w:r w:rsidR="008C3D0F">
        <w:rPr>
          <w:rFonts w:ascii="Arial" w:eastAsia="Calibri" w:hAnsi="Arial" w:cs="Arial"/>
          <w:sz w:val="22"/>
          <w:szCs w:val="22"/>
          <w:lang w:val="es-BO" w:eastAsia="es-PE"/>
        </w:rPr>
        <w:t>62.000</w:t>
      </w:r>
      <w:r>
        <w:rPr>
          <w:rFonts w:ascii="Arial" w:eastAsia="Calibri" w:hAnsi="Arial" w:cs="Arial"/>
          <w:sz w:val="22"/>
          <w:szCs w:val="22"/>
          <w:lang w:val="es-BO" w:eastAsia="es-PE"/>
        </w:rPr>
        <w:t xml:space="preserve"> créditos de vivienda en diciembre de 2019, lo que representa una p</w:t>
      </w:r>
      <w:r w:rsidR="00873618">
        <w:rPr>
          <w:rFonts w:ascii="Arial" w:eastAsia="Calibri" w:hAnsi="Arial" w:cs="Arial"/>
          <w:sz w:val="22"/>
          <w:szCs w:val="22"/>
          <w:lang w:val="es-BO" w:eastAsia="es-PE"/>
        </w:rPr>
        <w:t>é</w:t>
      </w:r>
      <w:r>
        <w:rPr>
          <w:rFonts w:ascii="Arial" w:eastAsia="Calibri" w:hAnsi="Arial" w:cs="Arial"/>
          <w:sz w:val="22"/>
          <w:szCs w:val="22"/>
          <w:lang w:val="es-BO" w:eastAsia="es-PE"/>
        </w:rPr>
        <w:t xml:space="preserve">rdida conjunta de </w:t>
      </w:r>
      <w:r w:rsidR="008C3D0F">
        <w:rPr>
          <w:rFonts w:ascii="Arial" w:eastAsia="Calibri" w:hAnsi="Arial" w:cs="Arial"/>
          <w:sz w:val="22"/>
          <w:szCs w:val="22"/>
          <w:lang w:val="es-BO" w:eastAsia="es-PE"/>
        </w:rPr>
        <w:t>97.000</w:t>
      </w:r>
      <w:r>
        <w:rPr>
          <w:rFonts w:ascii="Arial" w:eastAsia="Calibri" w:hAnsi="Arial" w:cs="Arial"/>
          <w:sz w:val="22"/>
          <w:szCs w:val="22"/>
          <w:lang w:val="es-BO" w:eastAsia="es-PE"/>
        </w:rPr>
        <w:t xml:space="preserve"> créditos en ambos sectores</w:t>
      </w:r>
      <w:r>
        <w:rPr>
          <w:rStyle w:val="FootnoteReference"/>
          <w:rFonts w:ascii="Arial" w:eastAsia="Calibri" w:hAnsi="Arial" w:cs="Arial"/>
          <w:sz w:val="22"/>
          <w:szCs w:val="22"/>
          <w:lang w:val="es-BO" w:eastAsia="es-PE"/>
        </w:rPr>
        <w:footnoteReference w:id="10"/>
      </w:r>
      <w:r>
        <w:rPr>
          <w:rFonts w:ascii="Arial" w:eastAsia="Calibri" w:hAnsi="Arial" w:cs="Arial"/>
          <w:sz w:val="22"/>
          <w:szCs w:val="22"/>
          <w:lang w:val="es-BO" w:eastAsia="es-PE"/>
        </w:rPr>
        <w:t>.</w:t>
      </w:r>
      <w:r w:rsidRPr="0030432E">
        <w:rPr>
          <w:rFonts w:ascii="Arial" w:eastAsia="Calibri" w:hAnsi="Arial" w:cs="Arial"/>
          <w:sz w:val="22"/>
          <w:szCs w:val="22"/>
          <w:lang w:val="es-BO" w:eastAsia="es-PE"/>
        </w:rPr>
        <w:t xml:space="preserve"> En términos generales, el sistema se recuperó durante la última década, dado que a marzo de 2020 mostraba un saldo de créditos de US$14.910,5 millones y 2.120.281 operaciones, con ritmos anuales de crecimiento que oscilaron entre 4% y 5%, respectivamente; no obstante, en ese mismo lapso se restaron 23</w:t>
      </w:r>
      <w:r>
        <w:rPr>
          <w:rFonts w:ascii="Arial" w:eastAsia="Calibri" w:hAnsi="Arial" w:cs="Arial"/>
          <w:sz w:val="22"/>
          <w:szCs w:val="22"/>
          <w:lang w:val="es-BO" w:eastAsia="es-PE"/>
        </w:rPr>
        <w:t>.000</w:t>
      </w:r>
      <w:r w:rsidRPr="0030432E">
        <w:rPr>
          <w:rFonts w:ascii="Arial" w:eastAsia="Calibri" w:hAnsi="Arial" w:cs="Arial"/>
          <w:sz w:val="22"/>
          <w:szCs w:val="22"/>
          <w:lang w:val="es-BO" w:eastAsia="es-PE"/>
        </w:rPr>
        <w:t xml:space="preserve"> créditos de vivienda y 29</w:t>
      </w:r>
      <w:r>
        <w:rPr>
          <w:rFonts w:ascii="Arial" w:eastAsia="Calibri" w:hAnsi="Arial" w:cs="Arial"/>
          <w:sz w:val="22"/>
          <w:szCs w:val="22"/>
          <w:lang w:val="es-BO" w:eastAsia="es-PE"/>
        </w:rPr>
        <w:t>.000</w:t>
      </w:r>
      <w:r w:rsidRPr="0030432E">
        <w:rPr>
          <w:rFonts w:ascii="Arial" w:eastAsia="Calibri" w:hAnsi="Arial" w:cs="Arial"/>
          <w:sz w:val="22"/>
          <w:szCs w:val="22"/>
          <w:lang w:val="es-BO" w:eastAsia="es-PE"/>
        </w:rPr>
        <w:t xml:space="preserve"> créditos empresariales, lo que evidencia una pérdida de capilaridad en estos dos sectores</w:t>
      </w:r>
      <w:r w:rsidRPr="0030432E">
        <w:rPr>
          <w:rStyle w:val="FootnoteReference"/>
          <w:rFonts w:ascii="Arial" w:eastAsia="Calibri" w:hAnsi="Arial" w:cs="Arial"/>
          <w:sz w:val="22"/>
          <w:szCs w:val="22"/>
          <w:lang w:val="es-BO" w:eastAsia="es-PE"/>
        </w:rPr>
        <w:footnoteReference w:id="11"/>
      </w:r>
      <w:r w:rsidR="00EC3BC9">
        <w:rPr>
          <w:rFonts w:ascii="Arial" w:eastAsia="Calibri" w:hAnsi="Arial" w:cs="Arial"/>
          <w:sz w:val="22"/>
          <w:szCs w:val="22"/>
          <w:lang w:val="es-BO" w:eastAsia="es-PE"/>
        </w:rPr>
        <w:t>,</w:t>
      </w:r>
      <w:r w:rsidRPr="0030432E">
        <w:rPr>
          <w:rFonts w:ascii="Arial" w:eastAsia="Calibri" w:hAnsi="Arial" w:cs="Arial"/>
          <w:sz w:val="22"/>
          <w:szCs w:val="22"/>
          <w:lang w:val="es-BO" w:eastAsia="es-PE"/>
        </w:rPr>
        <w:t xml:space="preserve"> y apuntando a una posible exclusión financiera tanto de individuos como de empresas. </w:t>
      </w:r>
    </w:p>
    <w:p w14:paraId="440543D4" w14:textId="301C6350" w:rsidR="007B71D2" w:rsidRPr="00282D9F" w:rsidRDefault="007B71D2" w:rsidP="007B71D2">
      <w:pPr>
        <w:pStyle w:val="Paragraph"/>
        <w:numPr>
          <w:ilvl w:val="1"/>
          <w:numId w:val="12"/>
        </w:numPr>
        <w:tabs>
          <w:tab w:val="left" w:pos="0"/>
        </w:tabs>
        <w:spacing w:after="0"/>
        <w:ind w:left="720" w:hanging="720"/>
        <w:rPr>
          <w:rFonts w:ascii="Arial" w:eastAsia="Calibri" w:hAnsi="Arial" w:cs="Arial"/>
          <w:sz w:val="22"/>
          <w:szCs w:val="22"/>
          <w:lang w:val="es-BO" w:eastAsia="es-PE"/>
        </w:rPr>
      </w:pPr>
      <w:r w:rsidRPr="00282D9F">
        <w:rPr>
          <w:rFonts w:ascii="Arial" w:eastAsia="Calibri" w:hAnsi="Arial" w:cs="Arial"/>
          <w:b/>
          <w:bCs/>
          <w:sz w:val="22"/>
          <w:szCs w:val="22"/>
          <w:lang w:val="es-BO" w:eastAsia="es-PE"/>
        </w:rPr>
        <w:t>El acceso al crédito es limitado y la crisis podría intensificar las brechas de financiamiento de vivienda y empresarial.</w:t>
      </w:r>
      <w:r w:rsidRPr="00282D9F">
        <w:rPr>
          <w:rFonts w:ascii="Arial" w:eastAsia="Calibri" w:hAnsi="Arial" w:cs="Arial"/>
          <w:sz w:val="22"/>
          <w:szCs w:val="22"/>
          <w:lang w:val="es-BO" w:eastAsia="es-PE"/>
        </w:rPr>
        <w:t xml:space="preserve"> </w:t>
      </w:r>
      <w:r w:rsidRPr="008B6B74">
        <w:rPr>
          <w:rFonts w:ascii="Arial" w:eastAsia="Calibri" w:hAnsi="Arial" w:cs="Arial"/>
          <w:sz w:val="22"/>
          <w:szCs w:val="22"/>
          <w:lang w:val="es-BO" w:eastAsia="es-PE"/>
        </w:rPr>
        <w:t xml:space="preserve">De acuerdo con las estimaciones </w:t>
      </w:r>
      <w:r>
        <w:rPr>
          <w:rFonts w:ascii="Arial" w:eastAsia="Calibri" w:hAnsi="Arial" w:cs="Arial"/>
          <w:sz w:val="22"/>
          <w:szCs w:val="22"/>
          <w:lang w:val="es-BO" w:eastAsia="es-PE"/>
        </w:rPr>
        <w:t>locales de</w:t>
      </w:r>
      <w:r w:rsidRPr="008B6B74">
        <w:rPr>
          <w:rFonts w:ascii="Arial" w:eastAsia="Calibri" w:hAnsi="Arial" w:cs="Arial"/>
          <w:sz w:val="22"/>
          <w:szCs w:val="22"/>
          <w:lang w:val="es-BO" w:eastAsia="es-PE"/>
        </w:rPr>
        <w:t xml:space="preserve"> 2016</w:t>
      </w:r>
      <w:r w:rsidRPr="009721D3">
        <w:rPr>
          <w:rStyle w:val="FootnoteReference"/>
          <w:rFonts w:ascii="Arial" w:eastAsia="Calibri" w:hAnsi="Arial"/>
          <w:sz w:val="22"/>
          <w:szCs w:val="22"/>
          <w:lang w:val="es-BO" w:eastAsia="es-PE"/>
        </w:rPr>
        <w:footnoteReference w:id="12"/>
      </w:r>
      <w:r>
        <w:rPr>
          <w:rFonts w:ascii="Arial" w:eastAsia="Calibri" w:hAnsi="Arial" w:cs="Arial"/>
          <w:sz w:val="22"/>
          <w:szCs w:val="22"/>
          <w:lang w:val="es-BO" w:eastAsia="es-PE"/>
        </w:rPr>
        <w:t>,</w:t>
      </w:r>
      <w:r w:rsidRPr="008B6B74">
        <w:rPr>
          <w:rFonts w:ascii="Arial" w:eastAsia="Calibri" w:hAnsi="Arial" w:cs="Arial"/>
          <w:sz w:val="22"/>
          <w:szCs w:val="22"/>
          <w:lang w:val="es-BO" w:eastAsia="es-PE"/>
        </w:rPr>
        <w:t xml:space="preserve"> solo el 12% de los adultos en el país </w:t>
      </w:r>
      <w:r>
        <w:rPr>
          <w:rFonts w:ascii="Arial" w:eastAsia="Calibri" w:hAnsi="Arial" w:cs="Arial"/>
          <w:sz w:val="22"/>
          <w:szCs w:val="22"/>
          <w:lang w:val="es-BO" w:eastAsia="es-PE"/>
        </w:rPr>
        <w:t>tiene</w:t>
      </w:r>
      <w:r w:rsidRPr="008B6B74">
        <w:rPr>
          <w:rFonts w:ascii="Arial" w:eastAsia="Calibri" w:hAnsi="Arial" w:cs="Arial"/>
          <w:sz w:val="22"/>
          <w:szCs w:val="22"/>
          <w:lang w:val="es-BO" w:eastAsia="es-PE"/>
        </w:rPr>
        <w:t xml:space="preserve"> acceso al crédito. Esta cifra tiene coherencia con los cálculos </w:t>
      </w:r>
      <w:r>
        <w:rPr>
          <w:rFonts w:ascii="Arial" w:eastAsia="Calibri" w:hAnsi="Arial" w:cs="Arial"/>
          <w:sz w:val="22"/>
          <w:szCs w:val="22"/>
          <w:lang w:val="es-BO" w:eastAsia="es-PE"/>
        </w:rPr>
        <w:t>internacionales de</w:t>
      </w:r>
      <w:r w:rsidRPr="008B6B74">
        <w:rPr>
          <w:rFonts w:ascii="Arial" w:eastAsia="Calibri" w:hAnsi="Arial" w:cs="Arial"/>
          <w:sz w:val="22"/>
          <w:szCs w:val="22"/>
          <w:lang w:val="es-BO" w:eastAsia="es-PE"/>
        </w:rPr>
        <w:t xml:space="preserve"> 2017</w:t>
      </w:r>
      <w:r w:rsidRPr="009721D3">
        <w:rPr>
          <w:rStyle w:val="FootnoteReference"/>
          <w:rFonts w:ascii="Arial" w:eastAsia="Calibri" w:hAnsi="Arial"/>
          <w:sz w:val="22"/>
          <w:szCs w:val="22"/>
          <w:lang w:val="es-BO" w:eastAsia="es-PE"/>
        </w:rPr>
        <w:footnoteReference w:id="13"/>
      </w:r>
      <w:r>
        <w:rPr>
          <w:rFonts w:ascii="Arial" w:eastAsia="Calibri" w:hAnsi="Arial" w:cs="Arial"/>
          <w:sz w:val="22"/>
          <w:szCs w:val="22"/>
          <w:lang w:val="es-BO" w:eastAsia="es-PE"/>
        </w:rPr>
        <w:t>,</w:t>
      </w:r>
      <w:r w:rsidRPr="008B6B74">
        <w:rPr>
          <w:rFonts w:ascii="Arial" w:eastAsia="Calibri" w:hAnsi="Arial" w:cs="Arial"/>
          <w:sz w:val="22"/>
          <w:szCs w:val="22"/>
          <w:lang w:val="es-BO" w:eastAsia="es-PE"/>
        </w:rPr>
        <w:t xml:space="preserve"> que indican un nivel de acceso al crédito de los adultos del 11%, muy por debajo del promedio de 20,8% de los países en América Latina y El Caribe</w:t>
      </w:r>
      <w:r>
        <w:rPr>
          <w:rFonts w:ascii="Arial" w:eastAsia="Calibri" w:hAnsi="Arial" w:cs="Arial"/>
          <w:sz w:val="22"/>
          <w:szCs w:val="22"/>
          <w:lang w:val="es-BO" w:eastAsia="es-PE"/>
        </w:rPr>
        <w:t xml:space="preserve"> (ALC)</w:t>
      </w:r>
      <w:r w:rsidRPr="008B6B74">
        <w:rPr>
          <w:rFonts w:ascii="Arial" w:eastAsia="Calibri" w:hAnsi="Arial" w:cs="Arial"/>
          <w:sz w:val="22"/>
          <w:szCs w:val="22"/>
          <w:lang w:val="es-BO" w:eastAsia="es-PE"/>
        </w:rPr>
        <w:t xml:space="preserve">. </w:t>
      </w:r>
      <w:r w:rsidRPr="00986392">
        <w:rPr>
          <w:rFonts w:ascii="Arial" w:eastAsia="Calibri" w:hAnsi="Arial" w:cs="Arial"/>
          <w:sz w:val="22"/>
          <w:szCs w:val="22"/>
          <w:lang w:val="es-BO" w:eastAsia="es-PE"/>
        </w:rPr>
        <w:t>L</w:t>
      </w:r>
      <w:r w:rsidRPr="00DF05A2">
        <w:rPr>
          <w:rFonts w:ascii="Arial" w:eastAsia="Calibri" w:hAnsi="Arial" w:cs="Arial"/>
          <w:sz w:val="22"/>
          <w:szCs w:val="22"/>
          <w:lang w:val="es-BO" w:eastAsia="es-PE"/>
        </w:rPr>
        <w:t>a</w:t>
      </w:r>
      <w:r w:rsidRPr="008B6B74">
        <w:rPr>
          <w:rFonts w:ascii="Arial" w:eastAsia="Calibri" w:hAnsi="Arial" w:cs="Arial"/>
          <w:sz w:val="22"/>
          <w:szCs w:val="22"/>
          <w:lang w:val="es-BO" w:eastAsia="es-PE"/>
        </w:rPr>
        <w:t xml:space="preserve"> información disponible corrobora que los créditos se </w:t>
      </w:r>
      <w:r w:rsidRPr="00DF05A2">
        <w:rPr>
          <w:rFonts w:ascii="Arial" w:eastAsia="Calibri" w:hAnsi="Arial" w:cs="Arial"/>
          <w:sz w:val="22"/>
          <w:szCs w:val="22"/>
          <w:lang w:val="es-BO" w:eastAsia="es-PE"/>
        </w:rPr>
        <w:t xml:space="preserve">usan </w:t>
      </w:r>
      <w:r w:rsidRPr="008B6B74">
        <w:rPr>
          <w:rFonts w:ascii="Arial" w:eastAsia="Calibri" w:hAnsi="Arial" w:cs="Arial"/>
          <w:sz w:val="22"/>
          <w:szCs w:val="22"/>
          <w:lang w:val="es-BO" w:eastAsia="es-PE"/>
        </w:rPr>
        <w:t xml:space="preserve">con prioridad </w:t>
      </w:r>
      <w:r w:rsidRPr="00DC5783">
        <w:rPr>
          <w:rFonts w:ascii="Arial" w:eastAsia="Calibri" w:hAnsi="Arial" w:cs="Arial"/>
          <w:sz w:val="22"/>
          <w:szCs w:val="22"/>
          <w:lang w:val="es-BO" w:eastAsia="es-PE"/>
        </w:rPr>
        <w:t xml:space="preserve">en los sectores empresarial y </w:t>
      </w:r>
      <w:r w:rsidRPr="008B6B74">
        <w:rPr>
          <w:rFonts w:ascii="Arial" w:eastAsia="Calibri" w:hAnsi="Arial" w:cs="Arial"/>
          <w:sz w:val="22"/>
          <w:szCs w:val="22"/>
          <w:lang w:val="es-BO" w:eastAsia="es-PE"/>
        </w:rPr>
        <w:t xml:space="preserve">de vivienda, dado que el </w:t>
      </w:r>
      <w:r w:rsidRPr="00DC5783">
        <w:rPr>
          <w:rFonts w:ascii="Arial" w:eastAsia="Calibri" w:hAnsi="Arial" w:cs="Arial"/>
          <w:sz w:val="22"/>
          <w:szCs w:val="22"/>
          <w:lang w:val="es-BO" w:eastAsia="es-PE"/>
        </w:rPr>
        <w:t>35</w:t>
      </w:r>
      <w:r w:rsidRPr="008B6B74">
        <w:rPr>
          <w:rFonts w:ascii="Arial" w:eastAsia="Calibri" w:hAnsi="Arial" w:cs="Arial"/>
          <w:sz w:val="22"/>
          <w:szCs w:val="22"/>
          <w:lang w:val="es-BO" w:eastAsia="es-PE"/>
        </w:rPr>
        <w:t>%</w:t>
      </w:r>
      <w:r>
        <w:rPr>
          <w:rFonts w:ascii="Arial" w:eastAsia="Calibri" w:hAnsi="Arial" w:cs="Arial"/>
          <w:sz w:val="22"/>
          <w:szCs w:val="22"/>
          <w:lang w:val="es-BO" w:eastAsia="es-PE"/>
        </w:rPr>
        <w:t xml:space="preserve"> </w:t>
      </w:r>
      <w:r w:rsidRPr="008B6B74">
        <w:rPr>
          <w:rFonts w:ascii="Arial" w:eastAsia="Calibri" w:hAnsi="Arial" w:cs="Arial"/>
          <w:sz w:val="22"/>
          <w:szCs w:val="22"/>
          <w:lang w:val="es-BO" w:eastAsia="es-PE"/>
        </w:rPr>
        <w:t xml:space="preserve">de los adultos endeudados </w:t>
      </w:r>
      <w:r w:rsidRPr="00DC5783">
        <w:rPr>
          <w:rFonts w:ascii="Arial" w:eastAsia="Calibri" w:hAnsi="Arial" w:cs="Arial"/>
          <w:sz w:val="22"/>
          <w:szCs w:val="22"/>
          <w:lang w:val="es-BO" w:eastAsia="es-PE"/>
        </w:rPr>
        <w:t xml:space="preserve">destina </w:t>
      </w:r>
      <w:r w:rsidRPr="008B6B74">
        <w:rPr>
          <w:rFonts w:ascii="Arial" w:eastAsia="Calibri" w:hAnsi="Arial" w:cs="Arial"/>
          <w:sz w:val="22"/>
          <w:szCs w:val="22"/>
          <w:lang w:val="es-BO" w:eastAsia="es-PE"/>
        </w:rPr>
        <w:t xml:space="preserve">el crédito para la </w:t>
      </w:r>
      <w:r w:rsidRPr="00DC5783">
        <w:rPr>
          <w:rFonts w:ascii="Arial" w:eastAsia="Calibri" w:hAnsi="Arial" w:cs="Arial"/>
          <w:sz w:val="22"/>
          <w:szCs w:val="22"/>
          <w:lang w:val="es-BO" w:eastAsia="es-PE"/>
        </w:rPr>
        <w:t>ampliación o inicio de un negocio, compra de materia prima, maquinaria y equipo, y otro 24</w:t>
      </w:r>
      <w:r w:rsidRPr="00F318F3">
        <w:rPr>
          <w:rFonts w:ascii="Arial" w:eastAsia="Calibri" w:hAnsi="Arial" w:cs="Arial"/>
          <w:sz w:val="22"/>
          <w:szCs w:val="22"/>
          <w:lang w:val="es-BO" w:eastAsia="es-PE"/>
        </w:rPr>
        <w:t xml:space="preserve">% lo destina a la </w:t>
      </w:r>
      <w:r w:rsidRPr="008B6B74">
        <w:rPr>
          <w:rFonts w:ascii="Arial" w:eastAsia="Calibri" w:hAnsi="Arial" w:cs="Arial"/>
          <w:sz w:val="22"/>
          <w:szCs w:val="22"/>
          <w:lang w:val="es-BO" w:eastAsia="es-PE"/>
        </w:rPr>
        <w:t>compra, remodelación o ampliación de casa, compra de terrenos y otros</w:t>
      </w:r>
      <w:r w:rsidRPr="000F4F6E">
        <w:rPr>
          <w:rStyle w:val="FootnoteReference"/>
          <w:rFonts w:ascii="Arial" w:eastAsia="Calibri" w:hAnsi="Arial"/>
          <w:sz w:val="22"/>
          <w:szCs w:val="22"/>
          <w:lang w:val="es-BO" w:eastAsia="es-PE"/>
        </w:rPr>
        <w:footnoteReference w:id="14"/>
      </w:r>
      <w:r w:rsidRPr="000F4F6E">
        <w:rPr>
          <w:rFonts w:ascii="Arial" w:eastAsia="Calibri" w:hAnsi="Arial" w:cs="Arial"/>
          <w:sz w:val="22"/>
          <w:szCs w:val="22"/>
          <w:lang w:val="es-BO" w:eastAsia="es-PE"/>
        </w:rPr>
        <w:t>.</w:t>
      </w:r>
      <w:r>
        <w:rPr>
          <w:rFonts w:ascii="Arial" w:eastAsia="Calibri" w:hAnsi="Arial" w:cs="Arial"/>
          <w:sz w:val="22"/>
          <w:szCs w:val="22"/>
          <w:lang w:val="es-BO" w:eastAsia="es-PE"/>
        </w:rPr>
        <w:t xml:space="preserve"> </w:t>
      </w:r>
      <w:r w:rsidRPr="00282D9F">
        <w:rPr>
          <w:rFonts w:ascii="Arial" w:eastAsia="Calibri" w:hAnsi="Arial" w:cs="Arial"/>
          <w:sz w:val="22"/>
          <w:szCs w:val="22"/>
          <w:lang w:val="es-BO" w:eastAsia="es-PE"/>
        </w:rPr>
        <w:t xml:space="preserve">El segmento con mayores dificultades de acceso sin embargo es el comprendido por las </w:t>
      </w:r>
      <w:r w:rsidR="00CB1078">
        <w:rPr>
          <w:rFonts w:ascii="Arial" w:eastAsia="Calibri" w:hAnsi="Arial" w:cs="Arial"/>
          <w:sz w:val="22"/>
          <w:szCs w:val="22"/>
          <w:lang w:val="es-BO" w:eastAsia="es-PE"/>
        </w:rPr>
        <w:t>M</w:t>
      </w:r>
      <w:r w:rsidRPr="00282D9F">
        <w:rPr>
          <w:rFonts w:ascii="Arial" w:eastAsia="Calibri" w:hAnsi="Arial" w:cs="Arial"/>
          <w:sz w:val="22"/>
          <w:szCs w:val="22"/>
          <w:lang w:val="es-BO" w:eastAsia="es-PE"/>
        </w:rPr>
        <w:t xml:space="preserve">icro, </w:t>
      </w:r>
      <w:r w:rsidR="00CB1078">
        <w:rPr>
          <w:rFonts w:ascii="Arial" w:eastAsia="Calibri" w:hAnsi="Arial" w:cs="Arial"/>
          <w:sz w:val="22"/>
          <w:szCs w:val="22"/>
          <w:lang w:val="es-BO" w:eastAsia="es-PE"/>
        </w:rPr>
        <w:t>P</w:t>
      </w:r>
      <w:r w:rsidRPr="00282D9F">
        <w:rPr>
          <w:rFonts w:ascii="Arial" w:eastAsia="Calibri" w:hAnsi="Arial" w:cs="Arial"/>
          <w:sz w:val="22"/>
          <w:szCs w:val="22"/>
          <w:lang w:val="es-BO" w:eastAsia="es-PE"/>
        </w:rPr>
        <w:t xml:space="preserve">equeñas y </w:t>
      </w:r>
      <w:r w:rsidR="00CB1078">
        <w:rPr>
          <w:rFonts w:ascii="Arial" w:eastAsia="Calibri" w:hAnsi="Arial" w:cs="Arial"/>
          <w:sz w:val="22"/>
          <w:szCs w:val="22"/>
          <w:lang w:val="es-BO" w:eastAsia="es-PE"/>
        </w:rPr>
        <w:t>M</w:t>
      </w:r>
      <w:r w:rsidRPr="00282D9F">
        <w:rPr>
          <w:rFonts w:ascii="Arial" w:eastAsia="Calibri" w:hAnsi="Arial" w:cs="Arial"/>
          <w:sz w:val="22"/>
          <w:szCs w:val="22"/>
          <w:lang w:val="es-BO" w:eastAsia="es-PE"/>
        </w:rPr>
        <w:t xml:space="preserve">edianas </w:t>
      </w:r>
      <w:r w:rsidR="00CB1078">
        <w:rPr>
          <w:rFonts w:ascii="Arial" w:eastAsia="Calibri" w:hAnsi="Arial" w:cs="Arial"/>
          <w:sz w:val="22"/>
          <w:szCs w:val="22"/>
          <w:lang w:val="es-BO" w:eastAsia="es-PE"/>
        </w:rPr>
        <w:t>E</w:t>
      </w:r>
      <w:r w:rsidRPr="00282D9F">
        <w:rPr>
          <w:rFonts w:ascii="Arial" w:eastAsia="Calibri" w:hAnsi="Arial" w:cs="Arial"/>
          <w:sz w:val="22"/>
          <w:szCs w:val="22"/>
          <w:lang w:val="es-BO" w:eastAsia="es-PE"/>
        </w:rPr>
        <w:t>mpresas (MIPYME)</w:t>
      </w:r>
      <w:r w:rsidRPr="00EC3BC9">
        <w:rPr>
          <w:rFonts w:ascii="Arial" w:eastAsia="Calibri" w:hAnsi="Arial" w:cs="Arial"/>
          <w:sz w:val="22"/>
          <w:szCs w:val="22"/>
          <w:vertAlign w:val="superscript"/>
        </w:rPr>
        <w:footnoteReference w:id="15"/>
      </w:r>
      <w:r w:rsidRPr="00EC3BC9">
        <w:rPr>
          <w:rFonts w:ascii="Arial" w:eastAsia="Calibri" w:hAnsi="Arial" w:cs="Arial"/>
          <w:sz w:val="22"/>
          <w:szCs w:val="22"/>
          <w:vertAlign w:val="superscript"/>
          <w:lang w:val="es-BO" w:eastAsia="es-PE"/>
        </w:rPr>
        <w:t>;</w:t>
      </w:r>
      <w:r w:rsidRPr="00EC3BC9">
        <w:rPr>
          <w:rFonts w:ascii="Arial" w:eastAsia="Calibri" w:hAnsi="Arial" w:cs="Arial"/>
          <w:sz w:val="22"/>
          <w:szCs w:val="22"/>
          <w:vertAlign w:val="superscript"/>
        </w:rPr>
        <w:footnoteReference w:id="16"/>
      </w:r>
      <w:r w:rsidR="00EC3BC9">
        <w:rPr>
          <w:rFonts w:ascii="Arial" w:eastAsia="Calibri" w:hAnsi="Arial" w:cs="Arial"/>
          <w:sz w:val="22"/>
          <w:szCs w:val="22"/>
          <w:lang w:val="es-BO" w:eastAsia="es-PE"/>
        </w:rPr>
        <w:t xml:space="preserve">, </w:t>
      </w:r>
      <w:r w:rsidRPr="00282D9F">
        <w:rPr>
          <w:rFonts w:ascii="Arial" w:eastAsia="Calibri" w:hAnsi="Arial" w:cs="Arial"/>
          <w:sz w:val="22"/>
          <w:szCs w:val="22"/>
          <w:lang w:val="es-BO" w:eastAsia="es-PE"/>
        </w:rPr>
        <w:t>a pesar de su importancia y contribución en la economía</w:t>
      </w:r>
      <w:r>
        <w:rPr>
          <w:rFonts w:ascii="Arial" w:eastAsia="Calibri" w:hAnsi="Arial" w:cs="Arial"/>
          <w:sz w:val="22"/>
          <w:szCs w:val="22"/>
          <w:lang w:val="es-BO" w:eastAsia="es-PE"/>
        </w:rPr>
        <w:t>.</w:t>
      </w:r>
    </w:p>
    <w:p w14:paraId="1907E560" w14:textId="2B75CAA2" w:rsidR="007B71D2" w:rsidRPr="00740992" w:rsidRDefault="007B71D2" w:rsidP="007B71D2">
      <w:pPr>
        <w:pStyle w:val="Paragraph"/>
        <w:numPr>
          <w:ilvl w:val="1"/>
          <w:numId w:val="4"/>
        </w:numPr>
        <w:tabs>
          <w:tab w:val="left" w:pos="0"/>
        </w:tabs>
        <w:spacing w:after="0"/>
        <w:ind w:left="720" w:hanging="720"/>
        <w:rPr>
          <w:rFonts w:ascii="Arial" w:eastAsia="Calibri" w:hAnsi="Arial" w:cs="Arial"/>
          <w:sz w:val="22"/>
          <w:szCs w:val="22"/>
          <w:lang w:val="es-BO" w:eastAsia="es-PE"/>
        </w:rPr>
      </w:pPr>
      <w:r w:rsidRPr="00740992">
        <w:rPr>
          <w:rFonts w:ascii="Arial" w:eastAsia="Calibri" w:hAnsi="Arial" w:cs="Arial"/>
          <w:b/>
          <w:bCs/>
          <w:sz w:val="22"/>
          <w:szCs w:val="22"/>
          <w:lang w:val="es-BO" w:eastAsia="es-PE"/>
        </w:rPr>
        <w:t>La importancia de la MIPYME en la economía</w:t>
      </w:r>
      <w:r w:rsidRPr="00266DE0">
        <w:rPr>
          <w:rFonts w:ascii="Arial" w:eastAsia="Calibri" w:hAnsi="Arial" w:cs="Arial"/>
          <w:b/>
          <w:bCs/>
          <w:sz w:val="22"/>
          <w:szCs w:val="22"/>
          <w:lang w:val="es-BO" w:eastAsia="es-PE"/>
        </w:rPr>
        <w:t>.</w:t>
      </w:r>
      <w:r w:rsidRPr="00740992">
        <w:rPr>
          <w:rFonts w:ascii="Arial" w:eastAsia="Calibri" w:hAnsi="Arial" w:cs="Arial"/>
          <w:sz w:val="22"/>
          <w:szCs w:val="22"/>
          <w:lang w:val="es-BO" w:eastAsia="es-PE"/>
        </w:rPr>
        <w:t xml:space="preserve"> En el último Censo Económico de 2005, se estimaba que las MIPYME representaban el 99,5% de las empresas, capturando el 65,5% de los trabajadores ocupados y el 42,7% del valor añadido. La velocidad esperada de propagación de la recesión económica a la MIPYME es alta debido a que: </w:t>
      </w:r>
      <w:r w:rsidR="00FE66C8">
        <w:rPr>
          <w:rFonts w:ascii="Arial" w:eastAsia="Calibri" w:hAnsi="Arial" w:cs="Arial"/>
          <w:sz w:val="22"/>
          <w:szCs w:val="22"/>
          <w:lang w:val="es-BO" w:eastAsia="es-PE"/>
        </w:rPr>
        <w:t>(</w:t>
      </w:r>
      <w:r w:rsidRPr="00740992">
        <w:rPr>
          <w:rFonts w:ascii="Arial" w:eastAsia="Calibri" w:hAnsi="Arial" w:cs="Arial"/>
          <w:sz w:val="22"/>
          <w:szCs w:val="22"/>
          <w:lang w:val="es-BO" w:eastAsia="es-PE"/>
        </w:rPr>
        <w:t>i) se encuentran integradas en muchas cadenas de valor que son fundamentales para la producción de bienes y servicios de primera necesidad para las economías y los ciudadanos de la región</w:t>
      </w:r>
      <w:r w:rsidR="00FE66C8">
        <w:rPr>
          <w:rFonts w:ascii="Arial" w:eastAsia="Calibri" w:hAnsi="Arial" w:cs="Arial"/>
          <w:sz w:val="22"/>
          <w:szCs w:val="22"/>
          <w:lang w:val="es-BO" w:eastAsia="es-PE"/>
        </w:rPr>
        <w:t>;</w:t>
      </w:r>
      <w:r w:rsidRPr="00740992">
        <w:rPr>
          <w:rFonts w:ascii="Arial" w:eastAsia="Calibri" w:hAnsi="Arial" w:cs="Arial"/>
          <w:sz w:val="22"/>
          <w:szCs w:val="22"/>
          <w:lang w:val="es-BO" w:eastAsia="es-PE"/>
        </w:rPr>
        <w:t xml:space="preserve"> y </w:t>
      </w:r>
      <w:r w:rsidR="00FE66C8">
        <w:rPr>
          <w:rFonts w:ascii="Arial" w:eastAsia="Calibri" w:hAnsi="Arial" w:cs="Arial"/>
          <w:sz w:val="22"/>
          <w:szCs w:val="22"/>
          <w:lang w:val="es-BO" w:eastAsia="es-PE"/>
        </w:rPr>
        <w:t>(</w:t>
      </w:r>
      <w:proofErr w:type="spellStart"/>
      <w:r w:rsidRPr="00740992">
        <w:rPr>
          <w:rFonts w:ascii="Arial" w:eastAsia="Calibri" w:hAnsi="Arial" w:cs="Arial"/>
          <w:sz w:val="22"/>
          <w:szCs w:val="22"/>
          <w:lang w:val="es-BO" w:eastAsia="es-PE"/>
        </w:rPr>
        <w:t>ii</w:t>
      </w:r>
      <w:proofErr w:type="spellEnd"/>
      <w:r w:rsidRPr="00740992">
        <w:rPr>
          <w:rFonts w:ascii="Arial" w:eastAsia="Calibri" w:hAnsi="Arial" w:cs="Arial"/>
          <w:sz w:val="22"/>
          <w:szCs w:val="22"/>
          <w:lang w:val="es-BO" w:eastAsia="es-PE"/>
        </w:rPr>
        <w:t>) se ven afectadas por los cinco canales de transmisión de impactos: (a) disminución de la actividad económica de los principales socios comerciales que impactará las demanda por exportaciones; (b) caída en la demanda por servicios de turismo; (c) interrupción de las cadenas globales de valor; (d) caída en precios de productos básicos; y (e)</w:t>
      </w:r>
      <w:r w:rsidR="00FE66C8">
        <w:rPr>
          <w:rFonts w:ascii="Arial" w:eastAsia="Calibri" w:hAnsi="Arial" w:cs="Arial"/>
          <w:sz w:val="22"/>
          <w:szCs w:val="22"/>
          <w:lang w:val="es-BO" w:eastAsia="es-PE"/>
        </w:rPr>
        <w:t> </w:t>
      </w:r>
      <w:r w:rsidRPr="00740992">
        <w:rPr>
          <w:rFonts w:ascii="Arial" w:eastAsia="Calibri" w:hAnsi="Arial" w:cs="Arial"/>
          <w:sz w:val="22"/>
          <w:szCs w:val="22"/>
          <w:lang w:val="es-BO" w:eastAsia="es-PE"/>
        </w:rPr>
        <w:t>empeoramiento de las condiciones financieras</w:t>
      </w:r>
      <w:r w:rsidRPr="00B2256A">
        <w:rPr>
          <w:rFonts w:ascii="Arial" w:eastAsia="Calibri" w:hAnsi="Arial" w:cs="Arial"/>
          <w:sz w:val="22"/>
          <w:szCs w:val="22"/>
          <w:vertAlign w:val="superscript"/>
          <w:lang w:val="es-BO" w:eastAsia="es-PE"/>
        </w:rPr>
        <w:footnoteReference w:id="17"/>
      </w:r>
      <w:r w:rsidRPr="00740992">
        <w:rPr>
          <w:rFonts w:ascii="Arial" w:eastAsia="Calibri" w:hAnsi="Arial" w:cs="Arial"/>
          <w:sz w:val="22"/>
          <w:szCs w:val="22"/>
          <w:lang w:val="es-BO" w:eastAsia="es-PE"/>
        </w:rPr>
        <w:t xml:space="preserve">, siendo los más críticos para ellas el descenso de la actividad económica y el empeoramiento de las condiciones financieras. </w:t>
      </w:r>
    </w:p>
    <w:p w14:paraId="39829A76" w14:textId="5EF7C940" w:rsidR="0006531B" w:rsidRDefault="007B71D2" w:rsidP="00C54C81">
      <w:pPr>
        <w:pStyle w:val="Paragraph"/>
        <w:numPr>
          <w:ilvl w:val="1"/>
          <w:numId w:val="4"/>
        </w:numPr>
        <w:tabs>
          <w:tab w:val="left" w:pos="0"/>
        </w:tabs>
        <w:spacing w:after="0"/>
        <w:ind w:left="720" w:hanging="720"/>
        <w:rPr>
          <w:rFonts w:ascii="Arial" w:eastAsia="Calibri" w:hAnsi="Arial" w:cs="Arial"/>
          <w:sz w:val="22"/>
          <w:szCs w:val="22"/>
          <w:lang w:val="es-BO" w:eastAsia="es-PE"/>
        </w:rPr>
      </w:pPr>
      <w:r w:rsidRPr="00740992">
        <w:rPr>
          <w:rFonts w:ascii="Arial" w:eastAsia="Calibri" w:hAnsi="Arial" w:cs="Arial"/>
          <w:b/>
          <w:bCs/>
          <w:sz w:val="22"/>
          <w:szCs w:val="22"/>
          <w:lang w:val="es-BO" w:eastAsia="es-PE"/>
        </w:rPr>
        <w:lastRenderedPageBreak/>
        <w:t xml:space="preserve">Acceso al crédito de la MIPYME. </w:t>
      </w:r>
      <w:r w:rsidRPr="00503915">
        <w:rPr>
          <w:rFonts w:ascii="Arial" w:eastAsia="Calibri" w:hAnsi="Arial"/>
          <w:sz w:val="22"/>
          <w:lang w:val="es-BO"/>
        </w:rPr>
        <w:t>I</w:t>
      </w:r>
      <w:r w:rsidRPr="00C7116D">
        <w:rPr>
          <w:rFonts w:ascii="Arial" w:eastAsia="Calibri" w:hAnsi="Arial" w:cs="Arial"/>
          <w:sz w:val="22"/>
          <w:szCs w:val="22"/>
          <w:lang w:val="es-BO" w:eastAsia="es-PE"/>
        </w:rPr>
        <w:t>ndistintamente</w:t>
      </w:r>
      <w:r w:rsidRPr="0079417B">
        <w:rPr>
          <w:rFonts w:ascii="Arial" w:eastAsia="Calibri" w:hAnsi="Arial" w:cs="Arial"/>
          <w:sz w:val="22"/>
          <w:szCs w:val="22"/>
          <w:lang w:val="es-BO" w:eastAsia="es-PE"/>
        </w:rPr>
        <w:t xml:space="preserve"> de su tamaño, sector económico</w:t>
      </w:r>
      <w:r>
        <w:rPr>
          <w:rFonts w:ascii="Arial" w:eastAsia="Calibri" w:hAnsi="Arial" w:cs="Arial"/>
          <w:sz w:val="22"/>
          <w:szCs w:val="22"/>
          <w:lang w:val="es-BO" w:eastAsia="es-PE"/>
        </w:rPr>
        <w:t xml:space="preserve"> o</w:t>
      </w:r>
      <w:r w:rsidRPr="0079417B">
        <w:rPr>
          <w:rFonts w:ascii="Arial" w:eastAsia="Calibri" w:hAnsi="Arial" w:cs="Arial"/>
          <w:sz w:val="22"/>
          <w:szCs w:val="22"/>
          <w:lang w:val="es-BO" w:eastAsia="es-PE"/>
        </w:rPr>
        <w:t xml:space="preserve"> zona geográfica de operación, las empresas de El Salvador tienen un acceso al crédito subóptimo</w:t>
      </w:r>
      <w:r>
        <w:rPr>
          <w:rStyle w:val="FootnoteReference"/>
          <w:rFonts w:ascii="Arial" w:eastAsia="Calibri" w:hAnsi="Arial" w:cs="Arial"/>
          <w:sz w:val="22"/>
          <w:szCs w:val="22"/>
          <w:lang w:val="es-BO" w:eastAsia="es-PE"/>
        </w:rPr>
        <w:footnoteReference w:id="18"/>
      </w:r>
      <w:r>
        <w:rPr>
          <w:rFonts w:ascii="Arial" w:eastAsia="Calibri" w:hAnsi="Arial" w:cs="Arial"/>
          <w:sz w:val="22"/>
          <w:szCs w:val="22"/>
          <w:lang w:val="es-BO" w:eastAsia="es-PE"/>
        </w:rPr>
        <w:t>.</w:t>
      </w:r>
      <w:r w:rsidRPr="0079417B">
        <w:rPr>
          <w:rFonts w:ascii="Arial" w:eastAsia="Calibri" w:hAnsi="Arial" w:cs="Arial"/>
          <w:sz w:val="22"/>
          <w:szCs w:val="22"/>
          <w:lang w:val="es-BO" w:eastAsia="es-PE"/>
        </w:rPr>
        <w:t xml:space="preserve"> En 2016, se estimaba que solo el 40,2% de las empresas tenían un crédito o línea bancaria, un indicador por debajo del 47,7% de ALC, y que un 20,7% identificaba al acceso al crédito como el principal elemento </w:t>
      </w:r>
      <w:r w:rsidRPr="00FE66C8">
        <w:rPr>
          <w:rFonts w:ascii="Arial" w:eastAsia="Calibri" w:hAnsi="Arial" w:cs="Arial"/>
          <w:sz w:val="22"/>
          <w:szCs w:val="22"/>
          <w:lang w:val="es-BO" w:eastAsia="es-PE"/>
        </w:rPr>
        <w:t>que afectaba su desarrollo</w:t>
      </w:r>
      <w:r w:rsidRPr="00FE66C8">
        <w:rPr>
          <w:rStyle w:val="FootnoteReference"/>
          <w:rFonts w:ascii="Arial" w:eastAsia="Calibri" w:hAnsi="Arial" w:cs="Arial"/>
          <w:sz w:val="22"/>
          <w:szCs w:val="22"/>
          <w:lang w:val="es-BO" w:eastAsia="es-PE"/>
        </w:rPr>
        <w:footnoteReference w:id="19"/>
      </w:r>
      <w:r w:rsidRPr="00FE66C8">
        <w:rPr>
          <w:rFonts w:ascii="Arial" w:eastAsia="Calibri" w:hAnsi="Arial" w:cs="Arial"/>
          <w:sz w:val="22"/>
          <w:szCs w:val="22"/>
          <w:lang w:val="es-BO" w:eastAsia="es-PE"/>
        </w:rPr>
        <w:t xml:space="preserve">. </w:t>
      </w:r>
      <w:r w:rsidRPr="00FE66C8">
        <w:rPr>
          <w:rFonts w:ascii="Arial" w:eastAsia="Calibri" w:hAnsi="Arial" w:cs="Arial"/>
          <w:sz w:val="22"/>
          <w:szCs w:val="22"/>
          <w:lang w:val="es-ES_tradnl" w:eastAsia="es-PE"/>
        </w:rPr>
        <w:t>En El Salvador l</w:t>
      </w:r>
      <w:r w:rsidRPr="00FE66C8">
        <w:rPr>
          <w:rFonts w:ascii="Arial" w:eastAsia="Calibri" w:hAnsi="Arial" w:cs="Arial"/>
          <w:sz w:val="22"/>
          <w:szCs w:val="22"/>
          <w:lang w:val="es-BO" w:eastAsia="es-PE"/>
        </w:rPr>
        <w:t>a información disponible de la demanda de las MIPYME corrobora que: (i) el 99% de las microempresas salvadoreñas, particularmente las dedicadas al comercio, acceden asiduamente a créditos informales en condiciones financieras abusivas</w:t>
      </w:r>
      <w:r w:rsidRPr="00FE66C8">
        <w:rPr>
          <w:rFonts w:ascii="Arial" w:eastAsia="Calibri" w:hAnsi="Arial" w:cs="Arial"/>
          <w:sz w:val="22"/>
          <w:szCs w:val="22"/>
          <w:vertAlign w:val="superscript"/>
          <w:lang w:eastAsia="es-PE"/>
        </w:rPr>
        <w:footnoteReference w:id="20"/>
      </w:r>
      <w:r w:rsidRPr="00FE66C8">
        <w:rPr>
          <w:rFonts w:ascii="Arial" w:eastAsia="Calibri" w:hAnsi="Arial" w:cs="Arial"/>
          <w:sz w:val="22"/>
          <w:szCs w:val="22"/>
          <w:lang w:val="es-BO" w:eastAsia="es-PE"/>
        </w:rPr>
        <w:t>; (</w:t>
      </w:r>
      <w:proofErr w:type="spellStart"/>
      <w:r w:rsidRPr="00FE66C8">
        <w:rPr>
          <w:rFonts w:ascii="Arial" w:eastAsia="Calibri" w:hAnsi="Arial" w:cs="Arial"/>
          <w:sz w:val="22"/>
          <w:szCs w:val="22"/>
          <w:lang w:val="es-BO" w:eastAsia="es-PE"/>
        </w:rPr>
        <w:t>ii</w:t>
      </w:r>
      <w:proofErr w:type="spellEnd"/>
      <w:r w:rsidRPr="00FE66C8">
        <w:rPr>
          <w:rFonts w:ascii="Arial" w:eastAsia="Calibri" w:hAnsi="Arial" w:cs="Arial"/>
          <w:sz w:val="22"/>
          <w:szCs w:val="22"/>
          <w:lang w:val="es-BO" w:eastAsia="es-PE"/>
        </w:rPr>
        <w:t>) solo 68 mil MYPE de las 317,7 mil existentes en el país obtienen créditos, y apenas 31 mil de estas obtienen los mismos de IFI del sistema financiero regulado</w:t>
      </w:r>
      <w:r w:rsidRPr="00FE66C8">
        <w:rPr>
          <w:rFonts w:ascii="Arial" w:eastAsia="Calibri" w:hAnsi="Arial" w:cs="Arial"/>
          <w:sz w:val="22"/>
          <w:szCs w:val="22"/>
          <w:vertAlign w:val="superscript"/>
          <w:lang w:eastAsia="es-PE"/>
        </w:rPr>
        <w:footnoteReference w:id="21"/>
      </w:r>
      <w:r w:rsidRPr="00FE66C8">
        <w:rPr>
          <w:rFonts w:ascii="Arial" w:eastAsia="Calibri" w:hAnsi="Arial" w:cs="Arial"/>
          <w:sz w:val="22"/>
          <w:szCs w:val="22"/>
          <w:lang w:val="es-BO" w:eastAsia="es-PE"/>
        </w:rPr>
        <w:t>; (</w:t>
      </w:r>
      <w:proofErr w:type="spellStart"/>
      <w:r w:rsidRPr="00FE66C8">
        <w:rPr>
          <w:rFonts w:ascii="Arial" w:eastAsia="Calibri" w:hAnsi="Arial" w:cs="Arial"/>
          <w:sz w:val="22"/>
          <w:szCs w:val="22"/>
          <w:lang w:val="es-BO" w:eastAsia="es-PE"/>
        </w:rPr>
        <w:t>iii</w:t>
      </w:r>
      <w:proofErr w:type="spellEnd"/>
      <w:r w:rsidRPr="00FE66C8">
        <w:rPr>
          <w:rFonts w:ascii="Arial" w:eastAsia="Calibri" w:hAnsi="Arial" w:cs="Arial"/>
          <w:sz w:val="22"/>
          <w:szCs w:val="22"/>
          <w:lang w:val="es-BO" w:eastAsia="es-PE"/>
        </w:rPr>
        <w:t>) solo el 29% de las MIPYME cuentan con líneas de crédito o préstamos</w:t>
      </w:r>
      <w:r w:rsidRPr="00FE66C8">
        <w:rPr>
          <w:rFonts w:ascii="Arial" w:eastAsia="Calibri" w:hAnsi="Arial" w:cs="Arial"/>
          <w:sz w:val="22"/>
          <w:szCs w:val="22"/>
          <w:vertAlign w:val="superscript"/>
          <w:lang w:val="es-BO" w:eastAsia="es-PE"/>
        </w:rPr>
        <w:footnoteReference w:id="22"/>
      </w:r>
      <w:r w:rsidRPr="00FE66C8">
        <w:rPr>
          <w:rFonts w:ascii="Arial" w:eastAsia="Calibri" w:hAnsi="Arial" w:cs="Arial"/>
          <w:sz w:val="22"/>
          <w:szCs w:val="22"/>
          <w:lang w:val="es-BO" w:eastAsia="es-PE"/>
        </w:rPr>
        <w:t>; y (</w:t>
      </w:r>
      <w:proofErr w:type="spellStart"/>
      <w:r w:rsidRPr="00FE66C8">
        <w:rPr>
          <w:rFonts w:ascii="Arial" w:eastAsia="Calibri" w:hAnsi="Arial" w:cs="Arial"/>
          <w:sz w:val="22"/>
          <w:szCs w:val="22"/>
          <w:lang w:val="es-BO" w:eastAsia="es-PE"/>
        </w:rPr>
        <w:t>iv</w:t>
      </w:r>
      <w:proofErr w:type="spellEnd"/>
      <w:r w:rsidRPr="00FE66C8">
        <w:rPr>
          <w:rFonts w:ascii="Arial" w:eastAsia="Calibri" w:hAnsi="Arial" w:cs="Arial"/>
          <w:sz w:val="22"/>
          <w:szCs w:val="22"/>
          <w:lang w:val="es-BO" w:eastAsia="es-PE"/>
        </w:rPr>
        <w:t>) 18% de las MIPYME considera difícil acceder a un crédito, 36% muy difícil</w:t>
      </w:r>
      <w:r w:rsidRPr="00FE66C8">
        <w:rPr>
          <w:rFonts w:ascii="Arial" w:eastAsia="Calibri" w:hAnsi="Arial" w:cs="Arial"/>
          <w:sz w:val="22"/>
          <w:szCs w:val="22"/>
          <w:vertAlign w:val="superscript"/>
        </w:rPr>
        <w:footnoteReference w:id="23"/>
      </w:r>
      <w:r w:rsidR="00FE66C8" w:rsidRPr="00FE66C8">
        <w:rPr>
          <w:rFonts w:ascii="Arial" w:eastAsia="Calibri" w:hAnsi="Arial" w:cs="Arial"/>
          <w:sz w:val="22"/>
          <w:szCs w:val="22"/>
          <w:lang w:val="es-BO" w:eastAsia="es-PE"/>
        </w:rPr>
        <w:t>.</w:t>
      </w:r>
      <w:r w:rsidRPr="00FE66C8">
        <w:rPr>
          <w:rFonts w:ascii="Arial" w:eastAsia="Calibri" w:hAnsi="Arial" w:cs="Arial"/>
          <w:sz w:val="22"/>
          <w:szCs w:val="22"/>
          <w:lang w:val="es-BO" w:eastAsia="es-PE"/>
        </w:rPr>
        <w:t xml:space="preserve"> Por el lado de la oferta, la información de la </w:t>
      </w:r>
      <w:r w:rsidR="002B4A02">
        <w:rPr>
          <w:rFonts w:ascii="Arial" w:eastAsia="Calibri" w:hAnsi="Arial" w:cs="Arial"/>
          <w:sz w:val="22"/>
          <w:szCs w:val="22"/>
          <w:lang w:val="es-BO" w:eastAsia="es-PE"/>
        </w:rPr>
        <w:t>Superintendencia del Sistema Financiero (</w:t>
      </w:r>
      <w:r w:rsidRPr="00FE66C8">
        <w:rPr>
          <w:rFonts w:ascii="Arial" w:eastAsia="Calibri" w:hAnsi="Arial" w:cs="Arial"/>
          <w:sz w:val="22"/>
          <w:szCs w:val="22"/>
          <w:lang w:val="es-BO" w:eastAsia="es-PE"/>
        </w:rPr>
        <w:t>SSF</w:t>
      </w:r>
      <w:r w:rsidR="002B4A02">
        <w:rPr>
          <w:rFonts w:ascii="Arial" w:eastAsia="Calibri" w:hAnsi="Arial" w:cs="Arial"/>
          <w:sz w:val="22"/>
          <w:szCs w:val="22"/>
          <w:lang w:val="es-BO" w:eastAsia="es-PE"/>
        </w:rPr>
        <w:t>)</w:t>
      </w:r>
      <w:r w:rsidRPr="00FE66C8">
        <w:rPr>
          <w:rFonts w:ascii="Arial" w:eastAsia="Calibri" w:hAnsi="Arial" w:cs="Arial"/>
          <w:sz w:val="22"/>
          <w:szCs w:val="22"/>
          <w:lang w:val="es-BO" w:eastAsia="es-PE"/>
        </w:rPr>
        <w:t xml:space="preserve"> de El Salvador, a diciembre de 2019, muestra</w:t>
      </w:r>
      <w:r w:rsidRPr="00740992">
        <w:rPr>
          <w:rFonts w:ascii="Arial" w:eastAsia="Calibri" w:hAnsi="Arial" w:cs="Arial"/>
          <w:sz w:val="22"/>
          <w:szCs w:val="22"/>
          <w:lang w:val="es-BO" w:eastAsia="es-PE"/>
        </w:rPr>
        <w:t xml:space="preserve"> que los 82 mil créditos a las MIPYME representan apenas el 4% de los dos millones de créditos del sistema, lo que muestra el incipiente grado de penetración en términos de número. En cuanto al saldo, US$3</w:t>
      </w:r>
      <w:r w:rsidR="0065285A">
        <w:rPr>
          <w:rFonts w:ascii="Arial" w:eastAsia="Calibri" w:hAnsi="Arial" w:cs="Arial"/>
          <w:sz w:val="22"/>
          <w:szCs w:val="22"/>
          <w:lang w:val="es-BO" w:eastAsia="es-PE"/>
        </w:rPr>
        <w:t xml:space="preserve">.000 </w:t>
      </w:r>
      <w:r w:rsidRPr="00740992">
        <w:rPr>
          <w:rFonts w:ascii="Arial" w:eastAsia="Calibri" w:hAnsi="Arial" w:cs="Arial"/>
          <w:sz w:val="22"/>
          <w:szCs w:val="22"/>
          <w:lang w:val="es-BO" w:eastAsia="es-PE"/>
        </w:rPr>
        <w:t xml:space="preserve">millones contratados por la MIPYME representaban un 21% del saldo total de créditos en el sistema. Los indicadores de los créditos de la MIPYME mostraban relaciones inversas entre montos promedio y tasas de interés, puesto que un crédito de menor tamaño significa mayores costos operativos y de riesgo, y por ende una exigencia de rentabilidad mayor. </w:t>
      </w:r>
      <w:r>
        <w:rPr>
          <w:rFonts w:ascii="Arial" w:hAnsi="Arial" w:cs="Arial"/>
          <w:sz w:val="22"/>
          <w:szCs w:val="22"/>
          <w:lang w:val="es-BO"/>
        </w:rPr>
        <w:t>Los</w:t>
      </w:r>
      <w:r w:rsidRPr="00B52E56">
        <w:rPr>
          <w:rFonts w:ascii="Arial" w:hAnsi="Arial" w:cs="Arial"/>
          <w:sz w:val="22"/>
          <w:szCs w:val="22"/>
          <w:lang w:val="es-BO"/>
        </w:rPr>
        <w:t xml:space="preserve"> cálculos del tamaño de la brecha de financiamiento a la MIPYME oscilan entre US$514 millones y </w:t>
      </w:r>
      <w:r>
        <w:rPr>
          <w:rFonts w:ascii="Arial" w:hAnsi="Arial" w:cs="Arial"/>
          <w:sz w:val="22"/>
          <w:szCs w:val="22"/>
          <w:lang w:val="es-BO"/>
        </w:rPr>
        <w:t>US$</w:t>
      </w:r>
      <w:r w:rsidRPr="00B52E56">
        <w:rPr>
          <w:rFonts w:ascii="Arial" w:hAnsi="Arial" w:cs="Arial"/>
          <w:sz w:val="22"/>
          <w:szCs w:val="22"/>
          <w:lang w:val="es-BO"/>
        </w:rPr>
        <w:t>882</w:t>
      </w:r>
      <w:r w:rsidR="0065285A">
        <w:rPr>
          <w:rFonts w:ascii="Arial" w:hAnsi="Arial" w:cs="Arial"/>
          <w:sz w:val="22"/>
          <w:szCs w:val="22"/>
          <w:lang w:val="es-BO"/>
        </w:rPr>
        <w:t> </w:t>
      </w:r>
      <w:r w:rsidRPr="00B52E56">
        <w:rPr>
          <w:rFonts w:ascii="Arial" w:hAnsi="Arial" w:cs="Arial"/>
          <w:sz w:val="22"/>
          <w:szCs w:val="22"/>
          <w:lang w:val="es-BO"/>
        </w:rPr>
        <w:t xml:space="preserve">millones </w:t>
      </w:r>
      <w:r w:rsidRPr="00740992">
        <w:rPr>
          <w:rFonts w:ascii="Arial" w:eastAsia="Calibri" w:hAnsi="Arial" w:cs="Arial"/>
          <w:sz w:val="22"/>
          <w:szCs w:val="22"/>
          <w:lang w:val="es-BO" w:eastAsia="es-PE"/>
        </w:rPr>
        <w:t>(</w:t>
      </w:r>
      <w:hyperlink r:id="rId19" w:history="1">
        <w:r w:rsidRPr="008804F5">
          <w:rPr>
            <w:rStyle w:val="Hyperlink"/>
            <w:rFonts w:ascii="Arial" w:eastAsia="Calibri" w:hAnsi="Arial" w:cs="Arial"/>
            <w:sz w:val="22"/>
            <w:szCs w:val="22"/>
            <w:lang w:val="es-BO" w:eastAsia="es-PE"/>
          </w:rPr>
          <w:t>EEO#</w:t>
        </w:r>
        <w:r w:rsidR="00CA6970">
          <w:rPr>
            <w:rStyle w:val="Hyperlink"/>
            <w:rFonts w:ascii="Arial" w:eastAsia="Calibri" w:hAnsi="Arial" w:cs="Arial"/>
            <w:sz w:val="22"/>
            <w:szCs w:val="22"/>
            <w:lang w:val="es-BO" w:eastAsia="es-PE"/>
          </w:rPr>
          <w:t>4</w:t>
        </w:r>
      </w:hyperlink>
      <w:r w:rsidRPr="00740992">
        <w:rPr>
          <w:rFonts w:ascii="Arial" w:eastAsia="Calibri" w:hAnsi="Arial" w:cs="Arial"/>
          <w:sz w:val="22"/>
          <w:szCs w:val="22"/>
          <w:lang w:val="es-BO" w:eastAsia="es-PE"/>
        </w:rPr>
        <w:t>).</w:t>
      </w:r>
    </w:p>
    <w:p w14:paraId="63457962" w14:textId="3EB9C24D" w:rsidR="0006531B" w:rsidRDefault="007B71D2" w:rsidP="00C54C81">
      <w:pPr>
        <w:pStyle w:val="Paragraph"/>
        <w:numPr>
          <w:ilvl w:val="1"/>
          <w:numId w:val="4"/>
        </w:numPr>
        <w:tabs>
          <w:tab w:val="left" w:pos="0"/>
        </w:tabs>
        <w:spacing w:after="0"/>
        <w:ind w:left="720" w:hanging="720"/>
        <w:rPr>
          <w:rFonts w:ascii="Arial" w:eastAsia="Calibri" w:hAnsi="Arial" w:cs="Arial"/>
          <w:sz w:val="22"/>
          <w:szCs w:val="22"/>
          <w:lang w:val="es-BO" w:eastAsia="es-PE"/>
        </w:rPr>
      </w:pPr>
      <w:r w:rsidRPr="0006531B">
        <w:rPr>
          <w:rFonts w:ascii="Arial" w:eastAsia="Calibri" w:hAnsi="Arial" w:cs="Arial"/>
          <w:sz w:val="22"/>
          <w:szCs w:val="22"/>
          <w:lang w:val="es-ES_tradnl" w:eastAsia="es-PE"/>
        </w:rPr>
        <w:t xml:space="preserve">Bajo el escenario anterior, la crisis del COVID-19 contribuye a ahondar los problemas de acceso al crédito de la MIPYME. </w:t>
      </w:r>
      <w:r w:rsidRPr="0006531B">
        <w:rPr>
          <w:rFonts w:ascii="Arial" w:hAnsi="Arial" w:cs="Arial"/>
          <w:sz w:val="22"/>
          <w:szCs w:val="22"/>
          <w:lang w:val="es-ES_tradnl"/>
        </w:rPr>
        <w:t xml:space="preserve">Como se mencionaba, el deterioro de las condiciones financieras y el descenso de la actividad económica son dos de los principales canales de transmisión para los impactos de la crisis en la </w:t>
      </w:r>
      <w:r w:rsidRPr="00C54C81">
        <w:rPr>
          <w:rFonts w:ascii="Arial" w:eastAsia="Calibri" w:hAnsi="Arial"/>
          <w:sz w:val="22"/>
          <w:lang w:val="es-BO"/>
        </w:rPr>
        <w:t>economía</w:t>
      </w:r>
      <w:r w:rsidRPr="0006531B">
        <w:rPr>
          <w:rFonts w:ascii="Arial" w:hAnsi="Arial" w:cs="Arial"/>
          <w:sz w:val="22"/>
          <w:szCs w:val="22"/>
          <w:lang w:val="es-ES_tradnl"/>
        </w:rPr>
        <w:t xml:space="preserve"> de la región. </w:t>
      </w:r>
      <w:r w:rsidRPr="0006531B">
        <w:rPr>
          <w:rFonts w:ascii="Arial" w:hAnsi="Arial" w:cs="Arial"/>
          <w:sz w:val="22"/>
          <w:szCs w:val="22"/>
          <w:lang w:val="es-ES"/>
        </w:rPr>
        <w:t>En primer lugar, la caída de la actividad económica supone dos factores de estrés para la MIPYME: (i) descenso de los ingresos operativos</w:t>
      </w:r>
      <w:r w:rsidR="00061CB4">
        <w:rPr>
          <w:rFonts w:ascii="Arial" w:hAnsi="Arial" w:cs="Arial"/>
          <w:sz w:val="22"/>
          <w:szCs w:val="22"/>
          <w:lang w:val="es-ES"/>
        </w:rPr>
        <w:t>;</w:t>
      </w:r>
      <w:r w:rsidRPr="0006531B">
        <w:rPr>
          <w:rFonts w:ascii="Arial" w:hAnsi="Arial" w:cs="Arial"/>
          <w:sz w:val="22"/>
          <w:szCs w:val="22"/>
          <w:lang w:val="es-ES"/>
        </w:rPr>
        <w:t xml:space="preserve"> y (</w:t>
      </w:r>
      <w:proofErr w:type="spellStart"/>
      <w:r w:rsidRPr="0006531B">
        <w:rPr>
          <w:rFonts w:ascii="Arial" w:hAnsi="Arial" w:cs="Arial"/>
          <w:sz w:val="22"/>
          <w:szCs w:val="22"/>
          <w:lang w:val="es-ES"/>
        </w:rPr>
        <w:t>ii</w:t>
      </w:r>
      <w:proofErr w:type="spellEnd"/>
      <w:r w:rsidRPr="0006531B">
        <w:rPr>
          <w:rFonts w:ascii="Arial" w:hAnsi="Arial" w:cs="Arial"/>
          <w:sz w:val="22"/>
          <w:szCs w:val="22"/>
          <w:lang w:val="es-ES"/>
        </w:rPr>
        <w:t>) aumento de retrasos en pagos por bienes y servicios prestados</w:t>
      </w:r>
      <w:r>
        <w:rPr>
          <w:rStyle w:val="FootnoteReference"/>
          <w:rFonts w:ascii="Arial" w:hAnsi="Arial" w:cs="Arial"/>
          <w:sz w:val="22"/>
          <w:szCs w:val="22"/>
          <w:lang w:val="es-ES"/>
        </w:rPr>
        <w:footnoteReference w:id="24"/>
      </w:r>
      <w:r w:rsidRPr="0006531B">
        <w:rPr>
          <w:rFonts w:ascii="Arial" w:hAnsi="Arial" w:cs="Arial"/>
          <w:sz w:val="22"/>
          <w:szCs w:val="22"/>
          <w:lang w:val="es-ES"/>
        </w:rPr>
        <w:t>. Estos factores de estrés crean desbalances repentinos y abruptos en sus flujos de caja, generando necesidades de liquidez de corto plazo para poder cubrir costos operativos fijos y mantener niveles de empleo durante periodos de menor actividad económica, como el que actualmente que se enfrenta para combatir el COVID-19. En segundo lugar, el empeoramiento de las condiciones financieras restringe la capacidad de las MIPYME de acceder a financiamiento para cubrir estas necesidades de liquidez derivadas de la caída de la actividad económica</w:t>
      </w:r>
      <w:r>
        <w:rPr>
          <w:rStyle w:val="FootnoteReference"/>
          <w:rFonts w:ascii="Arial" w:hAnsi="Arial" w:cs="Arial"/>
          <w:sz w:val="22"/>
          <w:szCs w:val="22"/>
          <w:lang w:val="es-ES"/>
        </w:rPr>
        <w:footnoteReference w:id="25"/>
      </w:r>
      <w:r w:rsidRPr="0006531B">
        <w:rPr>
          <w:rFonts w:ascii="Arial" w:hAnsi="Arial" w:cs="Arial"/>
          <w:sz w:val="22"/>
          <w:szCs w:val="22"/>
          <w:lang w:val="es-ES"/>
        </w:rPr>
        <w:t xml:space="preserve">. </w:t>
      </w:r>
    </w:p>
    <w:p w14:paraId="0E4DD8A8" w14:textId="3135441C" w:rsidR="007B71D2" w:rsidRPr="0006531B" w:rsidRDefault="007B71D2" w:rsidP="00C54C81">
      <w:pPr>
        <w:pStyle w:val="Paragraph"/>
        <w:numPr>
          <w:ilvl w:val="1"/>
          <w:numId w:val="4"/>
        </w:numPr>
        <w:tabs>
          <w:tab w:val="left" w:pos="0"/>
        </w:tabs>
        <w:spacing w:after="0"/>
        <w:ind w:left="720" w:hanging="720"/>
        <w:rPr>
          <w:rFonts w:ascii="Arial" w:eastAsia="Calibri" w:hAnsi="Arial" w:cs="Arial"/>
          <w:sz w:val="22"/>
          <w:szCs w:val="22"/>
          <w:lang w:val="es-BO" w:eastAsia="es-PE"/>
        </w:rPr>
      </w:pPr>
      <w:r w:rsidRPr="0006531B">
        <w:rPr>
          <w:rFonts w:ascii="Arial" w:hAnsi="Arial" w:cs="Arial"/>
          <w:sz w:val="22"/>
          <w:szCs w:val="22"/>
          <w:lang w:val="es-ES"/>
        </w:rPr>
        <w:lastRenderedPageBreak/>
        <w:t>Este empeoramiento de las condiciones financieras para las MIPYME se debe principalmente a que en contextos de contracción macroeconómica el sector financiero: (i) reduce su oferta de crédito</w:t>
      </w:r>
      <w:r>
        <w:rPr>
          <w:rStyle w:val="FootnoteReference"/>
          <w:rFonts w:ascii="Arial" w:hAnsi="Arial" w:cs="Arial"/>
          <w:sz w:val="22"/>
          <w:szCs w:val="22"/>
        </w:rPr>
        <w:footnoteReference w:id="26"/>
      </w:r>
      <w:r w:rsidR="000F7CB3">
        <w:rPr>
          <w:rFonts w:ascii="Arial" w:hAnsi="Arial" w:cs="Arial"/>
          <w:sz w:val="22"/>
          <w:szCs w:val="22"/>
          <w:lang w:val="es-ES"/>
        </w:rPr>
        <w:t>;</w:t>
      </w:r>
      <w:r w:rsidR="00C70C91">
        <w:rPr>
          <w:rFonts w:ascii="Arial" w:hAnsi="Arial" w:cs="Arial"/>
          <w:sz w:val="22"/>
          <w:szCs w:val="22"/>
          <w:lang w:val="es-ES"/>
        </w:rPr>
        <w:t xml:space="preserve"> </w:t>
      </w:r>
      <w:r w:rsidRPr="0006531B">
        <w:rPr>
          <w:rFonts w:ascii="Arial" w:hAnsi="Arial" w:cs="Arial"/>
          <w:sz w:val="22"/>
          <w:szCs w:val="22"/>
          <w:lang w:val="es-ES"/>
        </w:rPr>
        <w:t>(</w:t>
      </w:r>
      <w:proofErr w:type="spellStart"/>
      <w:r w:rsidRPr="0006531B">
        <w:rPr>
          <w:rFonts w:ascii="Arial" w:hAnsi="Arial" w:cs="Arial"/>
          <w:sz w:val="22"/>
          <w:szCs w:val="22"/>
          <w:lang w:val="es-ES"/>
        </w:rPr>
        <w:t>ii</w:t>
      </w:r>
      <w:proofErr w:type="spellEnd"/>
      <w:r w:rsidRPr="0006531B">
        <w:rPr>
          <w:rFonts w:ascii="Arial" w:hAnsi="Arial" w:cs="Arial"/>
          <w:sz w:val="22"/>
          <w:szCs w:val="22"/>
          <w:lang w:val="es-ES"/>
        </w:rPr>
        <w:t>) lo hace en una mayor proporción en el segmento de la MIPYME en comparación con empresas de mayor tamaño</w:t>
      </w:r>
      <w:r>
        <w:rPr>
          <w:rStyle w:val="FootnoteReference"/>
          <w:rFonts w:ascii="Arial" w:hAnsi="Arial" w:cs="Arial"/>
          <w:sz w:val="22"/>
          <w:szCs w:val="22"/>
        </w:rPr>
        <w:footnoteReference w:id="27"/>
      </w:r>
      <w:r w:rsidR="00535060">
        <w:rPr>
          <w:rFonts w:ascii="Arial" w:hAnsi="Arial" w:cs="Arial"/>
          <w:sz w:val="22"/>
          <w:szCs w:val="22"/>
          <w:lang w:val="es-ES"/>
        </w:rPr>
        <w:t>;</w:t>
      </w:r>
      <w:r w:rsidRPr="0006531B">
        <w:rPr>
          <w:rFonts w:ascii="Arial" w:hAnsi="Arial" w:cs="Arial"/>
          <w:sz w:val="22"/>
          <w:szCs w:val="22"/>
          <w:lang w:val="es-ES"/>
        </w:rPr>
        <w:t xml:space="preserve"> y (</w:t>
      </w:r>
      <w:proofErr w:type="spellStart"/>
      <w:r w:rsidRPr="0006531B">
        <w:rPr>
          <w:rFonts w:ascii="Arial" w:hAnsi="Arial" w:cs="Arial"/>
          <w:sz w:val="22"/>
          <w:szCs w:val="22"/>
          <w:lang w:val="es-ES"/>
        </w:rPr>
        <w:t>iii</w:t>
      </w:r>
      <w:proofErr w:type="spellEnd"/>
      <w:r w:rsidRPr="0006531B">
        <w:rPr>
          <w:rFonts w:ascii="Arial" w:hAnsi="Arial" w:cs="Arial"/>
          <w:sz w:val="22"/>
          <w:szCs w:val="22"/>
          <w:lang w:val="es-ES"/>
        </w:rPr>
        <w:t>) se demora un tiempo en recuperar el nivel previo a la crisis</w:t>
      </w:r>
      <w:r>
        <w:rPr>
          <w:rStyle w:val="FootnoteReference"/>
          <w:rFonts w:ascii="Arial" w:hAnsi="Arial" w:cs="Arial"/>
          <w:sz w:val="22"/>
          <w:szCs w:val="22"/>
        </w:rPr>
        <w:footnoteReference w:id="28"/>
      </w:r>
      <w:r w:rsidRPr="0006531B">
        <w:rPr>
          <w:rFonts w:ascii="Arial" w:hAnsi="Arial" w:cs="Arial"/>
          <w:sz w:val="22"/>
          <w:szCs w:val="22"/>
          <w:lang w:val="es-ES"/>
        </w:rPr>
        <w:t xml:space="preserve">. Este empeoramiento de las condiciones de acceso a financiamiento en contexto de contracción económica se une a los obstáculos de </w:t>
      </w:r>
      <w:r w:rsidRPr="0006531B">
        <w:rPr>
          <w:rFonts w:ascii="Arial" w:eastAsia="Arial" w:hAnsi="Arial" w:cs="Arial"/>
          <w:sz w:val="22"/>
          <w:szCs w:val="22"/>
          <w:lang w:val="es-ES"/>
        </w:rPr>
        <w:t xml:space="preserve">acceso al financiamiento que ya de por si acumulan las MIPYME respecto a empresas de mayor tamaño como: </w:t>
      </w:r>
      <w:r w:rsidRPr="0006531B">
        <w:rPr>
          <w:rFonts w:ascii="Arial" w:eastAsia="Arial" w:hAnsi="Arial" w:cs="Arial"/>
          <w:sz w:val="22"/>
          <w:szCs w:val="22"/>
          <w:lang w:val="es"/>
        </w:rPr>
        <w:t xml:space="preserve">(i) ciclos </w:t>
      </w:r>
      <w:r w:rsidRPr="00C54C81">
        <w:rPr>
          <w:rFonts w:ascii="Arial" w:eastAsia="Calibri" w:hAnsi="Arial"/>
          <w:sz w:val="22"/>
          <w:lang w:val="es-BO"/>
        </w:rPr>
        <w:t>comerciales</w:t>
      </w:r>
      <w:r w:rsidRPr="0006531B">
        <w:rPr>
          <w:rFonts w:ascii="Arial" w:eastAsia="Arial" w:hAnsi="Arial" w:cs="Arial"/>
          <w:sz w:val="22"/>
          <w:szCs w:val="22"/>
          <w:lang w:val="es"/>
        </w:rPr>
        <w:t xml:space="preserve"> más cortos con mayores necesidades de liquidez a corto plazo; (</w:t>
      </w:r>
      <w:proofErr w:type="spellStart"/>
      <w:r w:rsidRPr="0006531B">
        <w:rPr>
          <w:rFonts w:ascii="Arial" w:eastAsia="Arial" w:hAnsi="Arial" w:cs="Arial"/>
          <w:sz w:val="22"/>
          <w:szCs w:val="22"/>
          <w:lang w:val="es"/>
        </w:rPr>
        <w:t>ii</w:t>
      </w:r>
      <w:proofErr w:type="spellEnd"/>
      <w:r w:rsidRPr="0006531B">
        <w:rPr>
          <w:rFonts w:ascii="Arial" w:eastAsia="Arial" w:hAnsi="Arial" w:cs="Arial"/>
          <w:sz w:val="22"/>
          <w:szCs w:val="22"/>
          <w:lang w:val="es"/>
        </w:rPr>
        <w:t>) carencia de instrumentos para la gestión del riesgo asociado a su ciclo de proyectos; (</w:t>
      </w:r>
      <w:proofErr w:type="spellStart"/>
      <w:r w:rsidRPr="0006531B">
        <w:rPr>
          <w:rFonts w:ascii="Arial" w:eastAsia="Arial" w:hAnsi="Arial" w:cs="Arial"/>
          <w:sz w:val="22"/>
          <w:szCs w:val="22"/>
          <w:lang w:val="es"/>
        </w:rPr>
        <w:t>iii</w:t>
      </w:r>
      <w:proofErr w:type="spellEnd"/>
      <w:r w:rsidRPr="0006531B">
        <w:rPr>
          <w:rFonts w:ascii="Arial" w:eastAsia="Arial" w:hAnsi="Arial" w:cs="Arial"/>
          <w:sz w:val="22"/>
          <w:szCs w:val="22"/>
          <w:lang w:val="es"/>
        </w:rPr>
        <w:t>) mayores limitaciones de colateral disponible y su ejecución, debido a la falta de capital existente; (</w:t>
      </w:r>
      <w:proofErr w:type="spellStart"/>
      <w:r w:rsidRPr="0006531B">
        <w:rPr>
          <w:rFonts w:ascii="Arial" w:eastAsia="Arial" w:hAnsi="Arial" w:cs="Arial"/>
          <w:sz w:val="22"/>
          <w:szCs w:val="22"/>
          <w:lang w:val="es"/>
        </w:rPr>
        <w:t>iv</w:t>
      </w:r>
      <w:proofErr w:type="spellEnd"/>
      <w:r w:rsidRPr="0006531B">
        <w:rPr>
          <w:rFonts w:ascii="Arial" w:eastAsia="Arial" w:hAnsi="Arial" w:cs="Arial"/>
          <w:sz w:val="22"/>
          <w:szCs w:val="22"/>
          <w:lang w:val="es"/>
        </w:rPr>
        <w:t>) altos costos de operación para prestar a escalas pequeñas; y (v) menor rentabilidad que otros segmentos empresariales</w:t>
      </w:r>
      <w:r>
        <w:rPr>
          <w:rStyle w:val="FootnoteReference"/>
          <w:rFonts w:ascii="Arial" w:eastAsia="Arial" w:hAnsi="Arial" w:cs="Arial"/>
          <w:sz w:val="22"/>
          <w:szCs w:val="22"/>
          <w:lang w:val="es"/>
        </w:rPr>
        <w:footnoteReference w:id="29"/>
      </w:r>
      <w:r w:rsidRPr="0006531B">
        <w:rPr>
          <w:rFonts w:ascii="Arial" w:eastAsia="Arial" w:hAnsi="Arial" w:cs="Arial"/>
          <w:sz w:val="22"/>
          <w:szCs w:val="22"/>
          <w:lang w:val="es"/>
        </w:rPr>
        <w:t>.</w:t>
      </w:r>
    </w:p>
    <w:p w14:paraId="076289CC" w14:textId="77777777" w:rsidR="0006531B" w:rsidRDefault="007B71D2" w:rsidP="00C54C81">
      <w:pPr>
        <w:pStyle w:val="Paragraph"/>
        <w:numPr>
          <w:ilvl w:val="1"/>
          <w:numId w:val="4"/>
        </w:numPr>
        <w:tabs>
          <w:tab w:val="left" w:pos="0"/>
        </w:tabs>
        <w:spacing w:after="0"/>
        <w:ind w:left="720" w:hanging="720"/>
        <w:rPr>
          <w:rFonts w:ascii="Arial" w:eastAsia="Calibri" w:hAnsi="Arial" w:cs="Arial"/>
          <w:sz w:val="22"/>
          <w:szCs w:val="22"/>
          <w:lang w:val="es-BO" w:eastAsia="es-PE"/>
        </w:rPr>
      </w:pPr>
      <w:r>
        <w:rPr>
          <w:rFonts w:ascii="Arial" w:eastAsia="Arial" w:hAnsi="Arial" w:cs="Arial"/>
          <w:sz w:val="22"/>
          <w:szCs w:val="22"/>
          <w:lang w:val="es-ES"/>
        </w:rPr>
        <w:t>Así pues, sumado a</w:t>
      </w:r>
      <w:r w:rsidRPr="00740992">
        <w:rPr>
          <w:rFonts w:ascii="Arial" w:hAnsi="Arial" w:cs="Arial"/>
          <w:sz w:val="22"/>
          <w:szCs w:val="22"/>
          <w:lang w:val="es-ES_tradnl"/>
        </w:rPr>
        <w:t xml:space="preserve"> los obstáculos que presentaban las MIPYME para acceder al </w:t>
      </w:r>
      <w:r w:rsidRPr="00C54C81">
        <w:rPr>
          <w:rFonts w:ascii="Arial" w:eastAsia="Calibri" w:hAnsi="Arial"/>
          <w:sz w:val="22"/>
          <w:lang w:val="es-BO"/>
        </w:rPr>
        <w:t>financiamiento</w:t>
      </w:r>
      <w:r w:rsidRPr="00740992">
        <w:rPr>
          <w:rFonts w:ascii="Arial" w:hAnsi="Arial" w:cs="Arial"/>
          <w:sz w:val="22"/>
          <w:szCs w:val="22"/>
          <w:lang w:val="es-ES_tradnl"/>
        </w:rPr>
        <w:t xml:space="preserve"> antes de la actual crisis</w:t>
      </w:r>
      <w:r>
        <w:rPr>
          <w:rStyle w:val="FootnoteReference"/>
          <w:rFonts w:ascii="Arial" w:hAnsi="Arial" w:cs="Arial"/>
          <w:sz w:val="22"/>
          <w:szCs w:val="22"/>
          <w:lang w:val="es-ES_tradnl"/>
        </w:rPr>
        <w:footnoteReference w:id="30"/>
      </w:r>
      <w:r w:rsidRPr="00740992">
        <w:rPr>
          <w:rFonts w:ascii="Arial" w:hAnsi="Arial" w:cs="Arial"/>
          <w:sz w:val="22"/>
          <w:szCs w:val="22"/>
          <w:lang w:val="es-ES_tradnl"/>
        </w:rPr>
        <w:t>, e</w:t>
      </w:r>
      <w:r w:rsidRPr="00740992">
        <w:rPr>
          <w:rFonts w:ascii="Arial" w:eastAsia="Arial" w:hAnsi="Arial" w:cs="Arial"/>
          <w:sz w:val="22"/>
          <w:szCs w:val="22"/>
          <w:lang w:val="es-ES"/>
        </w:rPr>
        <w:t>l efecto dual de reducción de actividad económica y acceso a crédito del sector productivo puede poner en riesgo de supervivencia a muchas MIPYME de la región afectadas por la crisis del COVID</w:t>
      </w:r>
      <w:r w:rsidR="001758C9">
        <w:rPr>
          <w:rFonts w:ascii="Arial" w:eastAsia="Arial" w:hAnsi="Arial" w:cs="Arial"/>
          <w:sz w:val="22"/>
          <w:szCs w:val="22"/>
          <w:lang w:val="es-ES"/>
        </w:rPr>
        <w:noBreakHyphen/>
      </w:r>
      <w:r w:rsidRPr="00740992">
        <w:rPr>
          <w:rFonts w:ascii="Arial" w:eastAsia="Arial" w:hAnsi="Arial" w:cs="Arial"/>
          <w:sz w:val="22"/>
          <w:szCs w:val="22"/>
          <w:lang w:val="es-ES"/>
        </w:rPr>
        <w:t xml:space="preserve">19. </w:t>
      </w:r>
    </w:p>
    <w:p w14:paraId="2F2A3312" w14:textId="6B464B7A" w:rsidR="004F3B89" w:rsidRPr="009841D0" w:rsidRDefault="00282D9F" w:rsidP="009841D0">
      <w:pPr>
        <w:pStyle w:val="Paragraph"/>
        <w:numPr>
          <w:ilvl w:val="1"/>
          <w:numId w:val="4"/>
        </w:numPr>
        <w:tabs>
          <w:tab w:val="left" w:pos="0"/>
        </w:tabs>
        <w:spacing w:after="0"/>
        <w:ind w:left="720" w:hanging="720"/>
        <w:rPr>
          <w:rFonts w:ascii="Arial" w:eastAsia="Calibri" w:hAnsi="Arial" w:cs="Arial"/>
          <w:sz w:val="22"/>
          <w:szCs w:val="22"/>
          <w:lang w:val="es-BO" w:eastAsia="es-PE"/>
        </w:rPr>
      </w:pPr>
      <w:r w:rsidRPr="00381B55">
        <w:rPr>
          <w:rFonts w:ascii="Arial" w:eastAsia="Calibri" w:hAnsi="Arial" w:cs="Arial"/>
          <w:b/>
          <w:bCs/>
          <w:sz w:val="22"/>
          <w:szCs w:val="22"/>
          <w:lang w:val="es-BO" w:eastAsia="es-PE"/>
        </w:rPr>
        <w:t>Perspectiva de género</w:t>
      </w:r>
      <w:r w:rsidR="002F2A63" w:rsidRPr="00381B55">
        <w:rPr>
          <w:rFonts w:ascii="Arial" w:eastAsia="Calibri" w:hAnsi="Arial" w:cs="Arial"/>
          <w:b/>
          <w:bCs/>
          <w:sz w:val="22"/>
          <w:szCs w:val="22"/>
          <w:lang w:val="es-BO" w:eastAsia="es-PE"/>
        </w:rPr>
        <w:t xml:space="preserve"> en el acceso al crédito</w:t>
      </w:r>
      <w:r w:rsidRPr="00381B55">
        <w:rPr>
          <w:rFonts w:ascii="Arial" w:eastAsia="Calibri" w:hAnsi="Arial" w:cs="Arial"/>
          <w:b/>
          <w:bCs/>
          <w:sz w:val="22"/>
          <w:szCs w:val="22"/>
          <w:lang w:val="es-BO" w:eastAsia="es-PE"/>
        </w:rPr>
        <w:t xml:space="preserve">. </w:t>
      </w:r>
      <w:r w:rsidR="004F3B89" w:rsidRPr="00381B55">
        <w:rPr>
          <w:rFonts w:ascii="Arial" w:eastAsia="Calibri" w:hAnsi="Arial" w:cs="Arial"/>
          <w:sz w:val="22"/>
          <w:szCs w:val="22"/>
          <w:lang w:val="es-BO" w:eastAsia="es-PE"/>
        </w:rPr>
        <w:t xml:space="preserve">Se estima que el 64% de las microempresas y el 26% de las </w:t>
      </w:r>
      <w:r w:rsidR="004F3B89" w:rsidRPr="00BC5912">
        <w:rPr>
          <w:rFonts w:ascii="Arial" w:eastAsia="Arial" w:hAnsi="Arial" w:cs="Arial"/>
          <w:sz w:val="22"/>
          <w:szCs w:val="22"/>
          <w:lang w:val="es-ES"/>
        </w:rPr>
        <w:t>Pequeñas y Medianas Empresas (PYME) del país son de propiedad o lideradas por mujeres. No se cuenta con datos adecuados sobre el acceso al crédito por parte de estas empresas, lo cual impide realizar un diagnóstico o c</w:t>
      </w:r>
      <w:r w:rsidR="004F3B89" w:rsidRPr="009841D0">
        <w:rPr>
          <w:rFonts w:ascii="Arial" w:eastAsia="Arial" w:hAnsi="Arial" w:cs="Arial"/>
          <w:sz w:val="22"/>
          <w:szCs w:val="22"/>
          <w:lang w:val="es-BO"/>
        </w:rPr>
        <w:t>á</w:t>
      </w:r>
      <w:proofErr w:type="spellStart"/>
      <w:r w:rsidR="004F3B89" w:rsidRPr="00381B55">
        <w:rPr>
          <w:rFonts w:ascii="Arial" w:eastAsia="Arial" w:hAnsi="Arial" w:cs="Arial"/>
          <w:sz w:val="22"/>
          <w:szCs w:val="22"/>
          <w:lang w:val="es-ES"/>
        </w:rPr>
        <w:t>lculo</w:t>
      </w:r>
      <w:proofErr w:type="spellEnd"/>
      <w:r w:rsidR="004F3B89" w:rsidRPr="00381B55">
        <w:rPr>
          <w:rFonts w:ascii="Arial" w:eastAsia="Arial" w:hAnsi="Arial" w:cs="Arial"/>
          <w:sz w:val="22"/>
          <w:szCs w:val="22"/>
          <w:lang w:val="es-ES"/>
        </w:rPr>
        <w:t xml:space="preserve"> de la brecha de financiamiento por género</w:t>
      </w:r>
      <w:r w:rsidR="00CB0E0F">
        <w:rPr>
          <w:rStyle w:val="FootnoteReference"/>
          <w:rFonts w:ascii="Arial" w:eastAsia="Arial" w:hAnsi="Arial" w:cs="Arial"/>
          <w:sz w:val="22"/>
          <w:szCs w:val="22"/>
        </w:rPr>
        <w:footnoteReference w:id="31"/>
      </w:r>
      <w:r w:rsidR="004F3B89" w:rsidRPr="009841D0">
        <w:rPr>
          <w:rFonts w:ascii="Arial" w:eastAsia="Arial" w:hAnsi="Arial" w:cs="Arial"/>
          <w:sz w:val="22"/>
          <w:szCs w:val="22"/>
          <w:lang w:val="es-BO"/>
        </w:rPr>
        <w:t>; sin embargo,</w:t>
      </w:r>
      <w:r w:rsidR="004F3B89" w:rsidRPr="00381B55">
        <w:rPr>
          <w:rFonts w:ascii="Arial" w:eastAsia="Arial" w:hAnsi="Arial" w:cs="Arial"/>
          <w:sz w:val="22"/>
          <w:szCs w:val="22"/>
          <w:lang w:val="es-ES"/>
        </w:rPr>
        <w:t xml:space="preserve"> datos de encuestas disponibles muestran signos de desigualdad importantes: </w:t>
      </w:r>
      <w:r w:rsidR="004F3B89" w:rsidRPr="00BC5912">
        <w:rPr>
          <w:rFonts w:ascii="Arial" w:eastAsia="Arial" w:hAnsi="Arial" w:cs="Arial"/>
          <w:sz w:val="22"/>
          <w:szCs w:val="22"/>
          <w:lang w:val="es-ES"/>
        </w:rPr>
        <w:t>(i)</w:t>
      </w:r>
      <w:r w:rsidR="00381B55" w:rsidRPr="00BC5912">
        <w:rPr>
          <w:rFonts w:ascii="Arial" w:eastAsia="Arial" w:hAnsi="Arial" w:cs="Arial"/>
          <w:sz w:val="22"/>
          <w:szCs w:val="22"/>
          <w:lang w:val="es-ES"/>
        </w:rPr>
        <w:t> </w:t>
      </w:r>
      <w:r w:rsidR="004F3B89" w:rsidRPr="009841D0">
        <w:rPr>
          <w:rFonts w:ascii="Arial" w:eastAsia="Arial" w:hAnsi="Arial" w:cs="Arial"/>
          <w:sz w:val="22"/>
          <w:szCs w:val="22"/>
          <w:lang w:val="es-ES"/>
        </w:rPr>
        <w:t xml:space="preserve">solo 4% </w:t>
      </w:r>
      <w:r w:rsidR="004F3B89" w:rsidRPr="009841D0">
        <w:rPr>
          <w:rFonts w:ascii="Arial" w:hAnsi="Arial" w:cs="Arial"/>
          <w:sz w:val="22"/>
          <w:szCs w:val="22"/>
          <w:lang w:val="es-ES_tradnl"/>
        </w:rPr>
        <w:t>de las mujeres declaran haber tenido un préstamo para comenzar, operar o expandir un negocio, frente a 7% de los hombres</w:t>
      </w:r>
      <w:r w:rsidR="004F3B89" w:rsidRPr="00381B55">
        <w:rPr>
          <w:rStyle w:val="FootnoteReference"/>
          <w:rFonts w:ascii="Arial" w:eastAsia="Arial" w:hAnsi="Arial" w:cs="Arial"/>
          <w:sz w:val="22"/>
          <w:szCs w:val="22"/>
        </w:rPr>
        <w:footnoteReference w:id="32"/>
      </w:r>
      <w:r w:rsidR="004F3B89" w:rsidRPr="009841D0">
        <w:rPr>
          <w:rFonts w:ascii="Arial" w:hAnsi="Arial" w:cs="Arial"/>
          <w:sz w:val="22"/>
          <w:szCs w:val="22"/>
          <w:lang w:val="es-ES_tradnl"/>
        </w:rPr>
        <w:t>; (</w:t>
      </w:r>
      <w:proofErr w:type="spellStart"/>
      <w:r w:rsidR="004F3B89" w:rsidRPr="009841D0">
        <w:rPr>
          <w:rFonts w:ascii="Arial" w:hAnsi="Arial" w:cs="Arial"/>
          <w:sz w:val="22"/>
          <w:szCs w:val="22"/>
          <w:lang w:val="es-ES_tradnl"/>
        </w:rPr>
        <w:t>ii</w:t>
      </w:r>
      <w:proofErr w:type="spellEnd"/>
      <w:r w:rsidR="004F3B89" w:rsidRPr="009841D0">
        <w:rPr>
          <w:rFonts w:ascii="Arial" w:hAnsi="Arial" w:cs="Arial"/>
          <w:sz w:val="22"/>
          <w:szCs w:val="22"/>
          <w:lang w:val="es-ES_tradnl"/>
        </w:rPr>
        <w:t>)</w:t>
      </w:r>
      <w:r w:rsidR="00381B55" w:rsidRPr="009841D0">
        <w:rPr>
          <w:rFonts w:ascii="Arial" w:hAnsi="Arial" w:cs="Arial"/>
          <w:sz w:val="22"/>
          <w:szCs w:val="22"/>
          <w:lang w:val="es-ES_tradnl"/>
        </w:rPr>
        <w:t> </w:t>
      </w:r>
      <w:r w:rsidR="004F3B89" w:rsidRPr="009841D0">
        <w:rPr>
          <w:rFonts w:ascii="Arial" w:hAnsi="Arial" w:cs="Arial"/>
          <w:sz w:val="22"/>
          <w:szCs w:val="22"/>
          <w:lang w:val="es-ES_tradnl"/>
        </w:rPr>
        <w:t xml:space="preserve">la tasa rechazo de mujeres que aplicaron a créditos es del 3,5% frente a una tasa </w:t>
      </w:r>
      <w:r w:rsidR="004F3B89" w:rsidRPr="009841D0">
        <w:rPr>
          <w:rFonts w:ascii="Arial" w:hAnsi="Arial" w:cs="Arial"/>
          <w:sz w:val="22"/>
          <w:szCs w:val="22"/>
          <w:lang w:val="es-ES"/>
        </w:rPr>
        <w:t>de solo 0</w:t>
      </w:r>
      <w:r w:rsidR="004F3B89" w:rsidRPr="009841D0">
        <w:rPr>
          <w:rFonts w:ascii="Arial" w:hAnsi="Arial" w:cs="Arial"/>
          <w:sz w:val="22"/>
          <w:szCs w:val="22"/>
          <w:lang w:val="es-BO"/>
        </w:rPr>
        <w:t>,</w:t>
      </w:r>
      <w:r w:rsidR="004F3B89" w:rsidRPr="009841D0">
        <w:rPr>
          <w:rFonts w:ascii="Arial" w:hAnsi="Arial" w:cs="Arial"/>
          <w:sz w:val="22"/>
          <w:szCs w:val="22"/>
          <w:lang w:val="es-ES"/>
        </w:rPr>
        <w:t>8%</w:t>
      </w:r>
      <w:r w:rsidR="004F3B89" w:rsidRPr="009841D0">
        <w:rPr>
          <w:rFonts w:ascii="Arial" w:hAnsi="Arial" w:cs="Arial"/>
          <w:sz w:val="22"/>
          <w:szCs w:val="22"/>
          <w:lang w:val="es-BO"/>
        </w:rPr>
        <w:t xml:space="preserve"> de los hombres</w:t>
      </w:r>
      <w:r w:rsidR="004F3B89" w:rsidRPr="00381B55">
        <w:rPr>
          <w:rStyle w:val="FootnoteReference"/>
          <w:rFonts w:ascii="Arial" w:eastAsia="Arial" w:hAnsi="Arial" w:cs="Arial"/>
          <w:sz w:val="22"/>
          <w:szCs w:val="22"/>
        </w:rPr>
        <w:footnoteReference w:id="33"/>
      </w:r>
      <w:r w:rsidR="004F3B89" w:rsidRPr="009841D0">
        <w:rPr>
          <w:rFonts w:ascii="Arial" w:hAnsi="Arial" w:cs="Arial"/>
          <w:sz w:val="22"/>
          <w:szCs w:val="22"/>
          <w:lang w:val="es-BO"/>
        </w:rPr>
        <w:t>; y, finalmente, (</w:t>
      </w:r>
      <w:proofErr w:type="spellStart"/>
      <w:r w:rsidR="004F3B89" w:rsidRPr="009841D0">
        <w:rPr>
          <w:rFonts w:ascii="Arial" w:hAnsi="Arial" w:cs="Arial"/>
          <w:sz w:val="22"/>
          <w:szCs w:val="22"/>
          <w:lang w:val="es-BO"/>
        </w:rPr>
        <w:t>iii</w:t>
      </w:r>
      <w:proofErr w:type="spellEnd"/>
      <w:r w:rsidR="004F3B89" w:rsidRPr="009841D0">
        <w:rPr>
          <w:rFonts w:ascii="Arial" w:hAnsi="Arial" w:cs="Arial"/>
          <w:sz w:val="22"/>
          <w:szCs w:val="22"/>
          <w:lang w:val="es-BO"/>
        </w:rPr>
        <w:t xml:space="preserve">) </w:t>
      </w:r>
      <w:r w:rsidR="004F3B89" w:rsidRPr="009841D0">
        <w:rPr>
          <w:rFonts w:ascii="Arial" w:hAnsi="Arial" w:cs="Arial"/>
          <w:sz w:val="22"/>
          <w:szCs w:val="22"/>
          <w:lang w:val="es-ES"/>
        </w:rPr>
        <w:t xml:space="preserve">solo </w:t>
      </w:r>
      <w:r w:rsidR="004F3B89" w:rsidRPr="009841D0">
        <w:rPr>
          <w:rFonts w:ascii="Arial" w:hAnsi="Arial" w:cs="Arial"/>
          <w:sz w:val="22"/>
          <w:szCs w:val="22"/>
          <w:lang w:val="es-BO"/>
        </w:rPr>
        <w:t xml:space="preserve">el </w:t>
      </w:r>
      <w:r w:rsidR="004F3B89" w:rsidRPr="009841D0">
        <w:rPr>
          <w:rFonts w:ascii="Arial" w:hAnsi="Arial" w:cs="Arial"/>
          <w:sz w:val="22"/>
          <w:szCs w:val="22"/>
          <w:lang w:val="es-ES"/>
        </w:rPr>
        <w:t>15,6% de las empresas lideradas por mujeres financian su inversión con créditos bancarios frente al 27,3%, de los hombres, mostrando diferencias mucho mayores que para el promedio regional de 33,3% y 39,3%, respectivamente</w:t>
      </w:r>
      <w:r w:rsidR="004F3B89" w:rsidRPr="009841D0">
        <w:rPr>
          <w:rStyle w:val="FootnoteReference"/>
          <w:rFonts w:ascii="Arial" w:hAnsi="Arial" w:cs="Arial"/>
          <w:sz w:val="22"/>
          <w:szCs w:val="22"/>
        </w:rPr>
        <w:footnoteReference w:id="34"/>
      </w:r>
      <w:r w:rsidR="004F3B89" w:rsidRPr="009841D0">
        <w:rPr>
          <w:rFonts w:ascii="Arial" w:hAnsi="Arial" w:cs="Arial"/>
          <w:sz w:val="22"/>
          <w:szCs w:val="22"/>
          <w:lang w:val="es-ES"/>
        </w:rPr>
        <w:t xml:space="preserve">. </w:t>
      </w:r>
    </w:p>
    <w:p w14:paraId="3C1C926D" w14:textId="77777777" w:rsidR="004F3B89" w:rsidRPr="00C54C81" w:rsidRDefault="004F3B89" w:rsidP="00C54C81">
      <w:pPr>
        <w:pStyle w:val="Paragraph"/>
        <w:numPr>
          <w:ilvl w:val="0"/>
          <w:numId w:val="0"/>
        </w:numPr>
        <w:spacing w:after="0"/>
        <w:ind w:left="720"/>
        <w:rPr>
          <w:rFonts w:ascii="Arial" w:eastAsia="Calibri" w:hAnsi="Arial"/>
          <w:sz w:val="22"/>
          <w:lang w:val="es-ES"/>
        </w:rPr>
      </w:pPr>
    </w:p>
    <w:p w14:paraId="0C5AB27B" w14:textId="22CBEBE4" w:rsidR="0017089C" w:rsidRPr="0006531B" w:rsidRDefault="0017089C" w:rsidP="00C54C81">
      <w:pPr>
        <w:pStyle w:val="Paragraph"/>
        <w:numPr>
          <w:ilvl w:val="1"/>
          <w:numId w:val="4"/>
        </w:numPr>
        <w:tabs>
          <w:tab w:val="left" w:pos="0"/>
        </w:tabs>
        <w:spacing w:after="0"/>
        <w:ind w:left="720" w:hanging="720"/>
        <w:rPr>
          <w:rFonts w:ascii="Arial" w:eastAsia="Calibri" w:hAnsi="Arial" w:cs="Arial"/>
          <w:sz w:val="22"/>
          <w:szCs w:val="22"/>
          <w:lang w:val="es-BO" w:eastAsia="es-PE"/>
        </w:rPr>
      </w:pPr>
      <w:r>
        <w:rPr>
          <w:rFonts w:ascii="Arial" w:eastAsia="Calibri" w:hAnsi="Arial" w:cs="Arial"/>
          <w:b/>
          <w:bCs/>
          <w:sz w:val="22"/>
          <w:szCs w:val="22"/>
          <w:lang w:val="es-BO" w:eastAsia="es-PE"/>
        </w:rPr>
        <w:lastRenderedPageBreak/>
        <w:t>Perspectiva de financiamiento d</w:t>
      </w:r>
      <w:r w:rsidRPr="0017089C">
        <w:rPr>
          <w:rFonts w:ascii="Arial" w:eastAsia="Calibri" w:hAnsi="Arial" w:cs="Arial"/>
          <w:b/>
          <w:bCs/>
          <w:sz w:val="22"/>
          <w:szCs w:val="22"/>
          <w:lang w:val="es-BO" w:eastAsia="es-PE"/>
        </w:rPr>
        <w:t>e inversiones con potencial de mitigación y/o adaptación al cambio climático y sostenibilidad ambiental</w:t>
      </w:r>
      <w:r>
        <w:rPr>
          <w:rFonts w:ascii="Arial" w:eastAsia="Calibri" w:hAnsi="Arial" w:cs="Arial"/>
          <w:b/>
          <w:bCs/>
          <w:sz w:val="22"/>
          <w:szCs w:val="22"/>
          <w:lang w:val="es-BO" w:eastAsia="es-PE"/>
        </w:rPr>
        <w:t xml:space="preserve">.  </w:t>
      </w:r>
      <w:r w:rsidR="004D6066">
        <w:rPr>
          <w:rFonts w:ascii="Arial" w:hAnsi="Arial" w:cs="Arial"/>
          <w:sz w:val="22"/>
          <w:szCs w:val="22"/>
          <w:lang w:val="es-BO"/>
        </w:rPr>
        <w:t>Dado que el país está clasificado como uno de los más vulnerables al cambio climático</w:t>
      </w:r>
      <w:r w:rsidR="004D6066">
        <w:rPr>
          <w:rStyle w:val="FootnoteReference"/>
          <w:rFonts w:ascii="Arial" w:hAnsi="Arial" w:cs="Arial"/>
          <w:sz w:val="22"/>
          <w:szCs w:val="22"/>
          <w:lang w:val="es-BO"/>
        </w:rPr>
        <w:footnoteReference w:id="35"/>
      </w:r>
      <w:r w:rsidR="004D6066">
        <w:rPr>
          <w:rFonts w:ascii="Arial" w:hAnsi="Arial" w:cs="Arial"/>
          <w:sz w:val="22"/>
          <w:szCs w:val="22"/>
          <w:lang w:val="es-BO"/>
        </w:rPr>
        <w:t xml:space="preserve">, </w:t>
      </w:r>
      <w:r w:rsidR="004D6066" w:rsidRPr="0044588B">
        <w:rPr>
          <w:rFonts w:ascii="Arial" w:eastAsia="Calibri" w:hAnsi="Arial" w:cs="Arial"/>
          <w:sz w:val="22"/>
          <w:szCs w:val="22"/>
          <w:lang w:val="es-BO" w:eastAsia="es-PE"/>
        </w:rPr>
        <w:t xml:space="preserve">los bancos privados y los bancos públicos firmaron en 2019 protocolos verdes y de </w:t>
      </w:r>
      <w:r w:rsidR="004D6066" w:rsidRPr="00C54C81">
        <w:rPr>
          <w:rFonts w:ascii="Arial" w:eastAsia="Arial" w:hAnsi="Arial"/>
          <w:sz w:val="22"/>
          <w:lang w:val="es-ES"/>
        </w:rPr>
        <w:t>sostenibilidad</w:t>
      </w:r>
      <w:r w:rsidR="004D6066" w:rsidRPr="0044588B">
        <w:rPr>
          <w:rFonts w:ascii="Arial" w:eastAsia="Calibri" w:hAnsi="Arial" w:cs="Arial"/>
          <w:sz w:val="22"/>
          <w:szCs w:val="22"/>
          <w:lang w:val="es-BO" w:eastAsia="es-PE"/>
        </w:rPr>
        <w:t xml:space="preserve"> con el objetivo de financiar proyectos que promuevan la conservación ambiental y el desarrollo de comunidades</w:t>
      </w:r>
      <w:r w:rsidR="004D6066" w:rsidRPr="0044588B">
        <w:rPr>
          <w:rStyle w:val="FootnoteReference"/>
          <w:rFonts w:ascii="Arial" w:eastAsia="Calibri" w:hAnsi="Arial" w:cs="Arial"/>
          <w:sz w:val="22"/>
          <w:szCs w:val="22"/>
          <w:lang w:val="es-BO" w:eastAsia="es-PE"/>
        </w:rPr>
        <w:footnoteReference w:id="36"/>
      </w:r>
      <w:r w:rsidR="004D6066" w:rsidRPr="0044588B">
        <w:rPr>
          <w:rFonts w:ascii="Arial" w:eastAsia="Calibri" w:hAnsi="Arial" w:cs="Arial"/>
          <w:sz w:val="22"/>
          <w:szCs w:val="22"/>
          <w:lang w:val="es-BO" w:eastAsia="es-PE"/>
        </w:rPr>
        <w:t xml:space="preserve">; </w:t>
      </w:r>
      <w:r w:rsidR="004D6066" w:rsidRPr="00503915">
        <w:rPr>
          <w:rFonts w:ascii="Arial" w:eastAsia="Calibri" w:hAnsi="Arial" w:cs="Arial"/>
          <w:sz w:val="22"/>
          <w:szCs w:val="22"/>
          <w:lang w:val="es-BO" w:eastAsia="es-PE"/>
        </w:rPr>
        <w:t>sin embargo</w:t>
      </w:r>
      <w:r w:rsidR="004D6066" w:rsidRPr="00873B13">
        <w:rPr>
          <w:rFonts w:ascii="Arial" w:eastAsia="Calibri" w:hAnsi="Arial" w:cs="Arial"/>
          <w:sz w:val="22"/>
          <w:szCs w:val="22"/>
          <w:lang w:val="es-BO" w:eastAsia="es-PE"/>
        </w:rPr>
        <w:t>, la falta</w:t>
      </w:r>
      <w:r w:rsidR="004D6066" w:rsidRPr="0044588B">
        <w:rPr>
          <w:rFonts w:ascii="Arial" w:eastAsia="Calibri" w:hAnsi="Arial" w:cs="Arial"/>
          <w:sz w:val="22"/>
          <w:szCs w:val="22"/>
          <w:lang w:val="es-BO" w:eastAsia="es-PE"/>
        </w:rPr>
        <w:t xml:space="preserve"> de pasivos a largo plazo obstaculiza una mejor oferta de las IFI para este tipo de inversiones dado que requieren en promedio cinco años de repago</w:t>
      </w:r>
      <w:r w:rsidR="004D6066" w:rsidRPr="0044588B">
        <w:rPr>
          <w:rStyle w:val="FootnoteReference"/>
          <w:rFonts w:ascii="Arial" w:eastAsia="Calibri" w:hAnsi="Arial" w:cs="Arial"/>
          <w:sz w:val="22"/>
          <w:szCs w:val="22"/>
          <w:lang w:val="es-BO" w:eastAsia="es-PE"/>
        </w:rPr>
        <w:footnoteReference w:id="37"/>
      </w:r>
      <w:r w:rsidR="004D6066" w:rsidRPr="0044588B">
        <w:rPr>
          <w:rFonts w:ascii="Arial" w:eastAsia="Calibri" w:hAnsi="Arial" w:cs="Arial"/>
          <w:sz w:val="22"/>
          <w:szCs w:val="22"/>
          <w:lang w:val="es-BO" w:eastAsia="es-PE"/>
        </w:rPr>
        <w:t xml:space="preserve">. </w:t>
      </w:r>
      <w:r w:rsidRPr="0017089C">
        <w:rPr>
          <w:rFonts w:ascii="Arial" w:eastAsia="Calibri" w:hAnsi="Arial" w:cs="Arial"/>
          <w:sz w:val="22"/>
          <w:szCs w:val="22"/>
          <w:lang w:val="es-BO" w:eastAsia="es-PE"/>
        </w:rPr>
        <w:t xml:space="preserve">Así pues, </w:t>
      </w:r>
      <w:r w:rsidR="009C3D90" w:rsidRPr="00503915">
        <w:rPr>
          <w:rFonts w:ascii="Arial" w:hAnsi="Arial" w:cs="Arial"/>
          <w:sz w:val="22"/>
          <w:szCs w:val="22"/>
          <w:lang w:val="es-BO"/>
        </w:rPr>
        <w:t xml:space="preserve">BANDESAL desarrollará una taxonomía para identificar subpréstamos con potencial de mitigación y/o adaptación al cambio climático. La taxonomía será aplicada a los subpréstamos a las MIPYME del programa con el propósito de monitorear su evolución y contribución a las metas que institucionalmente BANDESAL tiene como miembro del Protocolo Verde del Sistema Financiero de El Salvador. El </w:t>
      </w:r>
      <w:r w:rsidR="009177C5">
        <w:rPr>
          <w:rFonts w:ascii="Arial" w:hAnsi="Arial" w:cs="Arial"/>
          <w:sz w:val="22"/>
          <w:szCs w:val="22"/>
          <w:lang w:val="es-BO"/>
        </w:rPr>
        <w:t>Reglamento de Crédito (</w:t>
      </w:r>
      <w:r w:rsidR="009C3D90" w:rsidRPr="00503915">
        <w:rPr>
          <w:rFonts w:ascii="Arial" w:hAnsi="Arial" w:cs="Arial"/>
          <w:sz w:val="22"/>
          <w:szCs w:val="22"/>
          <w:lang w:val="es-BO"/>
        </w:rPr>
        <w:t>RC</w:t>
      </w:r>
      <w:r w:rsidR="009177C5">
        <w:rPr>
          <w:rFonts w:ascii="Arial" w:hAnsi="Arial" w:cs="Arial"/>
          <w:sz w:val="22"/>
          <w:szCs w:val="22"/>
          <w:lang w:val="es-BO"/>
        </w:rPr>
        <w:t>)</w:t>
      </w:r>
      <w:r w:rsidR="009C3D90" w:rsidRPr="00503915">
        <w:rPr>
          <w:rFonts w:ascii="Arial" w:hAnsi="Arial" w:cs="Arial"/>
          <w:sz w:val="22"/>
          <w:szCs w:val="22"/>
          <w:lang w:val="es-BO"/>
        </w:rPr>
        <w:t xml:space="preserve"> incluirá medidas para la captura de datos correspondientes e incorporará la taxonomía como uno de sus anexos</w:t>
      </w:r>
    </w:p>
    <w:p w14:paraId="088EC728" w14:textId="0BB684CE" w:rsidR="002F2A63" w:rsidRPr="00D031B1" w:rsidRDefault="002F2A63" w:rsidP="00C54C81">
      <w:pPr>
        <w:pStyle w:val="Paragraph"/>
        <w:numPr>
          <w:ilvl w:val="1"/>
          <w:numId w:val="4"/>
        </w:numPr>
        <w:tabs>
          <w:tab w:val="left" w:pos="0"/>
        </w:tabs>
        <w:spacing w:after="0"/>
        <w:ind w:left="720" w:hanging="720"/>
        <w:rPr>
          <w:rFonts w:ascii="Arial" w:eastAsia="Calibri" w:hAnsi="Arial" w:cs="Arial"/>
          <w:sz w:val="22"/>
          <w:szCs w:val="22"/>
          <w:lang w:val="es-BO" w:eastAsia="es-PE"/>
        </w:rPr>
      </w:pPr>
      <w:r w:rsidRPr="00D031B1">
        <w:rPr>
          <w:rFonts w:ascii="Arial" w:eastAsia="Calibri" w:hAnsi="Arial" w:cs="Arial"/>
          <w:b/>
          <w:bCs/>
          <w:sz w:val="22"/>
          <w:szCs w:val="22"/>
          <w:lang w:val="es-BO" w:eastAsia="es-PE"/>
        </w:rPr>
        <w:t>Línea de Crédito Condicional para Proyectos de Inversión (CCLIP) y primer programa.</w:t>
      </w:r>
      <w:r w:rsidRPr="00D031B1">
        <w:rPr>
          <w:rFonts w:ascii="Arial" w:eastAsia="Calibri" w:hAnsi="Arial" w:cs="Arial"/>
          <w:sz w:val="22"/>
          <w:szCs w:val="22"/>
          <w:lang w:val="es-BO" w:eastAsia="es-PE"/>
        </w:rPr>
        <w:t xml:space="preserve"> </w:t>
      </w:r>
      <w:r w:rsidR="004F3B89" w:rsidRPr="00766BFE">
        <w:rPr>
          <w:rFonts w:ascii="Arial" w:eastAsia="Calibri" w:hAnsi="Arial" w:cs="Arial"/>
          <w:sz w:val="22"/>
          <w:szCs w:val="22"/>
          <w:lang w:val="es-BO" w:eastAsia="es-PE"/>
        </w:rPr>
        <w:t>El cierre de las bre</w:t>
      </w:r>
      <w:r w:rsidR="004F3B89" w:rsidRPr="00247859">
        <w:rPr>
          <w:rFonts w:ascii="Arial" w:eastAsia="Calibri" w:hAnsi="Arial" w:cs="Arial"/>
          <w:sz w:val="22"/>
          <w:szCs w:val="22"/>
          <w:lang w:val="es-BO" w:eastAsia="es-PE"/>
        </w:rPr>
        <w:t xml:space="preserve">chas de crédito empresarial y de vivienda en El Salvador, requieren de una intervención coordinada, sostenida y de largo plazo ejecutada por entidades robustas en ambos sectores. Una CCLIP de </w:t>
      </w:r>
      <w:r w:rsidR="004F3B89" w:rsidRPr="00247859">
        <w:rPr>
          <w:rFonts w:ascii="Arial" w:hAnsi="Arial" w:cs="Arial"/>
          <w:sz w:val="22"/>
          <w:szCs w:val="22"/>
          <w:lang w:val="es-BO"/>
        </w:rPr>
        <w:t xml:space="preserve">Modalidad </w:t>
      </w:r>
      <w:r w:rsidR="004F3B89" w:rsidRPr="009841D0">
        <w:rPr>
          <w:rFonts w:ascii="Arial" w:eastAsia="Arial" w:hAnsi="Arial" w:cs="Arial"/>
          <w:sz w:val="22"/>
          <w:szCs w:val="22"/>
          <w:lang w:val="es-ES"/>
        </w:rPr>
        <w:t>Multisectorial</w:t>
      </w:r>
      <w:r w:rsidR="004F3B89" w:rsidRPr="00247859">
        <w:rPr>
          <w:rFonts w:ascii="Arial" w:hAnsi="Arial" w:cs="Arial"/>
          <w:sz w:val="22"/>
          <w:szCs w:val="22"/>
          <w:lang w:val="es-BO"/>
        </w:rPr>
        <w:t xml:space="preserve"> II (MM-II), es</w:t>
      </w:r>
      <w:r w:rsidR="004F3B89" w:rsidRPr="00247859">
        <w:rPr>
          <w:rFonts w:ascii="Arial" w:eastAsia="Calibri" w:hAnsi="Arial" w:cs="Arial"/>
          <w:sz w:val="22"/>
          <w:szCs w:val="22"/>
          <w:lang w:val="es-BO" w:eastAsia="es-PE"/>
        </w:rPr>
        <w:t xml:space="preserve"> el instrumento más idóneo del BID para coadyuvar en ese propósito, a través de </w:t>
      </w:r>
      <w:r w:rsidR="007F5B5E" w:rsidRPr="008E6F56">
        <w:rPr>
          <w:rFonts w:ascii="Arial" w:eastAsia="Calibri" w:hAnsi="Arial" w:cs="Arial"/>
          <w:sz w:val="22"/>
          <w:szCs w:val="22"/>
          <w:lang w:val="es-BO" w:eastAsia="es-PE"/>
        </w:rPr>
        <w:t>I</w:t>
      </w:r>
      <w:r w:rsidR="007F5B5E">
        <w:rPr>
          <w:rFonts w:ascii="Arial" w:eastAsia="Calibri" w:hAnsi="Arial" w:cs="Arial"/>
          <w:sz w:val="22"/>
          <w:szCs w:val="22"/>
          <w:lang w:val="es-BO" w:eastAsia="es-PE"/>
        </w:rPr>
        <w:t xml:space="preserve">nstituciones de </w:t>
      </w:r>
      <w:r w:rsidR="007F5B5E" w:rsidRPr="008E6F56">
        <w:rPr>
          <w:rFonts w:ascii="Arial" w:eastAsia="Calibri" w:hAnsi="Arial" w:cs="Arial"/>
          <w:sz w:val="22"/>
          <w:szCs w:val="22"/>
          <w:lang w:val="es-BO" w:eastAsia="es-PE"/>
        </w:rPr>
        <w:t>C</w:t>
      </w:r>
      <w:r w:rsidR="007F5B5E">
        <w:rPr>
          <w:rFonts w:ascii="Arial" w:eastAsia="Calibri" w:hAnsi="Arial" w:cs="Arial"/>
          <w:sz w:val="22"/>
          <w:szCs w:val="22"/>
          <w:lang w:val="es-BO" w:eastAsia="es-PE"/>
        </w:rPr>
        <w:t xml:space="preserve">rédito </w:t>
      </w:r>
      <w:r w:rsidR="007F5B5E" w:rsidRPr="008E6F56">
        <w:rPr>
          <w:rFonts w:ascii="Arial" w:eastAsia="Calibri" w:hAnsi="Arial" w:cs="Arial"/>
          <w:sz w:val="22"/>
          <w:szCs w:val="22"/>
          <w:lang w:val="es-BO" w:eastAsia="es-PE"/>
        </w:rPr>
        <w:t>P</w:t>
      </w:r>
      <w:r w:rsidR="007F5B5E">
        <w:rPr>
          <w:rFonts w:ascii="Arial" w:eastAsia="Calibri" w:hAnsi="Arial" w:cs="Arial"/>
          <w:sz w:val="22"/>
          <w:szCs w:val="22"/>
          <w:lang w:val="es-BO" w:eastAsia="es-PE"/>
        </w:rPr>
        <w:t>úblicas</w:t>
      </w:r>
      <w:r w:rsidR="007F5B5E" w:rsidRPr="008E6F56">
        <w:rPr>
          <w:rFonts w:ascii="Arial" w:eastAsia="Calibri" w:hAnsi="Arial" w:cs="Arial"/>
          <w:sz w:val="22"/>
          <w:szCs w:val="22"/>
          <w:lang w:val="es-BO" w:eastAsia="es-PE"/>
        </w:rPr>
        <w:t xml:space="preserve"> </w:t>
      </w:r>
      <w:r w:rsidR="004F3B89" w:rsidRPr="00247859">
        <w:rPr>
          <w:rFonts w:ascii="Arial" w:eastAsia="Calibri" w:hAnsi="Arial" w:cs="Arial"/>
          <w:sz w:val="22"/>
          <w:szCs w:val="22"/>
          <w:lang w:val="es-BO" w:eastAsia="es-PE"/>
        </w:rPr>
        <w:t xml:space="preserve">como </w:t>
      </w:r>
      <w:r w:rsidR="004F3B89" w:rsidRPr="00247859">
        <w:rPr>
          <w:rFonts w:ascii="Arial" w:hAnsi="Arial" w:cs="Arial"/>
          <w:sz w:val="22"/>
          <w:szCs w:val="22"/>
          <w:lang w:val="es-BO"/>
        </w:rPr>
        <w:t xml:space="preserve">BANDESAL y el FSV. </w:t>
      </w:r>
      <w:r w:rsidR="00CB0E0F" w:rsidRPr="00247859">
        <w:rPr>
          <w:rFonts w:ascii="Arial" w:hAnsi="Arial" w:cs="Arial"/>
          <w:sz w:val="22"/>
          <w:szCs w:val="22"/>
          <w:lang w:val="es-BO"/>
        </w:rPr>
        <w:t xml:space="preserve">La CCLIP </w:t>
      </w:r>
      <w:r w:rsidR="00CB0E0F">
        <w:rPr>
          <w:rFonts w:ascii="Arial" w:hAnsi="Arial" w:cs="Arial"/>
          <w:sz w:val="22"/>
          <w:szCs w:val="22"/>
          <w:lang w:val="es-BO"/>
        </w:rPr>
        <w:t>contribuirá a</w:t>
      </w:r>
      <w:r w:rsidR="00CB0E0F" w:rsidRPr="00247859">
        <w:rPr>
          <w:rFonts w:ascii="Arial" w:hAnsi="Arial" w:cs="Arial"/>
          <w:sz w:val="22"/>
          <w:szCs w:val="22"/>
          <w:lang w:val="es-BO"/>
        </w:rPr>
        <w:t xml:space="preserve">l </w:t>
      </w:r>
      <w:r w:rsidR="00CB0E0F" w:rsidRPr="00247859">
        <w:rPr>
          <w:rFonts w:ascii="Arial" w:eastAsia="Calibri" w:hAnsi="Arial" w:cs="Arial"/>
          <w:sz w:val="22"/>
          <w:szCs w:val="22"/>
          <w:lang w:val="es-BO" w:eastAsia="es-PE"/>
        </w:rPr>
        <w:t>di</w:t>
      </w:r>
      <w:r w:rsidR="00CB0E0F">
        <w:rPr>
          <w:rFonts w:ascii="Arial" w:eastAsia="Calibri" w:hAnsi="Arial" w:cs="Arial"/>
          <w:sz w:val="22"/>
          <w:szCs w:val="22"/>
          <w:lang w:val="es-BO" w:eastAsia="es-PE"/>
        </w:rPr>
        <w:t>á</w:t>
      </w:r>
      <w:r w:rsidR="00CB0E0F" w:rsidRPr="00247859">
        <w:rPr>
          <w:rFonts w:ascii="Arial" w:eastAsia="Calibri" w:hAnsi="Arial" w:cs="Arial"/>
          <w:sz w:val="22"/>
          <w:szCs w:val="22"/>
          <w:lang w:val="es-BO" w:eastAsia="es-PE"/>
        </w:rPr>
        <w:t xml:space="preserve">logo permanente </w:t>
      </w:r>
      <w:r w:rsidR="00CB0E0F">
        <w:rPr>
          <w:rFonts w:ascii="Arial" w:eastAsia="Calibri" w:hAnsi="Arial" w:cs="Arial"/>
          <w:sz w:val="22"/>
          <w:szCs w:val="22"/>
          <w:lang w:val="es-BO" w:eastAsia="es-PE"/>
        </w:rPr>
        <w:t xml:space="preserve">del </w:t>
      </w:r>
      <w:r w:rsidR="00C54C81">
        <w:rPr>
          <w:rFonts w:ascii="Arial" w:eastAsia="Calibri" w:hAnsi="Arial" w:cs="Arial"/>
          <w:sz w:val="22"/>
          <w:szCs w:val="22"/>
          <w:lang w:val="es-BO" w:eastAsia="es-PE"/>
        </w:rPr>
        <w:t>g</w:t>
      </w:r>
      <w:r w:rsidR="00CB0E0F">
        <w:rPr>
          <w:rFonts w:ascii="Arial" w:eastAsia="Calibri" w:hAnsi="Arial" w:cs="Arial"/>
          <w:sz w:val="22"/>
          <w:szCs w:val="22"/>
          <w:lang w:val="es-BO" w:eastAsia="es-PE"/>
        </w:rPr>
        <w:t>obierno y actores clave con el Banco en</w:t>
      </w:r>
      <w:r w:rsidR="00CB0E0F" w:rsidRPr="00247859">
        <w:rPr>
          <w:rFonts w:ascii="Arial" w:eastAsia="Calibri" w:hAnsi="Arial" w:cs="Arial"/>
          <w:sz w:val="22"/>
          <w:szCs w:val="22"/>
          <w:lang w:val="es-BO" w:eastAsia="es-PE"/>
        </w:rPr>
        <w:t xml:space="preserve"> el sistema financiero</w:t>
      </w:r>
      <w:r w:rsidR="00CB0E0F">
        <w:rPr>
          <w:rFonts w:ascii="Arial" w:eastAsia="Calibri" w:hAnsi="Arial" w:cs="Arial"/>
          <w:sz w:val="22"/>
          <w:szCs w:val="22"/>
          <w:lang w:val="es-BO" w:eastAsia="es-PE"/>
        </w:rPr>
        <w:t>, especialmente de las áreas de financiamiento a la MIPYME y hogares de bajos ingresos</w:t>
      </w:r>
      <w:r w:rsidR="00CB0E0F" w:rsidRPr="00247859">
        <w:rPr>
          <w:rFonts w:ascii="Arial" w:eastAsia="Calibri" w:hAnsi="Arial" w:cs="Arial"/>
          <w:sz w:val="22"/>
          <w:szCs w:val="22"/>
          <w:lang w:val="es-BO" w:eastAsia="es-PE"/>
        </w:rPr>
        <w:t xml:space="preserve">, y proveerá de recursos de largo plazo </w:t>
      </w:r>
      <w:r w:rsidR="00CB0E0F" w:rsidRPr="00247859">
        <w:rPr>
          <w:rFonts w:ascii="Arial" w:hAnsi="Arial" w:cs="Arial"/>
          <w:sz w:val="22"/>
          <w:szCs w:val="22"/>
          <w:lang w:val="es-BO"/>
        </w:rPr>
        <w:t xml:space="preserve">para que BANDESAL y el FSV provean soluciones financieras adaptadas </w:t>
      </w:r>
      <w:r w:rsidR="00CB0E0F">
        <w:rPr>
          <w:rFonts w:ascii="Arial" w:hAnsi="Arial" w:cs="Arial"/>
          <w:sz w:val="22"/>
          <w:szCs w:val="22"/>
          <w:lang w:val="es-BO"/>
        </w:rPr>
        <w:t>en sus sectores de trabajo.</w:t>
      </w:r>
    </w:p>
    <w:p w14:paraId="03F2F0A4" w14:textId="6120EFB4" w:rsidR="004F3B89" w:rsidRPr="009841D0" w:rsidRDefault="006B47D6" w:rsidP="00C54C81">
      <w:pPr>
        <w:pStyle w:val="Paragraph"/>
        <w:numPr>
          <w:ilvl w:val="1"/>
          <w:numId w:val="4"/>
        </w:numPr>
        <w:tabs>
          <w:tab w:val="left" w:pos="0"/>
        </w:tabs>
        <w:spacing w:after="0"/>
        <w:ind w:left="720" w:hanging="720"/>
        <w:rPr>
          <w:rFonts w:ascii="Arial" w:eastAsia="Calibri" w:hAnsi="Arial"/>
          <w:b/>
          <w:sz w:val="22"/>
          <w:lang w:val="es-BO"/>
        </w:rPr>
      </w:pPr>
      <w:r w:rsidRPr="006B47D6">
        <w:rPr>
          <w:rFonts w:ascii="Arial" w:eastAsia="Calibri" w:hAnsi="Arial" w:cs="Arial"/>
          <w:b/>
          <w:bCs/>
          <w:sz w:val="22"/>
          <w:szCs w:val="22"/>
          <w:lang w:val="es-BO" w:eastAsia="es-PE"/>
        </w:rPr>
        <w:t>Primer Programa de Acceso al Crédito para la Recuperación de la Micro, Pequeña y Mediana Empresa</w:t>
      </w:r>
      <w:r w:rsidRPr="00E069C0">
        <w:rPr>
          <w:rFonts w:ascii="Arial" w:eastAsia="Calibri" w:hAnsi="Arial" w:cs="Arial"/>
          <w:b/>
          <w:bCs/>
          <w:sz w:val="22"/>
          <w:szCs w:val="22"/>
          <w:lang w:val="es-BO" w:eastAsia="es-PE"/>
        </w:rPr>
        <w:t>.</w:t>
      </w:r>
      <w:r>
        <w:rPr>
          <w:rFonts w:ascii="Arial" w:eastAsia="Calibri" w:hAnsi="Arial" w:cs="Arial"/>
          <w:sz w:val="22"/>
          <w:szCs w:val="22"/>
          <w:lang w:val="es-BO" w:eastAsia="es-PE"/>
        </w:rPr>
        <w:t xml:space="preserve"> </w:t>
      </w:r>
      <w:r w:rsidR="004F3B89">
        <w:rPr>
          <w:rFonts w:ascii="Arial" w:eastAsia="Calibri" w:hAnsi="Arial" w:cs="Arial"/>
          <w:sz w:val="22"/>
          <w:szCs w:val="22"/>
          <w:lang w:val="es-BO" w:eastAsia="es-PE"/>
        </w:rPr>
        <w:t>Por solicitud del Gobierno de El Salvador, e</w:t>
      </w:r>
      <w:r w:rsidR="004F3B89" w:rsidRPr="00051751">
        <w:rPr>
          <w:rFonts w:ascii="Arial" w:eastAsia="Calibri" w:hAnsi="Arial" w:cs="Arial"/>
          <w:sz w:val="22"/>
          <w:szCs w:val="22"/>
          <w:lang w:val="es-BO" w:eastAsia="es-PE"/>
        </w:rPr>
        <w:t>l primer programa de la CCLIP será</w:t>
      </w:r>
      <w:r w:rsidR="004F3B89">
        <w:rPr>
          <w:rFonts w:ascii="Arial" w:eastAsia="Calibri" w:hAnsi="Arial" w:cs="Arial"/>
          <w:sz w:val="22"/>
          <w:szCs w:val="22"/>
          <w:lang w:val="es-BO" w:eastAsia="es-PE"/>
        </w:rPr>
        <w:t xml:space="preserve"> ejecutado por BANDESAL como parte de su estrategia de </w:t>
      </w:r>
      <w:r w:rsidR="004F3B89" w:rsidRPr="009841D0">
        <w:rPr>
          <w:rFonts w:ascii="Arial" w:eastAsia="Calibri" w:hAnsi="Arial" w:cs="Arial"/>
          <w:sz w:val="22"/>
          <w:szCs w:val="22"/>
          <w:lang w:val="es-BO" w:eastAsia="es-PE"/>
        </w:rPr>
        <w:t xml:space="preserve">intervención contra cíclica en una fase de recesión económica donde las </w:t>
      </w:r>
      <w:r w:rsidR="004F3B89" w:rsidRPr="00C54C81">
        <w:rPr>
          <w:rFonts w:ascii="Arial" w:eastAsia="Arial" w:hAnsi="Arial"/>
          <w:sz w:val="22"/>
          <w:lang w:val="es-ES"/>
        </w:rPr>
        <w:t>MIPYME</w:t>
      </w:r>
      <w:r w:rsidR="004F3B89" w:rsidRPr="009841D0">
        <w:rPr>
          <w:rFonts w:ascii="Arial" w:eastAsia="Calibri" w:hAnsi="Arial" w:cs="Arial"/>
          <w:sz w:val="22"/>
          <w:szCs w:val="22"/>
          <w:lang w:val="es-BO" w:eastAsia="es-PE"/>
        </w:rPr>
        <w:t xml:space="preserve"> podrían encontrar restricciones de acceso a crédito adecuado para recuperación. El programa proveerá de recursos financieros a BANDESAL en un contexto de difícil acceso a fuentes de financiamiento externo</w:t>
      </w:r>
      <w:r w:rsidR="004F3B89">
        <w:rPr>
          <w:rStyle w:val="FootnoteReference"/>
          <w:rFonts w:ascii="Arial" w:eastAsia="Calibri" w:hAnsi="Arial" w:cs="Arial"/>
          <w:sz w:val="22"/>
          <w:szCs w:val="22"/>
          <w:lang w:eastAsia="es-PE"/>
        </w:rPr>
        <w:footnoteReference w:id="38"/>
      </w:r>
      <w:r w:rsidR="004F3B89" w:rsidRPr="009841D0">
        <w:rPr>
          <w:rFonts w:ascii="Arial" w:eastAsia="Calibri" w:hAnsi="Arial" w:cs="Arial"/>
          <w:sz w:val="22"/>
          <w:szCs w:val="22"/>
          <w:lang w:val="es-BO" w:eastAsia="es-PE"/>
        </w:rPr>
        <w:t xml:space="preserve">. BANDESAL canalizará los recursos desde el segundo piso a través de las IFI, quienes a su vez proveerán créditos a las MIPYME para </w:t>
      </w:r>
      <w:r w:rsidR="004F3B89" w:rsidRPr="003173E9">
        <w:rPr>
          <w:rFonts w:ascii="Arial" w:eastAsia="Calibri" w:hAnsi="Arial" w:cs="Arial"/>
          <w:sz w:val="22"/>
          <w:szCs w:val="22"/>
          <w:lang w:val="es-BO" w:eastAsia="es-PE"/>
        </w:rPr>
        <w:t>capital de trabajo</w:t>
      </w:r>
      <w:r w:rsidR="004F3B89">
        <w:rPr>
          <w:rFonts w:ascii="Arial" w:eastAsia="Calibri" w:hAnsi="Arial" w:cs="Arial"/>
          <w:sz w:val="22"/>
          <w:szCs w:val="22"/>
          <w:lang w:val="es-BO" w:eastAsia="es-PE"/>
        </w:rPr>
        <w:t xml:space="preserve"> e</w:t>
      </w:r>
      <w:r w:rsidR="004F3B89" w:rsidRPr="003173E9">
        <w:rPr>
          <w:rFonts w:ascii="Arial" w:eastAsia="Calibri" w:hAnsi="Arial" w:cs="Arial"/>
          <w:sz w:val="22"/>
          <w:szCs w:val="22"/>
          <w:lang w:val="es-BO" w:eastAsia="es-PE"/>
        </w:rPr>
        <w:t xml:space="preserve"> inversión en activos fijos</w:t>
      </w:r>
      <w:r w:rsidR="004F3B89">
        <w:rPr>
          <w:rFonts w:ascii="Arial" w:eastAsia="Calibri" w:hAnsi="Arial" w:cs="Arial"/>
          <w:sz w:val="22"/>
          <w:szCs w:val="22"/>
          <w:lang w:val="es-BO" w:eastAsia="es-PE"/>
        </w:rPr>
        <w:t xml:space="preserve">. </w:t>
      </w:r>
    </w:p>
    <w:p w14:paraId="76428D1F" w14:textId="221635C4" w:rsidR="00E926E2" w:rsidRPr="004F3B89" w:rsidRDefault="00145881" w:rsidP="00C54C81">
      <w:pPr>
        <w:pStyle w:val="Paragraph"/>
        <w:numPr>
          <w:ilvl w:val="1"/>
          <w:numId w:val="4"/>
        </w:numPr>
        <w:tabs>
          <w:tab w:val="left" w:pos="0"/>
        </w:tabs>
        <w:spacing w:after="0"/>
        <w:ind w:left="720" w:hanging="720"/>
        <w:rPr>
          <w:rFonts w:ascii="Arial" w:hAnsi="Arial" w:cs="Arial"/>
          <w:sz w:val="22"/>
          <w:szCs w:val="22"/>
          <w:lang w:val="es-ES_tradnl"/>
        </w:rPr>
      </w:pPr>
      <w:r w:rsidRPr="00D406FF">
        <w:rPr>
          <w:rFonts w:ascii="Arial" w:hAnsi="Arial" w:cs="Arial"/>
          <w:b/>
          <w:bCs/>
          <w:sz w:val="22"/>
          <w:szCs w:val="22"/>
          <w:lang w:val="es-ES_tradnl"/>
        </w:rPr>
        <w:t>Objetivos del programa.</w:t>
      </w:r>
      <w:r w:rsidRPr="004F3B89">
        <w:rPr>
          <w:rFonts w:ascii="Arial" w:hAnsi="Arial" w:cs="Arial"/>
          <w:sz w:val="22"/>
          <w:szCs w:val="22"/>
          <w:lang w:val="es-ES_tradnl"/>
        </w:rPr>
        <w:t xml:space="preserve"> </w:t>
      </w:r>
      <w:r w:rsidR="00F71FD0" w:rsidRPr="004F3B89">
        <w:rPr>
          <w:rFonts w:ascii="Arial" w:eastAsia="Arial" w:hAnsi="Arial" w:cs="Arial"/>
          <w:sz w:val="22"/>
          <w:szCs w:val="22"/>
          <w:lang w:val="es-ES"/>
        </w:rPr>
        <w:t xml:space="preserve">El objetivo general del primer </w:t>
      </w:r>
      <w:r w:rsidR="00916C17" w:rsidRPr="004F3B89">
        <w:rPr>
          <w:rFonts w:ascii="Arial" w:eastAsia="Arial" w:hAnsi="Arial" w:cs="Arial"/>
          <w:sz w:val="22"/>
          <w:szCs w:val="22"/>
          <w:lang w:val="es-ES"/>
        </w:rPr>
        <w:t>p</w:t>
      </w:r>
      <w:r w:rsidR="00F71FD0" w:rsidRPr="004F3B89">
        <w:rPr>
          <w:rFonts w:ascii="Arial" w:eastAsia="Arial" w:hAnsi="Arial" w:cs="Arial"/>
          <w:sz w:val="22"/>
          <w:szCs w:val="22"/>
          <w:lang w:val="es-ES"/>
        </w:rPr>
        <w:t>rograma bajo la CCLIP es apoyar la sostenibilidad de las MIPYME en El Salvador</w:t>
      </w:r>
      <w:r w:rsidR="00633DE9" w:rsidRPr="004F3B89">
        <w:rPr>
          <w:rFonts w:ascii="Arial" w:eastAsia="Arial" w:hAnsi="Arial" w:cs="Arial"/>
          <w:sz w:val="22"/>
          <w:szCs w:val="22"/>
          <w:lang w:val="es-ES"/>
        </w:rPr>
        <w:t>,</w:t>
      </w:r>
      <w:r w:rsidR="00F71FD0" w:rsidRPr="004F3B89">
        <w:rPr>
          <w:rFonts w:ascii="Arial" w:eastAsia="Arial" w:hAnsi="Arial" w:cs="Arial"/>
          <w:sz w:val="22"/>
          <w:szCs w:val="22"/>
          <w:lang w:val="es-ES"/>
        </w:rPr>
        <w:t xml:space="preserve"> a través del financiamiento de las líneas de segundo piso de BANDESAL. El objetivo específico del programa es promover la recuperación económica de las MIPYME </w:t>
      </w:r>
      <w:r w:rsidR="00F71FD0" w:rsidRPr="004F3B89">
        <w:rPr>
          <w:rFonts w:ascii="Arial" w:eastAsia="Arial" w:hAnsi="Arial" w:cs="Arial"/>
          <w:sz w:val="22"/>
          <w:szCs w:val="22"/>
          <w:lang w:val="es-ES"/>
        </w:rPr>
        <w:lastRenderedPageBreak/>
        <w:t xml:space="preserve">salvadoreñas a </w:t>
      </w:r>
      <w:r w:rsidR="00F71FD0" w:rsidRPr="004F3B89">
        <w:rPr>
          <w:rFonts w:ascii="Arial" w:eastAsia="Calibri" w:hAnsi="Arial" w:cs="Arial"/>
          <w:sz w:val="22"/>
          <w:szCs w:val="22"/>
          <w:lang w:val="es-BO" w:eastAsia="es-PE"/>
        </w:rPr>
        <w:t>través</w:t>
      </w:r>
      <w:r w:rsidR="00F71FD0" w:rsidRPr="004F3B89">
        <w:rPr>
          <w:rFonts w:ascii="Arial" w:eastAsia="Arial" w:hAnsi="Arial" w:cs="Arial"/>
          <w:sz w:val="22"/>
          <w:szCs w:val="22"/>
          <w:lang w:val="es-ES"/>
        </w:rPr>
        <w:t xml:space="preserve"> del acceso a crédito productivo para capital de trabajo e inversiones en activo fijo. </w:t>
      </w:r>
    </w:p>
    <w:p w14:paraId="7E4BFC8D" w14:textId="46DBB884" w:rsidR="006B47D6" w:rsidRPr="00873B13" w:rsidRDefault="006B47D6" w:rsidP="00C54C81">
      <w:pPr>
        <w:pStyle w:val="Paragraph"/>
        <w:numPr>
          <w:ilvl w:val="1"/>
          <w:numId w:val="4"/>
        </w:numPr>
        <w:tabs>
          <w:tab w:val="left" w:pos="0"/>
        </w:tabs>
        <w:spacing w:after="0"/>
        <w:ind w:left="720" w:hanging="720"/>
        <w:rPr>
          <w:rFonts w:ascii="Arial" w:hAnsi="Arial" w:cs="Arial"/>
          <w:sz w:val="22"/>
          <w:szCs w:val="22"/>
          <w:lang w:val="es-ES_tradnl"/>
        </w:rPr>
      </w:pPr>
      <w:r w:rsidRPr="00873B13">
        <w:rPr>
          <w:rFonts w:ascii="Arial" w:hAnsi="Arial" w:cs="Arial"/>
          <w:sz w:val="22"/>
          <w:szCs w:val="22"/>
          <w:lang w:val="es-ES"/>
        </w:rPr>
        <w:t xml:space="preserve">El monto del programa será de US$200 millones, tendrá un periodo de </w:t>
      </w:r>
      <w:r w:rsidRPr="009841D0">
        <w:rPr>
          <w:rFonts w:ascii="Arial" w:eastAsia="Arial" w:hAnsi="Arial" w:cs="Arial"/>
          <w:sz w:val="22"/>
          <w:szCs w:val="22"/>
          <w:lang w:val="es-ES"/>
        </w:rPr>
        <w:t>desembolso</w:t>
      </w:r>
      <w:r w:rsidRPr="00873B13">
        <w:rPr>
          <w:rFonts w:ascii="Arial" w:hAnsi="Arial" w:cs="Arial"/>
          <w:sz w:val="22"/>
          <w:szCs w:val="22"/>
          <w:lang w:val="es-ES"/>
        </w:rPr>
        <w:t xml:space="preserve"> de cuatro años, y contará con un componente único.</w:t>
      </w:r>
    </w:p>
    <w:p w14:paraId="7B426F71" w14:textId="4798C39A" w:rsidR="006657D9" w:rsidRPr="006657D9" w:rsidRDefault="006B47D6" w:rsidP="00C54C81">
      <w:pPr>
        <w:pStyle w:val="Paragraph"/>
        <w:numPr>
          <w:ilvl w:val="1"/>
          <w:numId w:val="4"/>
        </w:numPr>
        <w:tabs>
          <w:tab w:val="left" w:pos="0"/>
        </w:tabs>
        <w:spacing w:after="0"/>
        <w:ind w:left="720" w:hanging="720"/>
        <w:rPr>
          <w:rFonts w:ascii="Arial" w:hAnsi="Arial" w:cs="Arial"/>
          <w:sz w:val="22"/>
          <w:szCs w:val="22"/>
          <w:lang w:val="es-ES"/>
        </w:rPr>
      </w:pPr>
      <w:r w:rsidRPr="00503915">
        <w:rPr>
          <w:rFonts w:ascii="Arial" w:eastAsia="Calibri" w:hAnsi="Arial"/>
          <w:b/>
          <w:sz w:val="22"/>
          <w:lang w:val="es-BO"/>
        </w:rPr>
        <w:t>Componente</w:t>
      </w:r>
      <w:r w:rsidRPr="00503915">
        <w:rPr>
          <w:rFonts w:ascii="Arial" w:hAnsi="Arial"/>
          <w:b/>
          <w:sz w:val="22"/>
          <w:lang w:val="es-ES"/>
        </w:rPr>
        <w:t xml:space="preserve"> único</w:t>
      </w:r>
      <w:r w:rsidR="00C342B0" w:rsidRPr="00503915">
        <w:rPr>
          <w:rFonts w:ascii="Arial" w:hAnsi="Arial"/>
          <w:b/>
          <w:sz w:val="22"/>
          <w:lang w:val="es-ES"/>
        </w:rPr>
        <w:t xml:space="preserve">: </w:t>
      </w:r>
      <w:r w:rsidRPr="00503915">
        <w:rPr>
          <w:rFonts w:ascii="Arial" w:hAnsi="Arial"/>
          <w:b/>
          <w:sz w:val="22"/>
          <w:lang w:val="es-ES"/>
        </w:rPr>
        <w:t>Crédito productivo</w:t>
      </w:r>
      <w:r w:rsidRPr="00503915">
        <w:rPr>
          <w:rFonts w:ascii="Arial" w:hAnsi="Arial"/>
          <w:sz w:val="22"/>
          <w:lang w:val="es-ES"/>
        </w:rPr>
        <w:t xml:space="preserve"> </w:t>
      </w:r>
      <w:r w:rsidR="00C342B0" w:rsidRPr="00503915">
        <w:rPr>
          <w:rFonts w:ascii="Arial" w:hAnsi="Arial"/>
          <w:b/>
          <w:sz w:val="22"/>
          <w:lang w:val="es-ES"/>
        </w:rPr>
        <w:t>(US$200.000.000).</w:t>
      </w:r>
      <w:r w:rsidR="00C342B0" w:rsidRPr="00503915">
        <w:rPr>
          <w:rFonts w:ascii="Arial" w:hAnsi="Arial"/>
          <w:sz w:val="22"/>
          <w:lang w:val="es-ES"/>
        </w:rPr>
        <w:t xml:space="preserve"> </w:t>
      </w:r>
      <w:bookmarkStart w:id="5" w:name="_Hlk40626018"/>
      <w:r w:rsidR="00C94A29" w:rsidRPr="00503915">
        <w:rPr>
          <w:rFonts w:ascii="Arial" w:hAnsi="Arial" w:cs="Arial"/>
          <w:sz w:val="22"/>
          <w:szCs w:val="22"/>
          <w:lang w:val="es-BO"/>
        </w:rPr>
        <w:t>Las IFI que accedan a las líneas de segundo piso de BANDESAL colocarán los recursos de este componente en forma de subpréstamos a las MIPYME. Los subpréstamos podrán financiar capital de trabajo e inversiones en activo fijo de mediano y largo plazo que incrementen la operatividad del negocio de las MIPYME y, por lo tanto, promuevan sus actividades productivas y su recuperación</w:t>
      </w:r>
      <w:r w:rsidR="00C94A29">
        <w:rPr>
          <w:rStyle w:val="FootnoteReference"/>
          <w:rFonts w:ascii="Arial" w:hAnsi="Arial" w:cs="Arial"/>
          <w:sz w:val="22"/>
          <w:szCs w:val="22"/>
        </w:rPr>
        <w:footnoteReference w:id="39"/>
      </w:r>
      <w:r w:rsidR="00C94A29" w:rsidRPr="00503915">
        <w:rPr>
          <w:rFonts w:ascii="Arial" w:hAnsi="Arial" w:cs="Arial"/>
          <w:sz w:val="22"/>
          <w:szCs w:val="22"/>
          <w:lang w:val="es-BO"/>
        </w:rPr>
        <w:t xml:space="preserve">. El promedio de subpréstamo a la MIPYME oscilará en torno a US$25.000 aunque se anticipa variabilidad </w:t>
      </w:r>
      <w:r w:rsidR="00C94A29" w:rsidRPr="00C54C81">
        <w:rPr>
          <w:rFonts w:ascii="Arial" w:eastAsia="Arial" w:hAnsi="Arial"/>
          <w:sz w:val="22"/>
          <w:lang w:val="es-ES"/>
        </w:rPr>
        <w:t>según</w:t>
      </w:r>
      <w:r w:rsidR="00C94A29" w:rsidRPr="00503915">
        <w:rPr>
          <w:rFonts w:ascii="Arial" w:hAnsi="Arial" w:cs="Arial"/>
          <w:sz w:val="22"/>
          <w:szCs w:val="22"/>
          <w:lang w:val="es-BO"/>
        </w:rPr>
        <w:t xml:space="preserve"> uso en capital de trabajo e inversiones en activo fijo. Los términos y condiciones financieras serán libremente pactadas entre las IFI y las MIPYME, pero seguirán mínimamente los siguientes preceptos: </w:t>
      </w:r>
      <w:bookmarkStart w:id="6" w:name="_Hlk40627849"/>
      <w:r w:rsidR="00C94A29" w:rsidRPr="00503915">
        <w:rPr>
          <w:rFonts w:ascii="Arial" w:hAnsi="Arial" w:cs="Arial"/>
          <w:sz w:val="22"/>
          <w:szCs w:val="22"/>
          <w:lang w:val="es-BO"/>
        </w:rPr>
        <w:t>(i) tasas de interés económicamente rentables; (</w:t>
      </w:r>
      <w:proofErr w:type="spellStart"/>
      <w:r w:rsidR="00C94A29" w:rsidRPr="00503915">
        <w:rPr>
          <w:rFonts w:ascii="Arial" w:hAnsi="Arial" w:cs="Arial"/>
          <w:sz w:val="22"/>
          <w:szCs w:val="22"/>
          <w:lang w:val="es-BO"/>
        </w:rPr>
        <w:t>ii</w:t>
      </w:r>
      <w:proofErr w:type="spellEnd"/>
      <w:r w:rsidR="00C94A29" w:rsidRPr="00503915">
        <w:rPr>
          <w:rFonts w:ascii="Arial" w:hAnsi="Arial" w:cs="Arial"/>
          <w:sz w:val="22"/>
          <w:szCs w:val="22"/>
          <w:lang w:val="es-BO"/>
        </w:rPr>
        <w:t>) plazos de 12 o más meses, y (</w:t>
      </w:r>
      <w:proofErr w:type="spellStart"/>
      <w:r w:rsidR="00C94A29" w:rsidRPr="00503915">
        <w:rPr>
          <w:rFonts w:ascii="Arial" w:hAnsi="Arial" w:cs="Arial"/>
          <w:sz w:val="22"/>
          <w:szCs w:val="22"/>
          <w:lang w:val="es-BO"/>
        </w:rPr>
        <w:t>iii</w:t>
      </w:r>
      <w:proofErr w:type="spellEnd"/>
      <w:r w:rsidR="00C94A29" w:rsidRPr="00503915">
        <w:rPr>
          <w:rFonts w:ascii="Arial" w:hAnsi="Arial" w:cs="Arial"/>
          <w:sz w:val="22"/>
          <w:szCs w:val="22"/>
          <w:lang w:val="es-BO"/>
        </w:rPr>
        <w:t>) un grado de transferencia del beneficio del periodo de gracia</w:t>
      </w:r>
      <w:bookmarkEnd w:id="6"/>
      <w:r w:rsidR="00C94A29" w:rsidRPr="00503915">
        <w:rPr>
          <w:rFonts w:ascii="Arial" w:hAnsi="Arial" w:cs="Arial"/>
          <w:sz w:val="22"/>
          <w:szCs w:val="22"/>
          <w:lang w:val="es-BO"/>
        </w:rPr>
        <w:t>. El RC incorporará mayores detalles sobre los términos y condiciones, incluyendo opciones de readecuación, reprogramación</w:t>
      </w:r>
      <w:r w:rsidR="008C3D0F">
        <w:rPr>
          <w:rFonts w:ascii="Arial" w:hAnsi="Arial" w:cs="Arial"/>
          <w:sz w:val="22"/>
          <w:szCs w:val="22"/>
          <w:lang w:val="es-BO"/>
        </w:rPr>
        <w:t>,</w:t>
      </w:r>
      <w:r w:rsidR="00C94A29" w:rsidRPr="00503915">
        <w:rPr>
          <w:rFonts w:ascii="Arial" w:hAnsi="Arial" w:cs="Arial"/>
          <w:sz w:val="22"/>
          <w:szCs w:val="22"/>
          <w:lang w:val="es-BO"/>
        </w:rPr>
        <w:t xml:space="preserve"> refinanciamiento</w:t>
      </w:r>
      <w:r w:rsidR="008C3D0F">
        <w:rPr>
          <w:rFonts w:ascii="Arial" w:hAnsi="Arial" w:cs="Arial"/>
          <w:sz w:val="22"/>
          <w:szCs w:val="22"/>
          <w:lang w:val="es-BO"/>
        </w:rPr>
        <w:t xml:space="preserve"> y consolidación</w:t>
      </w:r>
      <w:r w:rsidR="00C94A29" w:rsidRPr="00503915">
        <w:rPr>
          <w:rFonts w:ascii="Arial" w:hAnsi="Arial" w:cs="Arial"/>
          <w:sz w:val="22"/>
          <w:szCs w:val="22"/>
          <w:lang w:val="es-BO"/>
        </w:rPr>
        <w:t xml:space="preserve"> de subpréstamos siempre que cumplan con criterios de factibilidad legal y técnica.</w:t>
      </w:r>
      <w:bookmarkEnd w:id="5"/>
      <w:r w:rsidR="00C94A29" w:rsidRPr="00503915">
        <w:rPr>
          <w:rFonts w:ascii="Arial" w:hAnsi="Arial" w:cs="Arial"/>
          <w:sz w:val="22"/>
          <w:szCs w:val="22"/>
          <w:lang w:val="es-BO"/>
        </w:rPr>
        <w:t xml:space="preserve">  </w:t>
      </w:r>
    </w:p>
    <w:p w14:paraId="3CEAAB2B" w14:textId="4F69CC7A" w:rsidR="00145881" w:rsidRPr="001F731F" w:rsidRDefault="00145881" w:rsidP="00C54C81">
      <w:pPr>
        <w:pStyle w:val="Paragraph"/>
        <w:numPr>
          <w:ilvl w:val="1"/>
          <w:numId w:val="4"/>
        </w:numPr>
        <w:tabs>
          <w:tab w:val="left" w:pos="0"/>
        </w:tabs>
        <w:spacing w:after="0"/>
        <w:ind w:left="720" w:hanging="720"/>
        <w:rPr>
          <w:rFonts w:ascii="Arial" w:hAnsi="Arial" w:cs="Arial"/>
          <w:sz w:val="22"/>
          <w:szCs w:val="22"/>
          <w:lang w:val="es-ES_tradnl"/>
        </w:rPr>
      </w:pPr>
      <w:r>
        <w:rPr>
          <w:rFonts w:ascii="Arial" w:hAnsi="Arial" w:cs="Arial"/>
          <w:sz w:val="22"/>
          <w:szCs w:val="22"/>
          <w:lang w:val="es-ES"/>
        </w:rPr>
        <w:t xml:space="preserve">El </w:t>
      </w:r>
      <w:r w:rsidRPr="009841D0">
        <w:rPr>
          <w:rFonts w:ascii="Arial" w:eastAsia="Arial" w:hAnsi="Arial" w:cs="Arial"/>
          <w:sz w:val="22"/>
          <w:szCs w:val="22"/>
          <w:lang w:val="es-ES"/>
        </w:rPr>
        <w:t>programa</w:t>
      </w:r>
      <w:r>
        <w:rPr>
          <w:rFonts w:ascii="Arial" w:hAnsi="Arial" w:cs="Arial"/>
          <w:sz w:val="22"/>
          <w:szCs w:val="22"/>
          <w:lang w:val="es-ES"/>
        </w:rPr>
        <w:t xml:space="preserve"> busca beneficiar a una población de </w:t>
      </w:r>
      <w:r w:rsidR="006B47D6">
        <w:rPr>
          <w:rFonts w:ascii="Arial" w:hAnsi="Arial" w:cs="Arial"/>
          <w:sz w:val="22"/>
          <w:szCs w:val="22"/>
          <w:lang w:val="es-ES"/>
        </w:rPr>
        <w:t>más de 8</w:t>
      </w:r>
      <w:r w:rsidR="001E1BB5">
        <w:rPr>
          <w:rFonts w:ascii="Arial" w:hAnsi="Arial" w:cs="Arial"/>
          <w:sz w:val="22"/>
          <w:szCs w:val="22"/>
          <w:lang w:val="es-ES"/>
        </w:rPr>
        <w:t>.282</w:t>
      </w:r>
      <w:r>
        <w:rPr>
          <w:rFonts w:ascii="Arial" w:hAnsi="Arial" w:cs="Arial"/>
          <w:sz w:val="22"/>
          <w:szCs w:val="22"/>
          <w:lang w:val="es-ES"/>
        </w:rPr>
        <w:t xml:space="preserve"> MIPYMES </w:t>
      </w:r>
      <w:r w:rsidR="00C44CFB">
        <w:rPr>
          <w:rFonts w:ascii="Arial" w:hAnsi="Arial" w:cs="Arial"/>
          <w:sz w:val="22"/>
          <w:szCs w:val="22"/>
          <w:lang w:val="es-ES"/>
        </w:rPr>
        <w:t xml:space="preserve">de todos los sectores de la </w:t>
      </w:r>
      <w:r w:rsidR="005778B3">
        <w:rPr>
          <w:rFonts w:ascii="Arial" w:hAnsi="Arial" w:cs="Arial"/>
          <w:sz w:val="22"/>
          <w:szCs w:val="22"/>
          <w:lang w:val="es-ES"/>
        </w:rPr>
        <w:t>economía</w:t>
      </w:r>
      <w:r>
        <w:rPr>
          <w:rFonts w:ascii="Arial" w:hAnsi="Arial" w:cs="Arial"/>
          <w:sz w:val="22"/>
          <w:szCs w:val="22"/>
          <w:lang w:val="es-ES"/>
        </w:rPr>
        <w:t>.</w:t>
      </w:r>
    </w:p>
    <w:bookmarkEnd w:id="0"/>
    <w:p w14:paraId="539947A2" w14:textId="16CE4911" w:rsidR="001E2557" w:rsidRPr="001E2557" w:rsidRDefault="00145881" w:rsidP="00C54C81">
      <w:pPr>
        <w:pStyle w:val="Paragraph"/>
        <w:numPr>
          <w:ilvl w:val="1"/>
          <w:numId w:val="4"/>
        </w:numPr>
        <w:tabs>
          <w:tab w:val="left" w:pos="0"/>
        </w:tabs>
        <w:spacing w:after="0"/>
        <w:ind w:left="720" w:hanging="720"/>
        <w:rPr>
          <w:rFonts w:ascii="Arial" w:hAnsi="Arial" w:cs="Arial"/>
          <w:sz w:val="22"/>
          <w:szCs w:val="22"/>
          <w:lang w:val="es-ES_tradnl"/>
        </w:rPr>
      </w:pPr>
      <w:r w:rsidRPr="001E2557">
        <w:rPr>
          <w:rFonts w:ascii="Arial" w:hAnsi="Arial" w:cs="Arial"/>
          <w:b/>
          <w:bCs/>
          <w:sz w:val="22"/>
          <w:szCs w:val="22"/>
          <w:lang w:val="es-ES_tradnl"/>
        </w:rPr>
        <w:t>Organismo ejecutor</w:t>
      </w:r>
      <w:r w:rsidRPr="00503915">
        <w:rPr>
          <w:rFonts w:ascii="Arial" w:hAnsi="Arial" w:cs="Arial"/>
          <w:b/>
          <w:bCs/>
          <w:sz w:val="22"/>
          <w:szCs w:val="22"/>
          <w:lang w:val="es-ES_tradnl"/>
        </w:rPr>
        <w:t>.</w:t>
      </w:r>
      <w:r w:rsidRPr="001E2557">
        <w:rPr>
          <w:rFonts w:ascii="Arial" w:hAnsi="Arial" w:cs="Arial"/>
          <w:sz w:val="22"/>
          <w:szCs w:val="22"/>
          <w:lang w:val="es-ES_tradnl"/>
        </w:rPr>
        <w:t xml:space="preserve"> </w:t>
      </w:r>
      <w:r w:rsidR="006B47D6" w:rsidRPr="001E2557">
        <w:rPr>
          <w:rFonts w:ascii="Arial" w:hAnsi="Arial" w:cs="Arial"/>
          <w:sz w:val="22"/>
          <w:szCs w:val="22"/>
          <w:lang w:val="es-ES"/>
        </w:rPr>
        <w:t xml:space="preserve">BANDESAL será el prestatario y </w:t>
      </w:r>
      <w:r w:rsidR="00BD2962">
        <w:rPr>
          <w:rFonts w:ascii="Arial" w:hAnsi="Arial" w:cs="Arial"/>
          <w:sz w:val="22"/>
          <w:szCs w:val="22"/>
          <w:lang w:val="es-ES"/>
        </w:rPr>
        <w:t>Organismo Ejecutor (</w:t>
      </w:r>
      <w:r w:rsidR="006B47D6" w:rsidRPr="001E2557">
        <w:rPr>
          <w:rFonts w:ascii="Arial" w:hAnsi="Arial" w:cs="Arial"/>
          <w:sz w:val="22"/>
          <w:szCs w:val="22"/>
          <w:lang w:val="es-ES"/>
        </w:rPr>
        <w:t>OE</w:t>
      </w:r>
      <w:r w:rsidR="00BD2962">
        <w:rPr>
          <w:rFonts w:ascii="Arial" w:hAnsi="Arial" w:cs="Arial"/>
          <w:sz w:val="22"/>
          <w:szCs w:val="22"/>
          <w:lang w:val="es-ES"/>
        </w:rPr>
        <w:t>)</w:t>
      </w:r>
      <w:r w:rsidR="006B47D6" w:rsidRPr="001E2557">
        <w:rPr>
          <w:rFonts w:ascii="Arial" w:hAnsi="Arial" w:cs="Arial"/>
          <w:sz w:val="22"/>
          <w:szCs w:val="22"/>
          <w:lang w:val="es-ES"/>
        </w:rPr>
        <w:t xml:space="preserve"> de este primer programa con la garantía soberana de la República de El Salvador. BANDESAL es una institución de crédito pública, autónoma, para un plazo indefinido, </w:t>
      </w:r>
      <w:r w:rsidR="006B47D6" w:rsidRPr="009841D0">
        <w:rPr>
          <w:rFonts w:ascii="Arial" w:eastAsia="Arial" w:hAnsi="Arial" w:cs="Arial"/>
          <w:sz w:val="22"/>
          <w:szCs w:val="22"/>
          <w:lang w:val="es-ES"/>
        </w:rPr>
        <w:t>con</w:t>
      </w:r>
      <w:r w:rsidR="006B47D6" w:rsidRPr="001E2557">
        <w:rPr>
          <w:rFonts w:ascii="Arial" w:hAnsi="Arial" w:cs="Arial"/>
          <w:sz w:val="22"/>
          <w:szCs w:val="22"/>
          <w:lang w:val="es-ES"/>
        </w:rPr>
        <w:t xml:space="preserve"> personería jurídico y patrimonio propio. Los activos de BANDESAL a finales de 2019 llegaban a US$539 millones, financiados por US$286 millones de pasivos y US$253 millones de patrimonio. La cartera de créditos, neta de reservas de saneamiento, llegó a esa misma fecha a US$406 millones, generando utilidades por US$5,4 millones, lo que significó un rendimiento sobre activos de 1,0% y un rendimiento sobre patrimonio de 2,2%. BANDESAL es supervisado por la SSF y cumple con la normativa emitida por el BCR. En 2019, Moody’s confirmó la clasificación internacional B3 para corto plazo con perspectiva estable, y en abril de 2020, </w:t>
      </w:r>
      <w:proofErr w:type="spellStart"/>
      <w:r w:rsidR="006B47D6" w:rsidRPr="00C54C81">
        <w:rPr>
          <w:rFonts w:ascii="Arial" w:hAnsi="Arial"/>
          <w:i/>
          <w:sz w:val="22"/>
          <w:lang w:val="es-ES"/>
        </w:rPr>
        <w:t>Zumma</w:t>
      </w:r>
      <w:proofErr w:type="spellEnd"/>
      <w:r w:rsidR="006B47D6" w:rsidRPr="00C54C81">
        <w:rPr>
          <w:rFonts w:ascii="Arial" w:hAnsi="Arial"/>
          <w:i/>
          <w:sz w:val="22"/>
          <w:lang w:val="es-ES"/>
        </w:rPr>
        <w:t xml:space="preserve"> Ratings</w:t>
      </w:r>
      <w:r w:rsidR="006B47D6" w:rsidRPr="001E2557">
        <w:rPr>
          <w:rFonts w:ascii="Arial" w:hAnsi="Arial" w:cs="Arial"/>
          <w:sz w:val="22"/>
          <w:szCs w:val="22"/>
          <w:lang w:val="es-ES"/>
        </w:rPr>
        <w:t xml:space="preserve"> confirmó la calificación EAAA y perspectiva estable. </w:t>
      </w:r>
    </w:p>
    <w:p w14:paraId="11B55D93" w14:textId="7C4DE6B9" w:rsidR="00145881" w:rsidRPr="001E2557" w:rsidRDefault="00145881" w:rsidP="00C54C81">
      <w:pPr>
        <w:pStyle w:val="Paragraph"/>
        <w:numPr>
          <w:ilvl w:val="1"/>
          <w:numId w:val="4"/>
        </w:numPr>
        <w:tabs>
          <w:tab w:val="left" w:pos="0"/>
        </w:tabs>
        <w:spacing w:after="0"/>
        <w:ind w:left="720" w:hanging="720"/>
        <w:rPr>
          <w:rFonts w:ascii="Arial" w:hAnsi="Arial" w:cs="Arial"/>
          <w:sz w:val="22"/>
          <w:szCs w:val="22"/>
          <w:lang w:val="es-ES_tradnl"/>
        </w:rPr>
      </w:pPr>
      <w:r w:rsidRPr="001E2557">
        <w:rPr>
          <w:rFonts w:ascii="Arial" w:eastAsia="Arial" w:hAnsi="Arial" w:cs="Arial"/>
          <w:sz w:val="22"/>
          <w:szCs w:val="22"/>
          <w:lang w:val="es-ES"/>
        </w:rPr>
        <w:t xml:space="preserve">El OE será el responsable del mantenimiento de los sistemas de recopilación de datos y </w:t>
      </w:r>
      <w:r w:rsidRPr="0006531B">
        <w:rPr>
          <w:rFonts w:ascii="Arial" w:hAnsi="Arial" w:cs="Arial"/>
          <w:sz w:val="22"/>
          <w:szCs w:val="22"/>
          <w:lang w:val="es-ES"/>
        </w:rPr>
        <w:t>seguimiento</w:t>
      </w:r>
      <w:r w:rsidRPr="001E2557">
        <w:rPr>
          <w:rFonts w:ascii="Arial" w:eastAsia="Arial" w:hAnsi="Arial" w:cs="Arial"/>
          <w:sz w:val="22"/>
          <w:szCs w:val="22"/>
          <w:lang w:val="es-ES"/>
        </w:rPr>
        <w:t xml:space="preserve"> y evaluación de todos los subcomponentes, sobre la base del cual preparará los informes y datos que remitirán al Banco. Para efectos de la evaluación, el OE recopilará, almacenará y mantendrá consigo toda la información, indicadores y parámetros, incluyendo los planes anuales, y la evaluación final, necesarios para la elaboración del Informe de Terminación de Proyecto (PCR, por sus siglas en inglés).</w:t>
      </w:r>
    </w:p>
    <w:p w14:paraId="45EE6A94" w14:textId="66A3A827" w:rsidR="0017089C" w:rsidRPr="001E2557" w:rsidRDefault="0017089C" w:rsidP="00C54C81">
      <w:pPr>
        <w:pStyle w:val="Paragraph"/>
        <w:numPr>
          <w:ilvl w:val="1"/>
          <w:numId w:val="4"/>
        </w:numPr>
        <w:tabs>
          <w:tab w:val="left" w:pos="0"/>
        </w:tabs>
        <w:spacing w:after="0"/>
        <w:ind w:left="720" w:hanging="720"/>
        <w:rPr>
          <w:rFonts w:ascii="Arial" w:hAnsi="Arial" w:cs="Arial"/>
          <w:sz w:val="22"/>
          <w:szCs w:val="22"/>
          <w:lang w:val="es-ES_tradnl"/>
        </w:rPr>
      </w:pPr>
      <w:r>
        <w:rPr>
          <w:rFonts w:ascii="Arial" w:hAnsi="Arial" w:cs="Arial"/>
          <w:b/>
          <w:bCs/>
          <w:sz w:val="22"/>
          <w:szCs w:val="22"/>
          <w:lang w:val="es-BO"/>
        </w:rPr>
        <w:t xml:space="preserve">Organismo de enlace. </w:t>
      </w:r>
      <w:r>
        <w:rPr>
          <w:rFonts w:ascii="Arial" w:hAnsi="Arial" w:cs="Arial"/>
          <w:sz w:val="22"/>
          <w:szCs w:val="22"/>
          <w:lang w:val="es-BO"/>
        </w:rPr>
        <w:t xml:space="preserve">Por tratarse de una modalidad MM-II, la CCLIP cuenta con la </w:t>
      </w:r>
      <w:r w:rsidRPr="00BD72BE">
        <w:rPr>
          <w:rFonts w:ascii="Arial" w:hAnsi="Arial" w:cs="Arial"/>
          <w:sz w:val="22"/>
          <w:szCs w:val="22"/>
          <w:lang w:val="es-BO"/>
        </w:rPr>
        <w:t>Secretaría de Comercio e Inversiones</w:t>
      </w:r>
      <w:r>
        <w:rPr>
          <w:rFonts w:ascii="Arial" w:hAnsi="Arial" w:cs="Arial"/>
          <w:sz w:val="22"/>
          <w:szCs w:val="22"/>
          <w:lang w:val="es-BO"/>
        </w:rPr>
        <w:t xml:space="preserve"> como </w:t>
      </w:r>
      <w:r w:rsidRPr="00BD72BE">
        <w:rPr>
          <w:rFonts w:ascii="Arial" w:hAnsi="Arial" w:cs="Arial"/>
          <w:sz w:val="22"/>
          <w:szCs w:val="22"/>
          <w:lang w:val="es-BO"/>
        </w:rPr>
        <w:t xml:space="preserve">organismo de enlace </w:t>
      </w:r>
      <w:r w:rsidRPr="00C54C81">
        <w:rPr>
          <w:rFonts w:ascii="Arial" w:eastAsia="Arial" w:hAnsi="Arial"/>
          <w:sz w:val="22"/>
          <w:lang w:val="es-ES"/>
        </w:rPr>
        <w:t>designado</w:t>
      </w:r>
      <w:r w:rsidRPr="00BD72BE">
        <w:rPr>
          <w:rFonts w:ascii="Arial" w:hAnsi="Arial" w:cs="Arial"/>
          <w:sz w:val="22"/>
          <w:szCs w:val="22"/>
          <w:lang w:val="es-BO"/>
        </w:rPr>
        <w:t xml:space="preserve"> por el </w:t>
      </w:r>
      <w:r w:rsidR="00EC04AE">
        <w:rPr>
          <w:rFonts w:ascii="Arial" w:hAnsi="Arial" w:cs="Arial"/>
          <w:sz w:val="22"/>
          <w:szCs w:val="22"/>
          <w:lang w:val="es-BO"/>
        </w:rPr>
        <w:t>g</w:t>
      </w:r>
      <w:r w:rsidRPr="00BD72BE">
        <w:rPr>
          <w:rFonts w:ascii="Arial" w:hAnsi="Arial" w:cs="Arial"/>
          <w:sz w:val="22"/>
          <w:szCs w:val="22"/>
          <w:lang w:val="es-BO"/>
        </w:rPr>
        <w:t xml:space="preserve">obierno, </w:t>
      </w:r>
      <w:r>
        <w:rPr>
          <w:rFonts w:ascii="Arial" w:hAnsi="Arial" w:cs="Arial"/>
          <w:sz w:val="22"/>
          <w:szCs w:val="22"/>
          <w:lang w:val="es-BO"/>
        </w:rPr>
        <w:t xml:space="preserve">por lo que </w:t>
      </w:r>
      <w:r w:rsidR="0008631C">
        <w:rPr>
          <w:rFonts w:ascii="Arial" w:hAnsi="Arial" w:cs="Arial"/>
          <w:sz w:val="22"/>
          <w:szCs w:val="22"/>
          <w:lang w:val="es-BO"/>
        </w:rPr>
        <w:t>BANDESAL</w:t>
      </w:r>
      <w:r>
        <w:rPr>
          <w:rFonts w:ascii="Arial" w:hAnsi="Arial" w:cs="Arial"/>
          <w:sz w:val="22"/>
          <w:szCs w:val="22"/>
          <w:lang w:val="es-BO"/>
        </w:rPr>
        <w:t xml:space="preserve"> </w:t>
      </w:r>
      <w:r w:rsidRPr="00BD72BE">
        <w:rPr>
          <w:rFonts w:ascii="Arial" w:hAnsi="Arial" w:cs="Arial"/>
          <w:sz w:val="22"/>
          <w:szCs w:val="22"/>
          <w:lang w:val="es-BO"/>
        </w:rPr>
        <w:t xml:space="preserve">se reunirá al menos una vez al </w:t>
      </w:r>
      <w:r w:rsidRPr="00BD72BE">
        <w:rPr>
          <w:rFonts w:ascii="Arial" w:hAnsi="Arial" w:cs="Arial"/>
          <w:sz w:val="22"/>
          <w:szCs w:val="22"/>
          <w:lang w:val="es-BO"/>
        </w:rPr>
        <w:lastRenderedPageBreak/>
        <w:t>año</w:t>
      </w:r>
      <w:r>
        <w:rPr>
          <w:rFonts w:ascii="Arial" w:hAnsi="Arial" w:cs="Arial"/>
          <w:sz w:val="22"/>
          <w:szCs w:val="22"/>
          <w:lang w:val="es-BO"/>
        </w:rPr>
        <w:t xml:space="preserve"> con la misma</w:t>
      </w:r>
      <w:r w:rsidRPr="00BD72BE">
        <w:rPr>
          <w:rFonts w:ascii="Arial" w:hAnsi="Arial" w:cs="Arial"/>
          <w:sz w:val="22"/>
          <w:szCs w:val="22"/>
          <w:lang w:val="es-BO"/>
        </w:rPr>
        <w:t xml:space="preserve"> para observar el avance de ejecución del programa y el cumplimiento de sus metas, así como para proponer</w:t>
      </w:r>
      <w:r w:rsidRPr="00B473D5">
        <w:rPr>
          <w:rFonts w:ascii="Arial" w:hAnsi="Arial" w:cs="Arial"/>
          <w:sz w:val="22"/>
          <w:szCs w:val="22"/>
          <w:lang w:val="es-BO"/>
        </w:rPr>
        <w:t xml:space="preserve"> conjuntamente</w:t>
      </w:r>
      <w:r w:rsidRPr="00BD72BE">
        <w:rPr>
          <w:rFonts w:ascii="Arial" w:hAnsi="Arial" w:cs="Arial"/>
          <w:sz w:val="22"/>
          <w:szCs w:val="22"/>
          <w:lang w:val="es-BO"/>
        </w:rPr>
        <w:t>, de ser necesario, ajustes operativos que permitan un mejor desempeño</w:t>
      </w:r>
      <w:r w:rsidRPr="00B473D5">
        <w:rPr>
          <w:rFonts w:ascii="Arial" w:hAnsi="Arial" w:cs="Arial"/>
          <w:sz w:val="22"/>
          <w:szCs w:val="22"/>
          <w:lang w:val="es-BO"/>
        </w:rPr>
        <w:t xml:space="preserve"> de</w:t>
      </w:r>
      <w:r>
        <w:rPr>
          <w:rFonts w:ascii="Arial" w:hAnsi="Arial" w:cs="Arial"/>
          <w:sz w:val="22"/>
          <w:szCs w:val="22"/>
          <w:lang w:val="es-BO"/>
        </w:rPr>
        <w:t>l</w:t>
      </w:r>
      <w:r w:rsidRPr="00B473D5">
        <w:rPr>
          <w:rFonts w:ascii="Arial" w:hAnsi="Arial" w:cs="Arial"/>
          <w:sz w:val="22"/>
          <w:szCs w:val="22"/>
          <w:lang w:val="es-BO"/>
        </w:rPr>
        <w:t xml:space="preserve"> programa</w:t>
      </w:r>
      <w:r w:rsidRPr="00BD72BE">
        <w:rPr>
          <w:rFonts w:ascii="Arial" w:hAnsi="Arial" w:cs="Arial"/>
          <w:sz w:val="22"/>
          <w:szCs w:val="22"/>
          <w:lang w:val="es-BO"/>
        </w:rPr>
        <w:t xml:space="preserve">. </w:t>
      </w:r>
      <w:r w:rsidR="0008631C">
        <w:rPr>
          <w:rFonts w:ascii="Arial" w:hAnsi="Arial" w:cs="Arial"/>
          <w:sz w:val="22"/>
          <w:szCs w:val="22"/>
          <w:lang w:val="es-BO"/>
        </w:rPr>
        <w:t>BANDESAL</w:t>
      </w:r>
      <w:r w:rsidRPr="00B473D5">
        <w:rPr>
          <w:rFonts w:ascii="Arial" w:hAnsi="Arial" w:cs="Arial"/>
          <w:sz w:val="22"/>
          <w:szCs w:val="22"/>
          <w:lang w:val="es-BO"/>
        </w:rPr>
        <w:t xml:space="preserve"> </w:t>
      </w:r>
      <w:r w:rsidRPr="0017089C">
        <w:rPr>
          <w:rFonts w:ascii="Arial" w:hAnsi="Arial" w:cs="Arial"/>
          <w:bCs/>
          <w:sz w:val="22"/>
          <w:szCs w:val="22"/>
          <w:lang w:val="es-ES"/>
        </w:rPr>
        <w:t xml:space="preserve">enviará a la Secretaría los informes y documentos </w:t>
      </w:r>
      <w:r>
        <w:rPr>
          <w:rFonts w:ascii="Arial" w:hAnsi="Arial" w:cs="Arial"/>
          <w:bCs/>
          <w:sz w:val="22"/>
          <w:szCs w:val="22"/>
          <w:lang w:val="es-ES"/>
        </w:rPr>
        <w:t>de monitoreo del programa</w:t>
      </w:r>
      <w:r w:rsidRPr="0017089C">
        <w:rPr>
          <w:rFonts w:ascii="Arial" w:hAnsi="Arial" w:cs="Arial"/>
          <w:bCs/>
          <w:sz w:val="22"/>
          <w:szCs w:val="22"/>
          <w:lang w:val="es-ES"/>
        </w:rPr>
        <w:t xml:space="preserve"> para que ésta pueda hacer el seguimiento al programa. </w:t>
      </w:r>
      <w:r w:rsidR="0008631C">
        <w:rPr>
          <w:rFonts w:ascii="Arial" w:hAnsi="Arial" w:cs="Arial"/>
          <w:bCs/>
          <w:sz w:val="22"/>
          <w:szCs w:val="22"/>
          <w:lang w:val="es-ES"/>
        </w:rPr>
        <w:t>BANDESAL</w:t>
      </w:r>
      <w:r w:rsidRPr="0017089C">
        <w:rPr>
          <w:rFonts w:ascii="Arial" w:hAnsi="Arial" w:cs="Arial"/>
          <w:bCs/>
          <w:sz w:val="22"/>
          <w:szCs w:val="22"/>
          <w:lang w:val="es-ES"/>
        </w:rPr>
        <w:t xml:space="preserve"> y la Secretaría podrán </w:t>
      </w:r>
      <w:r w:rsidR="00564FF4">
        <w:rPr>
          <w:rFonts w:ascii="Arial" w:hAnsi="Arial" w:cs="Arial"/>
          <w:bCs/>
          <w:sz w:val="22"/>
          <w:szCs w:val="22"/>
          <w:lang w:val="es-ES"/>
        </w:rPr>
        <w:t>determinar</w:t>
      </w:r>
      <w:r w:rsidRPr="0017089C">
        <w:rPr>
          <w:rFonts w:ascii="Arial" w:hAnsi="Arial" w:cs="Arial"/>
          <w:bCs/>
          <w:sz w:val="22"/>
          <w:szCs w:val="22"/>
          <w:lang w:val="es-ES"/>
        </w:rPr>
        <w:t xml:space="preserve"> otro tipo de acuerdos adicionales de considerarlos necesarios</w:t>
      </w:r>
      <w:r>
        <w:rPr>
          <w:rFonts w:ascii="Arial" w:hAnsi="Arial" w:cs="Arial"/>
          <w:bCs/>
          <w:sz w:val="22"/>
          <w:szCs w:val="22"/>
          <w:lang w:val="es-ES"/>
        </w:rPr>
        <w:t>.</w:t>
      </w:r>
    </w:p>
    <w:p w14:paraId="75D398C8" w14:textId="77777777" w:rsidR="00145881" w:rsidRPr="001F731F" w:rsidRDefault="00145881" w:rsidP="00C54C81">
      <w:pPr>
        <w:pStyle w:val="Paragraph"/>
        <w:numPr>
          <w:ilvl w:val="1"/>
          <w:numId w:val="4"/>
        </w:numPr>
        <w:tabs>
          <w:tab w:val="left" w:pos="0"/>
        </w:tabs>
        <w:spacing w:after="0"/>
        <w:ind w:left="720" w:hanging="720"/>
        <w:rPr>
          <w:rFonts w:ascii="Arial" w:hAnsi="Arial" w:cs="Arial"/>
          <w:sz w:val="22"/>
          <w:szCs w:val="22"/>
          <w:lang w:val="es-ES_tradnl"/>
        </w:rPr>
      </w:pPr>
      <w:r w:rsidRPr="001F731F">
        <w:rPr>
          <w:rFonts w:ascii="Arial" w:hAnsi="Arial" w:cs="Arial"/>
          <w:sz w:val="22"/>
          <w:szCs w:val="22"/>
          <w:lang w:val="es-ES_tradnl"/>
        </w:rPr>
        <w:t xml:space="preserve">Como </w:t>
      </w:r>
      <w:r w:rsidRPr="0006531B">
        <w:rPr>
          <w:rFonts w:ascii="Arial" w:hAnsi="Arial" w:cs="Arial"/>
          <w:sz w:val="22"/>
          <w:szCs w:val="22"/>
          <w:lang w:val="es-ES"/>
        </w:rPr>
        <w:t>parte</w:t>
      </w:r>
      <w:r w:rsidRPr="001F731F">
        <w:rPr>
          <w:rFonts w:ascii="Arial" w:hAnsi="Arial" w:cs="Arial"/>
          <w:sz w:val="22"/>
          <w:szCs w:val="22"/>
          <w:lang w:val="es-ES_tradnl"/>
        </w:rPr>
        <w:t xml:space="preserve"> de la ejecución del programa, se han identificado los siguientes </w:t>
      </w:r>
      <w:r w:rsidRPr="00C54C81">
        <w:rPr>
          <w:rFonts w:ascii="Arial" w:eastAsia="Arial" w:hAnsi="Arial"/>
          <w:sz w:val="22"/>
          <w:lang w:val="es-ES"/>
        </w:rPr>
        <w:t>instrumentos</w:t>
      </w:r>
      <w:r w:rsidRPr="001F731F">
        <w:rPr>
          <w:rFonts w:ascii="Arial" w:hAnsi="Arial" w:cs="Arial"/>
          <w:sz w:val="22"/>
          <w:szCs w:val="22"/>
          <w:lang w:val="es-ES_tradnl"/>
        </w:rPr>
        <w:t xml:space="preserve"> de monitoreo y evaluación: </w:t>
      </w:r>
    </w:p>
    <w:p w14:paraId="51991C54" w14:textId="77777777" w:rsidR="00145881" w:rsidRPr="001F731F" w:rsidRDefault="00145881" w:rsidP="00145881">
      <w:pPr>
        <w:pStyle w:val="subpar"/>
        <w:tabs>
          <w:tab w:val="num" w:pos="1440"/>
        </w:tabs>
        <w:spacing w:before="60" w:after="60"/>
        <w:ind w:left="1440" w:hanging="450"/>
        <w:rPr>
          <w:rFonts w:ascii="Arial" w:hAnsi="Arial" w:cs="Arial"/>
          <w:sz w:val="22"/>
          <w:szCs w:val="22"/>
          <w:lang w:val="es-ES_tradnl"/>
        </w:rPr>
      </w:pPr>
      <w:r w:rsidRPr="001F731F">
        <w:rPr>
          <w:rFonts w:ascii="Arial" w:hAnsi="Arial" w:cs="Arial"/>
          <w:sz w:val="22"/>
          <w:szCs w:val="22"/>
          <w:lang w:val="es-ES_tradnl"/>
        </w:rPr>
        <w:t xml:space="preserve">Informes semestrales de seguimiento del programa en el que el OE informa al Banco el progreso en la ejecución de las actividades programadas, incluyendo el cumplimiento de objetivos previamente acordados para los indicadores de producto y resultado que se describen en la matriz de resultados que se adjunta al programa propuesto (descritos en el Cuadro 1); </w:t>
      </w:r>
    </w:p>
    <w:p w14:paraId="79E09D1A" w14:textId="77777777" w:rsidR="00145881" w:rsidRPr="001F731F" w:rsidRDefault="00145881" w:rsidP="00145881">
      <w:pPr>
        <w:pStyle w:val="subpar"/>
        <w:tabs>
          <w:tab w:val="num" w:pos="1440"/>
        </w:tabs>
        <w:spacing w:before="60" w:after="60"/>
        <w:ind w:left="1440" w:hanging="450"/>
        <w:rPr>
          <w:rFonts w:ascii="Arial" w:hAnsi="Arial" w:cs="Arial"/>
          <w:sz w:val="22"/>
          <w:szCs w:val="22"/>
          <w:lang w:val="es-ES_tradnl"/>
        </w:rPr>
      </w:pPr>
      <w:r w:rsidRPr="001F731F">
        <w:rPr>
          <w:rFonts w:ascii="Arial" w:hAnsi="Arial" w:cs="Arial"/>
          <w:sz w:val="22"/>
          <w:szCs w:val="22"/>
          <w:lang w:val="es-ES_tradnl"/>
        </w:rPr>
        <w:t>Auditorías financieras anuales del programa;</w:t>
      </w:r>
    </w:p>
    <w:p w14:paraId="38F7DF70" w14:textId="77777777" w:rsidR="00145881" w:rsidRPr="001F731F" w:rsidRDefault="00145881" w:rsidP="00145881">
      <w:pPr>
        <w:pStyle w:val="subpar"/>
        <w:tabs>
          <w:tab w:val="num" w:pos="1440"/>
        </w:tabs>
        <w:spacing w:before="60" w:after="60"/>
        <w:ind w:left="1440" w:hanging="450"/>
        <w:rPr>
          <w:rFonts w:ascii="Arial" w:hAnsi="Arial" w:cs="Arial"/>
          <w:sz w:val="22"/>
          <w:szCs w:val="22"/>
          <w:lang w:val="es-ES_tradnl"/>
        </w:rPr>
      </w:pPr>
      <w:r w:rsidRPr="001F731F">
        <w:rPr>
          <w:rFonts w:ascii="Arial" w:hAnsi="Arial" w:cs="Arial"/>
          <w:sz w:val="22"/>
          <w:szCs w:val="22"/>
          <w:lang w:val="es-ES_tradnl"/>
        </w:rPr>
        <w:t xml:space="preserve">Evaluaciones de cumplimiento de Sostenibilidad y Salvaguardas Ambientales (ESG, por sus siglas en inglés); y </w:t>
      </w:r>
    </w:p>
    <w:p w14:paraId="1843A23C" w14:textId="77777777" w:rsidR="00145881" w:rsidRDefault="00145881" w:rsidP="00145881">
      <w:pPr>
        <w:pStyle w:val="subpar"/>
        <w:tabs>
          <w:tab w:val="num" w:pos="1440"/>
        </w:tabs>
        <w:spacing w:before="60" w:after="60"/>
        <w:ind w:left="1440" w:hanging="450"/>
        <w:rPr>
          <w:rFonts w:ascii="Arial" w:hAnsi="Arial" w:cs="Arial"/>
          <w:sz w:val="22"/>
          <w:szCs w:val="22"/>
          <w:lang w:val="es-ES_tradnl"/>
        </w:rPr>
      </w:pPr>
      <w:r w:rsidRPr="001F731F">
        <w:rPr>
          <w:rFonts w:ascii="Arial" w:hAnsi="Arial" w:cs="Arial"/>
          <w:sz w:val="22"/>
          <w:szCs w:val="22"/>
          <w:lang w:val="es-ES_tradnl"/>
        </w:rPr>
        <w:t xml:space="preserve">Análisis costo-beneficio </w:t>
      </w:r>
      <w:proofErr w:type="spellStart"/>
      <w:r w:rsidRPr="001F731F">
        <w:rPr>
          <w:rFonts w:ascii="Arial" w:hAnsi="Arial" w:cs="Arial"/>
          <w:sz w:val="22"/>
          <w:szCs w:val="22"/>
          <w:lang w:val="es-ES_tradnl"/>
        </w:rPr>
        <w:t>ex-post</w:t>
      </w:r>
      <w:proofErr w:type="spellEnd"/>
      <w:r w:rsidRPr="001F731F">
        <w:rPr>
          <w:rFonts w:ascii="Arial" w:hAnsi="Arial" w:cs="Arial"/>
          <w:sz w:val="22"/>
          <w:szCs w:val="22"/>
          <w:lang w:val="es-ES_tradnl"/>
        </w:rPr>
        <w:t xml:space="preserve"> </w:t>
      </w:r>
      <w:r>
        <w:rPr>
          <w:rFonts w:ascii="Arial" w:hAnsi="Arial" w:cs="Arial"/>
          <w:sz w:val="22"/>
          <w:szCs w:val="22"/>
          <w:lang w:val="es-ES_tradnl"/>
        </w:rPr>
        <w:t>de los flujos de ingreso y egreso derivados de la intervención.</w:t>
      </w:r>
    </w:p>
    <w:p w14:paraId="75B38367" w14:textId="38FDB697" w:rsidR="00145881" w:rsidRPr="001F731F" w:rsidRDefault="00804F8D" w:rsidP="00145881">
      <w:pPr>
        <w:pStyle w:val="subpar"/>
        <w:tabs>
          <w:tab w:val="num" w:pos="1440"/>
        </w:tabs>
        <w:spacing w:before="60" w:after="60"/>
        <w:ind w:left="1440" w:hanging="450"/>
        <w:rPr>
          <w:rFonts w:ascii="Arial" w:hAnsi="Arial" w:cs="Arial"/>
          <w:sz w:val="22"/>
          <w:szCs w:val="22"/>
          <w:lang w:val="es-ES_tradnl"/>
        </w:rPr>
      </w:pPr>
      <w:r>
        <w:rPr>
          <w:rFonts w:ascii="Arial" w:hAnsi="Arial" w:cs="Arial"/>
          <w:sz w:val="22"/>
          <w:szCs w:val="22"/>
          <w:lang w:val="es-ES_tradnl"/>
        </w:rPr>
        <w:t>Evaluación de impacto.</w:t>
      </w:r>
      <w:r w:rsidR="00145881" w:rsidRPr="001F731F">
        <w:rPr>
          <w:rFonts w:ascii="Arial" w:hAnsi="Arial" w:cs="Arial"/>
          <w:sz w:val="22"/>
          <w:szCs w:val="22"/>
          <w:lang w:val="es-ES_tradnl"/>
        </w:rPr>
        <w:t xml:space="preserve"> </w:t>
      </w:r>
    </w:p>
    <w:p w14:paraId="02C4FBAF" w14:textId="3D0DA009" w:rsidR="00145881" w:rsidRDefault="00145881" w:rsidP="00C54C81">
      <w:pPr>
        <w:pStyle w:val="Paragraph"/>
        <w:numPr>
          <w:ilvl w:val="1"/>
          <w:numId w:val="4"/>
        </w:numPr>
        <w:tabs>
          <w:tab w:val="left" w:pos="0"/>
        </w:tabs>
        <w:spacing w:after="0"/>
        <w:ind w:left="720" w:hanging="720"/>
        <w:rPr>
          <w:rFonts w:ascii="Arial" w:hAnsi="Arial" w:cs="Arial"/>
          <w:sz w:val="22"/>
          <w:szCs w:val="22"/>
          <w:lang w:val="es-ES_tradnl"/>
        </w:rPr>
      </w:pPr>
      <w:r w:rsidRPr="00F40584">
        <w:rPr>
          <w:rFonts w:ascii="Arial" w:hAnsi="Arial" w:cs="Arial"/>
          <w:b/>
          <w:bCs/>
          <w:sz w:val="22"/>
          <w:szCs w:val="22"/>
          <w:lang w:val="es-ES"/>
        </w:rPr>
        <w:t>Costos de administración, evaluación y auditoría</w:t>
      </w:r>
      <w:r w:rsidRPr="00C54C81">
        <w:rPr>
          <w:rFonts w:ascii="Arial" w:hAnsi="Arial"/>
          <w:b/>
          <w:sz w:val="22"/>
          <w:lang w:val="es-ES"/>
        </w:rPr>
        <w:t xml:space="preserve">. </w:t>
      </w:r>
      <w:r w:rsidRPr="001F731F">
        <w:rPr>
          <w:rFonts w:ascii="Arial" w:hAnsi="Arial" w:cs="Arial"/>
          <w:sz w:val="22"/>
          <w:szCs w:val="22"/>
          <w:lang w:val="es-ES_tradnl"/>
        </w:rPr>
        <w:t>Los recursos del programa para apoyar la administración, promoción, monitoreo y evaluación de impacto del programa estarán a cargo de</w:t>
      </w:r>
      <w:r>
        <w:rPr>
          <w:rFonts w:ascii="Arial" w:hAnsi="Arial" w:cs="Arial"/>
          <w:sz w:val="22"/>
          <w:szCs w:val="22"/>
          <w:lang w:val="es-ES_tradnl"/>
        </w:rPr>
        <w:t>l O</w:t>
      </w:r>
      <w:r w:rsidR="000C634B">
        <w:rPr>
          <w:rFonts w:ascii="Arial" w:hAnsi="Arial" w:cs="Arial"/>
          <w:sz w:val="22"/>
          <w:szCs w:val="22"/>
          <w:lang w:val="es-ES_tradnl"/>
        </w:rPr>
        <w:t>E</w:t>
      </w:r>
      <w:r>
        <w:rPr>
          <w:rFonts w:ascii="Arial" w:hAnsi="Arial" w:cs="Arial"/>
          <w:sz w:val="22"/>
          <w:szCs w:val="22"/>
          <w:lang w:val="es-ES_tradnl"/>
        </w:rPr>
        <w:t>.</w:t>
      </w:r>
      <w:r w:rsidR="006B47D6">
        <w:rPr>
          <w:rFonts w:ascii="Arial" w:hAnsi="Arial" w:cs="Arial"/>
          <w:sz w:val="22"/>
          <w:szCs w:val="22"/>
          <w:lang w:val="es-ES_tradnl"/>
        </w:rPr>
        <w:t xml:space="preserve"> Sin embargo, cabe señalar que BANDESAL está </w:t>
      </w:r>
      <w:r w:rsidR="006B47D6" w:rsidRPr="0006531B">
        <w:rPr>
          <w:rFonts w:ascii="Arial" w:hAnsi="Arial" w:cs="Arial"/>
          <w:sz w:val="22"/>
          <w:szCs w:val="22"/>
          <w:lang w:val="es-ES"/>
        </w:rPr>
        <w:t>siendo</w:t>
      </w:r>
      <w:r w:rsidR="006B47D6">
        <w:rPr>
          <w:rFonts w:ascii="Arial" w:hAnsi="Arial" w:cs="Arial"/>
          <w:sz w:val="22"/>
          <w:szCs w:val="22"/>
          <w:lang w:val="es-ES_tradnl"/>
        </w:rPr>
        <w:t xml:space="preserve"> apoyado por recursos de Cooperación Técnica</w:t>
      </w:r>
      <w:r w:rsidR="00804F8D">
        <w:rPr>
          <w:rFonts w:ascii="Arial" w:hAnsi="Arial" w:cs="Arial"/>
          <w:sz w:val="22"/>
          <w:szCs w:val="22"/>
          <w:lang w:val="es-ES_tradnl"/>
        </w:rPr>
        <w:t xml:space="preserve"> (CT)</w:t>
      </w:r>
      <w:r w:rsidR="006B47D6">
        <w:rPr>
          <w:rFonts w:ascii="Arial" w:hAnsi="Arial" w:cs="Arial"/>
          <w:sz w:val="22"/>
          <w:szCs w:val="22"/>
          <w:lang w:val="es-ES_tradnl"/>
        </w:rPr>
        <w:t xml:space="preserve"> del Banco con el objeto </w:t>
      </w:r>
      <w:r w:rsidR="006B47D6" w:rsidRPr="00C54C81">
        <w:rPr>
          <w:rFonts w:ascii="Arial" w:eastAsia="Arial" w:hAnsi="Arial"/>
          <w:sz w:val="22"/>
          <w:lang w:val="es-ES"/>
        </w:rPr>
        <w:t>tanto</w:t>
      </w:r>
      <w:r w:rsidR="006B47D6">
        <w:rPr>
          <w:rFonts w:ascii="Arial" w:hAnsi="Arial" w:cs="Arial"/>
          <w:sz w:val="22"/>
          <w:szCs w:val="22"/>
          <w:lang w:val="es-ES_tradnl"/>
        </w:rPr>
        <w:t xml:space="preserve"> de mejorar </w:t>
      </w:r>
      <w:r w:rsidR="005E571F">
        <w:rPr>
          <w:rFonts w:ascii="Arial" w:hAnsi="Arial" w:cs="Arial"/>
          <w:sz w:val="22"/>
          <w:szCs w:val="22"/>
          <w:lang w:val="es-ES_tradnl"/>
        </w:rPr>
        <w:t>sus sistemas</w:t>
      </w:r>
      <w:r w:rsidR="006B47D6">
        <w:rPr>
          <w:rFonts w:ascii="Arial" w:hAnsi="Arial" w:cs="Arial"/>
          <w:sz w:val="22"/>
          <w:szCs w:val="22"/>
          <w:lang w:val="es-ES_tradnl"/>
        </w:rPr>
        <w:t xml:space="preserve"> de monitoreo y evaluación </w:t>
      </w:r>
      <w:r w:rsidR="005E571F">
        <w:rPr>
          <w:rFonts w:ascii="Arial" w:hAnsi="Arial" w:cs="Arial"/>
          <w:sz w:val="22"/>
          <w:szCs w:val="22"/>
          <w:lang w:val="es-ES_tradnl"/>
        </w:rPr>
        <w:noBreakHyphen/>
      </w:r>
      <w:r w:rsidR="006B47D6">
        <w:rPr>
          <w:rFonts w:ascii="Arial" w:hAnsi="Arial" w:cs="Arial"/>
          <w:sz w:val="22"/>
          <w:szCs w:val="22"/>
          <w:lang w:val="es-ES_tradnl"/>
        </w:rPr>
        <w:t>incluyendo la perspectiva de género</w:t>
      </w:r>
      <w:r w:rsidR="00804F8D">
        <w:rPr>
          <w:rFonts w:ascii="Arial" w:hAnsi="Arial" w:cs="Arial"/>
          <w:sz w:val="22"/>
          <w:szCs w:val="22"/>
          <w:lang w:val="es-ES_tradnl"/>
        </w:rPr>
        <w:t>-</w:t>
      </w:r>
      <w:r w:rsidR="006B47D6">
        <w:rPr>
          <w:rFonts w:ascii="Arial" w:hAnsi="Arial" w:cs="Arial"/>
          <w:sz w:val="22"/>
          <w:szCs w:val="22"/>
          <w:lang w:val="es-ES_tradnl"/>
        </w:rPr>
        <w:t>, como para el apoyo en la ejecución y el financiamiento, en su caso, de la evaluación de impacto del programa.</w:t>
      </w:r>
      <w:r>
        <w:rPr>
          <w:rFonts w:ascii="Arial" w:hAnsi="Arial" w:cs="Arial"/>
          <w:sz w:val="22"/>
          <w:szCs w:val="22"/>
          <w:lang w:val="es-ES_tradnl"/>
        </w:rPr>
        <w:t xml:space="preserve"> </w:t>
      </w:r>
      <w:r w:rsidR="00804F8D">
        <w:rPr>
          <w:rFonts w:ascii="Arial" w:hAnsi="Arial" w:cs="Arial"/>
          <w:sz w:val="22"/>
          <w:szCs w:val="22"/>
          <w:lang w:val="es-ES_tradnl"/>
        </w:rPr>
        <w:t xml:space="preserve">En concreto, para el apoyo en la ejecución y monitoreo y evaluación de este programa, la CT </w:t>
      </w:r>
      <w:r w:rsidR="00804F8D" w:rsidRPr="00804F8D">
        <w:rPr>
          <w:rFonts w:ascii="Arial" w:hAnsi="Arial" w:cs="Arial"/>
          <w:sz w:val="22"/>
          <w:szCs w:val="22"/>
          <w:lang w:val="es-ES_tradnl"/>
        </w:rPr>
        <w:t>ATN/OC</w:t>
      </w:r>
      <w:r w:rsidR="00005D31">
        <w:rPr>
          <w:rFonts w:ascii="Arial" w:hAnsi="Arial" w:cs="Arial"/>
          <w:sz w:val="22"/>
          <w:szCs w:val="22"/>
          <w:lang w:val="es-ES_tradnl"/>
        </w:rPr>
        <w:noBreakHyphen/>
      </w:r>
      <w:r w:rsidR="00804F8D" w:rsidRPr="00804F8D">
        <w:rPr>
          <w:rFonts w:ascii="Arial" w:hAnsi="Arial" w:cs="Arial"/>
          <w:sz w:val="22"/>
          <w:szCs w:val="22"/>
          <w:lang w:val="es-ES_tradnl"/>
        </w:rPr>
        <w:t>17746</w:t>
      </w:r>
      <w:r w:rsidR="00005D31">
        <w:rPr>
          <w:rFonts w:ascii="Arial" w:hAnsi="Arial" w:cs="Arial"/>
          <w:sz w:val="22"/>
          <w:szCs w:val="22"/>
          <w:lang w:val="es-ES_tradnl"/>
        </w:rPr>
        <w:noBreakHyphen/>
      </w:r>
      <w:r w:rsidR="00804F8D" w:rsidRPr="00804F8D">
        <w:rPr>
          <w:rFonts w:ascii="Arial" w:hAnsi="Arial" w:cs="Arial"/>
          <w:sz w:val="22"/>
          <w:szCs w:val="22"/>
          <w:lang w:val="es-ES_tradnl"/>
        </w:rPr>
        <w:t>ES fue aprobad</w:t>
      </w:r>
      <w:r w:rsidR="00804F8D">
        <w:rPr>
          <w:rFonts w:ascii="Arial" w:hAnsi="Arial" w:cs="Arial"/>
          <w:sz w:val="22"/>
          <w:szCs w:val="22"/>
          <w:lang w:val="es-ES_tradnl"/>
        </w:rPr>
        <w:t>a</w:t>
      </w:r>
      <w:r w:rsidR="00804F8D" w:rsidRPr="00804F8D">
        <w:rPr>
          <w:rFonts w:ascii="Arial" w:hAnsi="Arial" w:cs="Arial"/>
          <w:sz w:val="22"/>
          <w:szCs w:val="22"/>
          <w:lang w:val="es-ES_tradnl"/>
        </w:rPr>
        <w:t xml:space="preserve"> en 2019 por US$150.000 para apoyar la ejecución del primer programa de la CCLIP</w:t>
      </w:r>
      <w:r w:rsidR="00804F8D">
        <w:rPr>
          <w:rFonts w:ascii="Arial" w:hAnsi="Arial" w:cs="Arial"/>
          <w:sz w:val="22"/>
          <w:szCs w:val="22"/>
          <w:lang w:val="es-ES_tradnl"/>
        </w:rPr>
        <w:t>, priorizando el apoyo al</w:t>
      </w:r>
      <w:r w:rsidR="00804F8D" w:rsidRPr="00804F8D">
        <w:rPr>
          <w:rFonts w:ascii="Arial" w:hAnsi="Arial" w:cs="Arial"/>
          <w:sz w:val="22"/>
          <w:szCs w:val="22"/>
          <w:lang w:val="es-ES_tradnl"/>
        </w:rPr>
        <w:t xml:space="preserve"> diseño de un sistema monitoreo y evaluación en BANDESAL y </w:t>
      </w:r>
      <w:r w:rsidR="00804F8D">
        <w:rPr>
          <w:rFonts w:ascii="Arial" w:hAnsi="Arial" w:cs="Arial"/>
          <w:sz w:val="22"/>
          <w:szCs w:val="22"/>
          <w:lang w:val="es-ES_tradnl"/>
        </w:rPr>
        <w:t>el financiamiento de</w:t>
      </w:r>
      <w:r w:rsidR="00804F8D" w:rsidRPr="00804F8D">
        <w:rPr>
          <w:rFonts w:ascii="Arial" w:hAnsi="Arial" w:cs="Arial"/>
          <w:sz w:val="22"/>
          <w:szCs w:val="22"/>
          <w:lang w:val="es-ES_tradnl"/>
        </w:rPr>
        <w:t xml:space="preserve"> los preparativos necesarios para llevar a cabo la evaluación de impacto del programa. Además, BANDESAL recibe el apoyo por un monto de US$100.000 de la RG</w:t>
      </w:r>
      <w:r w:rsidR="00005D31">
        <w:rPr>
          <w:rFonts w:ascii="Arial" w:hAnsi="Arial" w:cs="Arial"/>
          <w:sz w:val="22"/>
          <w:szCs w:val="22"/>
          <w:lang w:val="es-ES_tradnl"/>
        </w:rPr>
        <w:noBreakHyphen/>
      </w:r>
      <w:r w:rsidR="00804F8D" w:rsidRPr="00804F8D">
        <w:rPr>
          <w:rFonts w:ascii="Arial" w:hAnsi="Arial" w:cs="Arial"/>
          <w:sz w:val="22"/>
          <w:szCs w:val="22"/>
          <w:lang w:val="es-ES_tradnl"/>
        </w:rPr>
        <w:t xml:space="preserve">T3488 </w:t>
      </w:r>
      <w:r w:rsidR="00EF1397">
        <w:rPr>
          <w:rFonts w:ascii="Arial" w:hAnsi="Arial" w:cs="Arial"/>
          <w:sz w:val="22"/>
          <w:szCs w:val="22"/>
          <w:lang w:val="es-ES_tradnl"/>
        </w:rPr>
        <w:t>(ATN</w:t>
      </w:r>
      <w:r w:rsidR="00C647EE">
        <w:rPr>
          <w:rFonts w:ascii="Arial" w:hAnsi="Arial" w:cs="Arial"/>
          <w:sz w:val="22"/>
          <w:szCs w:val="22"/>
          <w:lang w:val="es-ES_tradnl"/>
        </w:rPr>
        <w:t>/OC-17</w:t>
      </w:r>
      <w:r w:rsidR="00970D48">
        <w:rPr>
          <w:rFonts w:ascii="Arial" w:hAnsi="Arial" w:cs="Arial"/>
          <w:sz w:val="22"/>
          <w:szCs w:val="22"/>
          <w:lang w:val="es-ES_tradnl"/>
        </w:rPr>
        <w:t>575</w:t>
      </w:r>
      <w:r w:rsidR="00C647EE">
        <w:rPr>
          <w:rFonts w:ascii="Arial" w:hAnsi="Arial" w:cs="Arial"/>
          <w:sz w:val="22"/>
          <w:szCs w:val="22"/>
          <w:lang w:val="es-ES_tradnl"/>
        </w:rPr>
        <w:t xml:space="preserve">-RG) </w:t>
      </w:r>
      <w:r w:rsidR="00804F8D" w:rsidRPr="00804F8D">
        <w:rPr>
          <w:rFonts w:ascii="Arial" w:hAnsi="Arial" w:cs="Arial"/>
          <w:sz w:val="22"/>
          <w:szCs w:val="22"/>
          <w:lang w:val="es-ES_tradnl"/>
        </w:rPr>
        <w:t>de Apoyo a los Bancos Públicos de Desarrollo en el Fortalecimiento Institucional para el Uso de Herramientas Digitales y Mejora en la Supervisión y Evaluación de sus Programas; y US$10.000 de la RG-T3530 de Fortalecimiento de la Capacidad Institucional de los Bancos Nacionales de Desarrollo (BPD) Públicos para Atender a las Mujeres Emprendedoras.</w:t>
      </w:r>
    </w:p>
    <w:p w14:paraId="59F82664" w14:textId="4568EDA4" w:rsidR="00145881" w:rsidRPr="00F40584" w:rsidRDefault="00145881" w:rsidP="00C54C81">
      <w:pPr>
        <w:pStyle w:val="Paragraph"/>
        <w:numPr>
          <w:ilvl w:val="1"/>
          <w:numId w:val="4"/>
        </w:numPr>
        <w:tabs>
          <w:tab w:val="left" w:pos="0"/>
        </w:tabs>
        <w:spacing w:after="0"/>
        <w:ind w:left="720" w:hanging="720"/>
        <w:rPr>
          <w:rFonts w:ascii="Arial" w:hAnsi="Arial" w:cs="Arial"/>
          <w:sz w:val="22"/>
          <w:szCs w:val="22"/>
          <w:lang w:val="es-ES_tradnl"/>
        </w:rPr>
      </w:pPr>
      <w:r w:rsidRPr="00F40584">
        <w:rPr>
          <w:rFonts w:ascii="Arial" w:hAnsi="Arial" w:cs="Arial"/>
          <w:color w:val="000000"/>
          <w:sz w:val="22"/>
          <w:szCs w:val="22"/>
          <w:lang w:val="es-ES"/>
        </w:rPr>
        <w:t xml:space="preserve">El presente documente presenta el plan de monitoreo y evaluación del </w:t>
      </w:r>
      <w:r w:rsidR="0076222F">
        <w:rPr>
          <w:rFonts w:ascii="Arial" w:hAnsi="Arial" w:cs="Arial"/>
          <w:color w:val="000000"/>
          <w:sz w:val="22"/>
          <w:szCs w:val="22"/>
          <w:lang w:val="es-ES"/>
        </w:rPr>
        <w:t>p</w:t>
      </w:r>
      <w:r w:rsidRPr="00F40584">
        <w:rPr>
          <w:rFonts w:ascii="Arial" w:hAnsi="Arial" w:cs="Arial"/>
          <w:color w:val="000000"/>
          <w:sz w:val="22"/>
          <w:szCs w:val="22"/>
          <w:lang w:val="es-ES"/>
        </w:rPr>
        <w:t>rograma y cuenta con dos secciones, además de esta sección introductoria. La sección</w:t>
      </w:r>
      <w:r>
        <w:rPr>
          <w:rFonts w:ascii="Arial" w:hAnsi="Arial" w:cs="Arial"/>
          <w:color w:val="000000"/>
          <w:sz w:val="22"/>
          <w:szCs w:val="22"/>
          <w:lang w:val="es-ES"/>
        </w:rPr>
        <w:t xml:space="preserve"> II</w:t>
      </w:r>
      <w:r w:rsidRPr="00F40584">
        <w:rPr>
          <w:rFonts w:ascii="Arial" w:hAnsi="Arial" w:cs="Arial"/>
          <w:color w:val="000000"/>
          <w:sz w:val="22"/>
          <w:szCs w:val="22"/>
          <w:lang w:val="es-ES"/>
        </w:rPr>
        <w:t xml:space="preserve"> se </w:t>
      </w:r>
      <w:r w:rsidRPr="00C54C81">
        <w:rPr>
          <w:rFonts w:ascii="Arial" w:eastAsia="Arial" w:hAnsi="Arial"/>
          <w:sz w:val="22"/>
          <w:lang w:val="es-ES"/>
        </w:rPr>
        <w:t>refiere</w:t>
      </w:r>
      <w:r w:rsidRPr="00F40584">
        <w:rPr>
          <w:rFonts w:ascii="Arial" w:hAnsi="Arial" w:cs="Arial"/>
          <w:color w:val="000000"/>
          <w:sz w:val="22"/>
          <w:szCs w:val="22"/>
          <w:lang w:val="es-ES"/>
        </w:rPr>
        <w:t xml:space="preserve"> al monitoreo del programa, </w:t>
      </w:r>
      <w:r>
        <w:rPr>
          <w:rFonts w:ascii="Arial" w:hAnsi="Arial" w:cs="Arial"/>
          <w:color w:val="000000"/>
          <w:sz w:val="22"/>
          <w:szCs w:val="22"/>
          <w:lang w:val="es-ES"/>
        </w:rPr>
        <w:t xml:space="preserve">indicando los compromisos de información y reporte necesarios para el seguimiento del mismo y los recursos estimados a tales efectos. </w:t>
      </w:r>
      <w:r w:rsidRPr="00F40584">
        <w:rPr>
          <w:rFonts w:ascii="Arial" w:hAnsi="Arial" w:cs="Arial"/>
          <w:color w:val="000000"/>
          <w:sz w:val="22"/>
          <w:szCs w:val="22"/>
          <w:lang w:val="es-ES"/>
        </w:rPr>
        <w:t>La sección</w:t>
      </w:r>
      <w:r>
        <w:rPr>
          <w:rFonts w:ascii="Arial" w:hAnsi="Arial" w:cs="Arial"/>
          <w:color w:val="000000"/>
          <w:sz w:val="22"/>
          <w:szCs w:val="22"/>
          <w:lang w:val="es-ES"/>
        </w:rPr>
        <w:t xml:space="preserve"> III</w:t>
      </w:r>
      <w:r w:rsidRPr="00F40584">
        <w:rPr>
          <w:rFonts w:ascii="Arial" w:hAnsi="Arial" w:cs="Arial"/>
          <w:color w:val="000000"/>
          <w:sz w:val="22"/>
          <w:szCs w:val="22"/>
          <w:lang w:val="es-ES"/>
        </w:rPr>
        <w:t xml:space="preserve"> presenta la estrategia de evaluación del </w:t>
      </w:r>
      <w:r w:rsidR="00AA0AB1">
        <w:rPr>
          <w:rFonts w:ascii="Arial" w:hAnsi="Arial" w:cs="Arial"/>
          <w:color w:val="000000"/>
          <w:sz w:val="22"/>
          <w:szCs w:val="22"/>
          <w:lang w:val="es-ES"/>
        </w:rPr>
        <w:t>p</w:t>
      </w:r>
      <w:r w:rsidRPr="00F40584">
        <w:rPr>
          <w:rFonts w:ascii="Arial" w:hAnsi="Arial" w:cs="Arial"/>
          <w:color w:val="000000"/>
          <w:sz w:val="22"/>
          <w:szCs w:val="22"/>
          <w:lang w:val="es-ES"/>
        </w:rPr>
        <w:t>rograma</w:t>
      </w:r>
      <w:r>
        <w:rPr>
          <w:rFonts w:ascii="Arial" w:hAnsi="Arial" w:cs="Arial"/>
          <w:color w:val="000000"/>
          <w:sz w:val="22"/>
          <w:szCs w:val="22"/>
          <w:lang w:val="es-ES"/>
        </w:rPr>
        <w:t xml:space="preserve"> y el cronograma y presupuesto de la misma</w:t>
      </w:r>
      <w:r w:rsidRPr="00F40584">
        <w:rPr>
          <w:rFonts w:ascii="Arial" w:hAnsi="Arial" w:cs="Arial"/>
          <w:color w:val="000000"/>
          <w:sz w:val="22"/>
          <w:szCs w:val="22"/>
          <w:lang w:val="es-ES"/>
        </w:rPr>
        <w:t xml:space="preserve">. </w:t>
      </w:r>
    </w:p>
    <w:p w14:paraId="1FE59E8D" w14:textId="77777777" w:rsidR="00145881" w:rsidRPr="001F731F" w:rsidRDefault="00145881" w:rsidP="00145881">
      <w:pPr>
        <w:pStyle w:val="Chapter"/>
        <w:rPr>
          <w:rFonts w:ascii="Arial" w:hAnsi="Arial" w:cs="Arial"/>
          <w:sz w:val="22"/>
          <w:szCs w:val="22"/>
          <w:lang w:val="es-ES_tradnl"/>
        </w:rPr>
      </w:pPr>
      <w:bookmarkStart w:id="7" w:name="_Toc38880731"/>
      <w:bookmarkStart w:id="8" w:name="_Toc40530255"/>
      <w:bookmarkStart w:id="9" w:name="_Toc352756752"/>
      <w:r w:rsidRPr="001F731F">
        <w:rPr>
          <w:rFonts w:ascii="Arial" w:hAnsi="Arial" w:cs="Arial"/>
          <w:sz w:val="22"/>
          <w:szCs w:val="22"/>
          <w:lang w:val="es-ES_tradnl"/>
        </w:rPr>
        <w:lastRenderedPageBreak/>
        <w:t>Monitoreo</w:t>
      </w:r>
      <w:bookmarkEnd w:id="7"/>
      <w:bookmarkEnd w:id="8"/>
    </w:p>
    <w:p w14:paraId="470057FF" w14:textId="77777777" w:rsidR="00145881" w:rsidRPr="001F731F" w:rsidRDefault="00145881" w:rsidP="002E177E">
      <w:pPr>
        <w:pStyle w:val="Paragraph"/>
        <w:numPr>
          <w:ilvl w:val="1"/>
          <w:numId w:val="5"/>
        </w:numPr>
        <w:ind w:left="720" w:hanging="720"/>
        <w:rPr>
          <w:rFonts w:ascii="Arial" w:hAnsi="Arial" w:cs="Arial"/>
          <w:sz w:val="22"/>
          <w:szCs w:val="22"/>
          <w:lang w:val="es-ES_tradnl"/>
        </w:rPr>
      </w:pPr>
      <w:r w:rsidRPr="001F731F">
        <w:rPr>
          <w:rFonts w:ascii="Arial" w:hAnsi="Arial" w:cs="Arial"/>
          <w:sz w:val="22"/>
          <w:szCs w:val="22"/>
          <w:lang w:val="es-ES_tradnl"/>
        </w:rPr>
        <w:t xml:space="preserve">El objetivo de esta sección es describir el proceso de seguimiento que se aplicará a lo largo de la ejecución del programa para garantizar su correcto desarrollo y adecuada utilización de los recursos. </w:t>
      </w:r>
      <w:r>
        <w:rPr>
          <w:rFonts w:ascii="Arial" w:hAnsi="Arial" w:cs="Arial"/>
          <w:sz w:val="22"/>
          <w:szCs w:val="22"/>
          <w:lang w:val="es-ES_tradnl"/>
        </w:rPr>
        <w:t>El OE</w:t>
      </w:r>
      <w:r w:rsidRPr="001F731F">
        <w:rPr>
          <w:rFonts w:ascii="Arial" w:hAnsi="Arial" w:cs="Arial"/>
          <w:sz w:val="22"/>
          <w:szCs w:val="22"/>
          <w:lang w:val="es-ES_tradnl"/>
        </w:rPr>
        <w:t xml:space="preserve"> el responsable de realizar el monitoreo del programa. </w:t>
      </w:r>
    </w:p>
    <w:p w14:paraId="733CA421" w14:textId="77777777" w:rsidR="00145881" w:rsidRPr="001F731F" w:rsidRDefault="00145881" w:rsidP="00145881">
      <w:pPr>
        <w:pStyle w:val="SecHeading"/>
        <w:tabs>
          <w:tab w:val="clear" w:pos="5400"/>
          <w:tab w:val="num" w:pos="1260"/>
        </w:tabs>
        <w:ind w:hanging="4680"/>
        <w:rPr>
          <w:rFonts w:ascii="Arial" w:hAnsi="Arial" w:cs="Arial"/>
          <w:color w:val="auto"/>
          <w:sz w:val="22"/>
          <w:szCs w:val="22"/>
        </w:rPr>
      </w:pPr>
      <w:bookmarkStart w:id="10" w:name="_Toc352756753"/>
      <w:bookmarkStart w:id="11" w:name="_Toc38880732"/>
      <w:bookmarkStart w:id="12" w:name="_Toc40530256"/>
      <w:r w:rsidRPr="001F731F">
        <w:rPr>
          <w:rFonts w:ascii="Arial" w:hAnsi="Arial" w:cs="Arial"/>
          <w:color w:val="auto"/>
          <w:sz w:val="22"/>
          <w:szCs w:val="22"/>
        </w:rPr>
        <w:t>Indicadores</w:t>
      </w:r>
      <w:bookmarkEnd w:id="10"/>
      <w:bookmarkEnd w:id="11"/>
      <w:bookmarkEnd w:id="12"/>
      <w:r w:rsidRPr="001F731F">
        <w:rPr>
          <w:rFonts w:ascii="Arial" w:hAnsi="Arial" w:cs="Arial"/>
          <w:color w:val="auto"/>
          <w:sz w:val="22"/>
          <w:szCs w:val="22"/>
        </w:rPr>
        <w:t xml:space="preserve"> </w:t>
      </w:r>
    </w:p>
    <w:p w14:paraId="787185AA" w14:textId="77777777" w:rsidR="00145881" w:rsidRPr="001F731F" w:rsidRDefault="00145881" w:rsidP="002E177E">
      <w:pPr>
        <w:pStyle w:val="Paragraph"/>
        <w:numPr>
          <w:ilvl w:val="1"/>
          <w:numId w:val="5"/>
        </w:numPr>
        <w:ind w:left="720" w:hanging="720"/>
        <w:rPr>
          <w:rFonts w:ascii="Arial" w:hAnsi="Arial" w:cs="Arial"/>
          <w:sz w:val="22"/>
          <w:szCs w:val="22"/>
          <w:lang w:val="es-ES_tradnl"/>
        </w:rPr>
      </w:pPr>
      <w:r w:rsidRPr="001F731F">
        <w:rPr>
          <w:rFonts w:ascii="Arial" w:hAnsi="Arial" w:cs="Arial"/>
          <w:sz w:val="22"/>
          <w:szCs w:val="22"/>
          <w:lang w:val="es-ES_tradnl"/>
        </w:rPr>
        <w:t>Los indicadores que serán monitoreados y registrados en el Informe de Seguimiento del Proyecto (PMR</w:t>
      </w:r>
      <w:r w:rsidRPr="001F731F">
        <w:rPr>
          <w:rFonts w:ascii="Arial" w:hAnsi="Arial" w:cs="Arial"/>
          <w:sz w:val="22"/>
          <w:szCs w:val="22"/>
          <w:vertAlign w:val="superscript"/>
          <w:lang w:val="es-ES_tradnl"/>
        </w:rPr>
        <w:footnoteReference w:id="40"/>
      </w:r>
      <w:r w:rsidRPr="001F731F">
        <w:rPr>
          <w:rFonts w:ascii="Arial" w:hAnsi="Arial" w:cs="Arial"/>
          <w:sz w:val="22"/>
          <w:szCs w:val="22"/>
          <w:lang w:val="es-ES_tradnl"/>
        </w:rPr>
        <w:t>) se encuentran descritos en la Matriz de Resultados del Programa</w:t>
      </w:r>
      <w:r w:rsidRPr="001F731F">
        <w:rPr>
          <w:rFonts w:ascii="Arial" w:hAnsi="Arial" w:cs="Arial"/>
          <w:sz w:val="22"/>
          <w:szCs w:val="22"/>
          <w:vertAlign w:val="superscript"/>
          <w:lang w:val="es-ES_tradnl"/>
        </w:rPr>
        <w:footnoteReference w:id="41"/>
      </w:r>
      <w:r w:rsidRPr="001F731F">
        <w:rPr>
          <w:rFonts w:ascii="Arial" w:hAnsi="Arial" w:cs="Arial"/>
          <w:sz w:val="22"/>
          <w:szCs w:val="22"/>
          <w:lang w:val="es-ES_tradnl"/>
        </w:rPr>
        <w:t xml:space="preserve"> acordada con el OE.</w:t>
      </w:r>
    </w:p>
    <w:p w14:paraId="3621B861" w14:textId="646609FC" w:rsidR="00145881" w:rsidRDefault="00145881" w:rsidP="002E177E">
      <w:pPr>
        <w:pStyle w:val="Paragraph"/>
        <w:numPr>
          <w:ilvl w:val="1"/>
          <w:numId w:val="5"/>
        </w:numPr>
        <w:ind w:left="720" w:hanging="720"/>
        <w:rPr>
          <w:rFonts w:ascii="Arial" w:hAnsi="Arial" w:cs="Arial"/>
          <w:sz w:val="22"/>
          <w:szCs w:val="22"/>
          <w:lang w:val="es-ES_tradnl"/>
        </w:rPr>
      </w:pPr>
      <w:r w:rsidRPr="001F731F">
        <w:rPr>
          <w:rFonts w:ascii="Arial" w:hAnsi="Arial" w:cs="Arial"/>
          <w:sz w:val="22"/>
          <w:szCs w:val="22"/>
          <w:lang w:val="es-ES_tradnl"/>
        </w:rPr>
        <w:t>El monitoreo tendrá una frecuencia semestral y será actualizado en el Informe de Monitoreo y en el PMR del Programa. El Cuadro 1 muestra los indicadores que recibirán seguimiento y la frecuencia de medición.</w:t>
      </w:r>
    </w:p>
    <w:p w14:paraId="46AB3130" w14:textId="77777777" w:rsidR="00145881" w:rsidRPr="00CA6970" w:rsidRDefault="00145881" w:rsidP="00145881">
      <w:pPr>
        <w:pStyle w:val="Default"/>
        <w:spacing w:before="120" w:after="120"/>
        <w:jc w:val="center"/>
        <w:rPr>
          <w:rFonts w:ascii="Arial" w:hAnsi="Arial" w:cs="Arial"/>
          <w:b/>
          <w:color w:val="auto"/>
          <w:sz w:val="18"/>
          <w:szCs w:val="18"/>
          <w:lang w:val="es-ES_tradnl"/>
        </w:rPr>
      </w:pPr>
      <w:r w:rsidRPr="00CA6970">
        <w:rPr>
          <w:rFonts w:ascii="Arial" w:hAnsi="Arial" w:cs="Arial"/>
          <w:b/>
          <w:color w:val="auto"/>
          <w:sz w:val="18"/>
          <w:szCs w:val="18"/>
          <w:lang w:val="es-ES_tradnl"/>
        </w:rPr>
        <w:t>Cuadro 1. Indicadores de Monitoreo</w:t>
      </w:r>
    </w:p>
    <w:tbl>
      <w:tblPr>
        <w:tblW w:w="8813" w:type="dxa"/>
        <w:jc w:val="center"/>
        <w:tblCellMar>
          <w:left w:w="70" w:type="dxa"/>
          <w:right w:w="70" w:type="dxa"/>
        </w:tblCellMar>
        <w:tblLook w:val="04A0" w:firstRow="1" w:lastRow="0" w:firstColumn="1" w:lastColumn="0" w:noHBand="0" w:noVBand="1"/>
      </w:tblPr>
      <w:tblGrid>
        <w:gridCol w:w="2093"/>
        <w:gridCol w:w="1553"/>
        <w:gridCol w:w="1542"/>
        <w:gridCol w:w="3625"/>
      </w:tblGrid>
      <w:tr w:rsidR="00145881" w:rsidRPr="001F731F" w14:paraId="7021D6F1" w14:textId="77777777" w:rsidTr="00AE2DF5">
        <w:trPr>
          <w:trHeight w:val="422"/>
          <w:tblHeader/>
          <w:jc w:val="center"/>
        </w:trPr>
        <w:tc>
          <w:tcPr>
            <w:tcW w:w="2093"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308AD102" w14:textId="77777777" w:rsidR="00145881" w:rsidRPr="001F731F" w:rsidRDefault="00145881" w:rsidP="002F348C">
            <w:pPr>
              <w:spacing w:after="0" w:line="240" w:lineRule="auto"/>
              <w:jc w:val="center"/>
              <w:rPr>
                <w:rFonts w:ascii="Arial" w:eastAsia="Times New Roman" w:hAnsi="Arial" w:cs="Arial"/>
                <w:b/>
                <w:bCs/>
                <w:color w:val="000000"/>
                <w:sz w:val="20"/>
                <w:szCs w:val="18"/>
                <w:lang w:val="es-ES_tradnl" w:eastAsia="es-ES"/>
              </w:rPr>
            </w:pPr>
            <w:r w:rsidRPr="001F731F">
              <w:rPr>
                <w:rFonts w:ascii="Arial" w:eastAsia="Times New Roman" w:hAnsi="Arial" w:cs="Arial"/>
                <w:b/>
                <w:bCs/>
                <w:color w:val="000000"/>
                <w:sz w:val="20"/>
                <w:szCs w:val="18"/>
                <w:lang w:val="es-ES_tradnl" w:eastAsia="es-ES"/>
              </w:rPr>
              <w:t>Indicador</w:t>
            </w:r>
          </w:p>
        </w:tc>
        <w:tc>
          <w:tcPr>
            <w:tcW w:w="1553"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58811A02" w14:textId="77777777" w:rsidR="00145881" w:rsidRPr="001F731F" w:rsidRDefault="00145881" w:rsidP="002F348C">
            <w:pPr>
              <w:spacing w:after="0" w:line="240" w:lineRule="auto"/>
              <w:jc w:val="center"/>
              <w:rPr>
                <w:rFonts w:ascii="Arial" w:eastAsia="Times New Roman" w:hAnsi="Arial" w:cs="Arial"/>
                <w:b/>
                <w:color w:val="000000"/>
                <w:sz w:val="20"/>
                <w:szCs w:val="18"/>
                <w:lang w:val="es-ES_tradnl" w:eastAsia="es-ES"/>
              </w:rPr>
            </w:pPr>
            <w:r w:rsidRPr="001F731F">
              <w:rPr>
                <w:rFonts w:ascii="Arial" w:eastAsia="Times New Roman" w:hAnsi="Arial" w:cs="Arial"/>
                <w:b/>
                <w:color w:val="000000"/>
                <w:sz w:val="20"/>
                <w:szCs w:val="18"/>
                <w:lang w:val="es-ES_tradnl" w:eastAsia="es-ES"/>
              </w:rPr>
              <w:t>Unidad de Medida</w:t>
            </w:r>
          </w:p>
        </w:tc>
        <w:tc>
          <w:tcPr>
            <w:tcW w:w="1542"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6BCFA839" w14:textId="77777777" w:rsidR="00145881" w:rsidRPr="001F731F" w:rsidRDefault="00145881" w:rsidP="002F348C">
            <w:pPr>
              <w:spacing w:after="0" w:line="240" w:lineRule="auto"/>
              <w:jc w:val="center"/>
              <w:rPr>
                <w:rFonts w:ascii="Arial" w:eastAsia="Times New Roman" w:hAnsi="Arial" w:cs="Arial"/>
                <w:b/>
                <w:color w:val="000000"/>
                <w:sz w:val="20"/>
                <w:szCs w:val="18"/>
                <w:lang w:val="es-ES_tradnl" w:eastAsia="es-ES"/>
              </w:rPr>
            </w:pPr>
            <w:r w:rsidRPr="001F731F">
              <w:rPr>
                <w:rFonts w:ascii="Arial" w:eastAsia="Times New Roman" w:hAnsi="Arial" w:cs="Arial"/>
                <w:b/>
                <w:color w:val="000000"/>
                <w:sz w:val="20"/>
                <w:szCs w:val="18"/>
                <w:lang w:val="es-ES_tradnl" w:eastAsia="es-ES"/>
              </w:rPr>
              <w:t>Medio de Verificación</w:t>
            </w:r>
          </w:p>
        </w:tc>
        <w:tc>
          <w:tcPr>
            <w:tcW w:w="3625"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18758952" w14:textId="77777777" w:rsidR="00145881" w:rsidRPr="001F731F" w:rsidRDefault="00145881" w:rsidP="002F348C">
            <w:pPr>
              <w:spacing w:after="0" w:line="240" w:lineRule="auto"/>
              <w:jc w:val="center"/>
              <w:rPr>
                <w:rFonts w:ascii="Arial" w:eastAsia="Times New Roman" w:hAnsi="Arial" w:cs="Arial"/>
                <w:b/>
                <w:color w:val="000000"/>
                <w:sz w:val="20"/>
                <w:szCs w:val="18"/>
                <w:lang w:val="es-ES_tradnl" w:eastAsia="es-ES"/>
              </w:rPr>
            </w:pPr>
            <w:r w:rsidRPr="001F731F">
              <w:rPr>
                <w:rFonts w:ascii="Arial" w:eastAsia="Times New Roman" w:hAnsi="Arial" w:cs="Arial"/>
                <w:b/>
                <w:color w:val="000000"/>
                <w:sz w:val="20"/>
                <w:szCs w:val="18"/>
                <w:lang w:val="es-ES_tradnl" w:eastAsia="es-ES"/>
              </w:rPr>
              <w:t>Comentarios</w:t>
            </w:r>
          </w:p>
        </w:tc>
      </w:tr>
      <w:tr w:rsidR="00145881" w:rsidRPr="001F731F" w14:paraId="7568723C" w14:textId="77777777" w:rsidTr="00AE2DF5">
        <w:trPr>
          <w:trHeight w:val="233"/>
          <w:jc w:val="center"/>
        </w:trPr>
        <w:tc>
          <w:tcPr>
            <w:tcW w:w="8813" w:type="dxa"/>
            <w:gridSpan w:val="4"/>
            <w:tcBorders>
              <w:top w:val="single" w:sz="4" w:space="0" w:color="auto"/>
              <w:left w:val="single" w:sz="8" w:space="0" w:color="000000"/>
              <w:bottom w:val="single" w:sz="8" w:space="0" w:color="000000"/>
              <w:right w:val="single" w:sz="8" w:space="0" w:color="000000"/>
            </w:tcBorders>
            <w:shd w:val="clear" w:color="000000" w:fill="D9D9D9"/>
            <w:vAlign w:val="center"/>
            <w:hideMark/>
          </w:tcPr>
          <w:p w14:paraId="5D3FD8AE" w14:textId="77777777" w:rsidR="00145881" w:rsidRPr="001F731F" w:rsidRDefault="00145881" w:rsidP="002F348C">
            <w:pPr>
              <w:spacing w:after="0" w:line="240" w:lineRule="auto"/>
              <w:jc w:val="center"/>
              <w:rPr>
                <w:rFonts w:ascii="Arial" w:eastAsia="Times New Roman" w:hAnsi="Arial" w:cs="Arial"/>
                <w:b/>
                <w:bCs/>
                <w:color w:val="000000"/>
                <w:sz w:val="18"/>
                <w:szCs w:val="18"/>
                <w:lang w:val="es-ES_tradnl" w:eastAsia="es-ES"/>
              </w:rPr>
            </w:pPr>
            <w:r w:rsidRPr="001F731F">
              <w:rPr>
                <w:rFonts w:ascii="Arial" w:eastAsia="Times New Roman" w:hAnsi="Arial" w:cs="Arial"/>
                <w:b/>
                <w:bCs/>
                <w:color w:val="000000"/>
                <w:sz w:val="18"/>
                <w:szCs w:val="18"/>
                <w:lang w:val="es-ES_tradnl" w:eastAsia="es-ES"/>
              </w:rPr>
              <w:t xml:space="preserve">Indicadores de </w:t>
            </w:r>
            <w:r>
              <w:rPr>
                <w:rFonts w:ascii="Arial" w:eastAsia="Times New Roman" w:hAnsi="Arial" w:cs="Arial"/>
                <w:b/>
                <w:bCs/>
                <w:color w:val="000000"/>
                <w:sz w:val="18"/>
                <w:szCs w:val="18"/>
                <w:lang w:val="es-ES_tradnl" w:eastAsia="es-ES"/>
              </w:rPr>
              <w:t>Impacto</w:t>
            </w:r>
          </w:p>
        </w:tc>
      </w:tr>
      <w:tr w:rsidR="00145881" w:rsidRPr="00015230" w14:paraId="0D8249FE" w14:textId="77777777" w:rsidTr="00503915">
        <w:trPr>
          <w:trHeight w:val="320"/>
          <w:jc w:val="center"/>
        </w:trPr>
        <w:tc>
          <w:tcPr>
            <w:tcW w:w="8813" w:type="dxa"/>
            <w:gridSpan w:val="4"/>
            <w:tcBorders>
              <w:top w:val="single" w:sz="8" w:space="0" w:color="000000"/>
              <w:left w:val="single" w:sz="8" w:space="0" w:color="000000"/>
              <w:bottom w:val="single" w:sz="4" w:space="0" w:color="auto"/>
              <w:right w:val="single" w:sz="8" w:space="0" w:color="000000"/>
            </w:tcBorders>
            <w:shd w:val="clear" w:color="auto" w:fill="auto"/>
            <w:vAlign w:val="center"/>
            <w:hideMark/>
          </w:tcPr>
          <w:p w14:paraId="42F35EA2" w14:textId="4F813A23" w:rsidR="00145881" w:rsidRPr="001F731F" w:rsidRDefault="00145881" w:rsidP="002F348C">
            <w:pPr>
              <w:spacing w:after="0" w:line="240" w:lineRule="auto"/>
              <w:jc w:val="both"/>
              <w:rPr>
                <w:rFonts w:ascii="Arial" w:eastAsia="Times New Roman" w:hAnsi="Arial" w:cs="Arial"/>
                <w:b/>
                <w:bCs/>
                <w:color w:val="000000"/>
                <w:sz w:val="18"/>
                <w:szCs w:val="18"/>
                <w:u w:val="single"/>
                <w:lang w:val="es-ES_tradnl" w:eastAsia="es-ES"/>
              </w:rPr>
            </w:pPr>
            <w:r>
              <w:rPr>
                <w:rFonts w:ascii="Arial" w:eastAsia="Times New Roman" w:hAnsi="Arial" w:cs="Arial"/>
                <w:b/>
                <w:bCs/>
                <w:color w:val="000000"/>
                <w:sz w:val="18"/>
                <w:szCs w:val="18"/>
                <w:u w:val="single"/>
                <w:lang w:val="es-ES_tradnl" w:eastAsia="es-ES"/>
              </w:rPr>
              <w:t>Objetivo general: A</w:t>
            </w:r>
            <w:r w:rsidRPr="00F27BCF">
              <w:rPr>
                <w:rFonts w:ascii="Arial" w:eastAsia="Times New Roman" w:hAnsi="Arial" w:cs="Arial"/>
                <w:b/>
                <w:bCs/>
                <w:color w:val="000000"/>
                <w:sz w:val="18"/>
                <w:szCs w:val="18"/>
                <w:u w:val="single"/>
                <w:lang w:val="es-ES_tradnl" w:eastAsia="es-ES"/>
              </w:rPr>
              <w:t>poyar</w:t>
            </w:r>
            <w:r w:rsidR="002F4ED8">
              <w:rPr>
                <w:rFonts w:ascii="Arial" w:eastAsia="Times New Roman" w:hAnsi="Arial" w:cs="Arial"/>
                <w:b/>
                <w:bCs/>
                <w:color w:val="000000"/>
                <w:sz w:val="18"/>
                <w:szCs w:val="18"/>
                <w:u w:val="single"/>
                <w:lang w:val="es-ES_tradnl" w:eastAsia="es-ES"/>
              </w:rPr>
              <w:t xml:space="preserve"> </w:t>
            </w:r>
            <w:r w:rsidR="00741C72">
              <w:rPr>
                <w:rFonts w:ascii="Arial" w:eastAsia="Times New Roman" w:hAnsi="Arial" w:cs="Arial"/>
                <w:b/>
                <w:bCs/>
                <w:color w:val="000000"/>
                <w:sz w:val="18"/>
                <w:szCs w:val="18"/>
                <w:u w:val="single"/>
                <w:lang w:val="es-ES_tradnl" w:eastAsia="es-ES"/>
              </w:rPr>
              <w:t>la soste</w:t>
            </w:r>
            <w:r w:rsidR="00306AAE">
              <w:rPr>
                <w:rFonts w:ascii="Arial" w:eastAsia="Times New Roman" w:hAnsi="Arial" w:cs="Arial"/>
                <w:b/>
                <w:bCs/>
                <w:color w:val="000000"/>
                <w:sz w:val="18"/>
                <w:szCs w:val="18"/>
                <w:u w:val="single"/>
                <w:lang w:val="es-ES_tradnl" w:eastAsia="es-ES"/>
              </w:rPr>
              <w:t>nibilidad</w:t>
            </w:r>
            <w:r w:rsidR="002F4ED8" w:rsidRPr="002F4ED8">
              <w:rPr>
                <w:rFonts w:ascii="Arial" w:eastAsia="Times New Roman" w:hAnsi="Arial" w:cs="Arial"/>
                <w:b/>
                <w:bCs/>
                <w:color w:val="000000"/>
                <w:sz w:val="18"/>
                <w:szCs w:val="18"/>
                <w:u w:val="single"/>
                <w:lang w:val="es-ES_tradnl" w:eastAsia="es-ES"/>
              </w:rPr>
              <w:t xml:space="preserve"> de</w:t>
            </w:r>
            <w:r w:rsidR="00306AAE">
              <w:rPr>
                <w:rFonts w:ascii="Arial" w:eastAsia="Times New Roman" w:hAnsi="Arial" w:cs="Arial"/>
                <w:b/>
                <w:bCs/>
                <w:color w:val="000000"/>
                <w:sz w:val="18"/>
                <w:szCs w:val="18"/>
                <w:u w:val="single"/>
                <w:lang w:val="es-ES_tradnl" w:eastAsia="es-ES"/>
              </w:rPr>
              <w:t xml:space="preserve"> las MIPYME en El Salvador</w:t>
            </w:r>
            <w:r w:rsidR="002F4ED8" w:rsidRPr="002F4ED8">
              <w:rPr>
                <w:rFonts w:ascii="Arial" w:eastAsia="Times New Roman" w:hAnsi="Arial" w:cs="Arial"/>
                <w:b/>
                <w:bCs/>
                <w:color w:val="000000"/>
                <w:sz w:val="18"/>
                <w:szCs w:val="18"/>
                <w:u w:val="single"/>
                <w:lang w:val="es-ES_tradnl" w:eastAsia="es-ES"/>
              </w:rPr>
              <w:t>, a través del financiamiento de las líneas de segundo piso de BANDESAL</w:t>
            </w:r>
          </w:p>
        </w:tc>
      </w:tr>
      <w:tr w:rsidR="00AE638D" w:rsidRPr="00015230" w14:paraId="4481DD68" w14:textId="77777777" w:rsidTr="00AE2DF5">
        <w:trPr>
          <w:trHeight w:val="3608"/>
          <w:jc w:val="center"/>
        </w:trPr>
        <w:tc>
          <w:tcPr>
            <w:tcW w:w="2093" w:type="dxa"/>
            <w:tcBorders>
              <w:top w:val="single" w:sz="4" w:space="0" w:color="auto"/>
              <w:left w:val="single" w:sz="8" w:space="0" w:color="000000"/>
              <w:bottom w:val="single" w:sz="4" w:space="0" w:color="auto"/>
              <w:right w:val="single" w:sz="8" w:space="0" w:color="000000"/>
            </w:tcBorders>
            <w:shd w:val="clear" w:color="auto" w:fill="auto"/>
            <w:vAlign w:val="center"/>
            <w:hideMark/>
          </w:tcPr>
          <w:p w14:paraId="5A5D4048" w14:textId="316878FC" w:rsidR="00AE638D" w:rsidRPr="001F731F" w:rsidRDefault="00AE638D" w:rsidP="00AE638D">
            <w:pPr>
              <w:pStyle w:val="ListParagraph"/>
              <w:spacing w:after="120"/>
              <w:ind w:left="0"/>
              <w:jc w:val="both"/>
              <w:rPr>
                <w:rFonts w:ascii="Arial" w:hAnsi="Arial" w:cs="Arial"/>
                <w:b/>
                <w:bCs/>
                <w:color w:val="000000"/>
                <w:sz w:val="18"/>
                <w:szCs w:val="18"/>
                <w:lang w:eastAsia="es-ES"/>
              </w:rPr>
            </w:pPr>
            <w:r w:rsidRPr="00503915">
              <w:rPr>
                <w:rFonts w:ascii="Arial" w:hAnsi="Arial"/>
                <w:b/>
                <w:sz w:val="18"/>
                <w:lang w:val="es-419"/>
              </w:rPr>
              <w:t>Indicador 1:</w:t>
            </w:r>
            <w:r w:rsidRPr="00503915">
              <w:rPr>
                <w:rFonts w:ascii="Arial" w:hAnsi="Arial"/>
                <w:sz w:val="18"/>
                <w:lang w:val="es-419"/>
              </w:rPr>
              <w:t xml:space="preserve"> </w:t>
            </w:r>
            <w:r w:rsidRPr="006B462A">
              <w:rPr>
                <w:rFonts w:ascii="Arial" w:hAnsi="Arial"/>
                <w:sz w:val="18"/>
                <w:lang w:val="es-419"/>
              </w:rPr>
              <w:t xml:space="preserve">Ingreso por ventas </w:t>
            </w:r>
            <w:r w:rsidRPr="00E13ED4">
              <w:rPr>
                <w:rFonts w:ascii="Arial" w:hAnsi="Arial" w:cs="Arial"/>
                <w:bCs/>
                <w:sz w:val="18"/>
                <w:szCs w:val="18"/>
                <w:lang w:val="es-419"/>
              </w:rPr>
              <w:t xml:space="preserve">promedio </w:t>
            </w:r>
            <w:r w:rsidR="006C6FDE">
              <w:rPr>
                <w:rFonts w:ascii="Arial" w:hAnsi="Arial"/>
                <w:sz w:val="18"/>
                <w:lang w:val="es-419"/>
              </w:rPr>
              <w:t>en</w:t>
            </w:r>
            <w:r w:rsidR="006C6FDE" w:rsidRPr="006B462A">
              <w:rPr>
                <w:rFonts w:ascii="Arial" w:hAnsi="Arial"/>
                <w:sz w:val="18"/>
                <w:lang w:val="es-419"/>
              </w:rPr>
              <w:t xml:space="preserve"> </w:t>
            </w:r>
            <w:r w:rsidRPr="006B462A">
              <w:rPr>
                <w:rFonts w:ascii="Arial" w:hAnsi="Arial"/>
                <w:sz w:val="18"/>
                <w:lang w:val="es-419"/>
              </w:rPr>
              <w:t>las MIPYME apoyadas con el programa.</w:t>
            </w:r>
          </w:p>
        </w:tc>
        <w:tc>
          <w:tcPr>
            <w:tcW w:w="1553" w:type="dxa"/>
            <w:tcBorders>
              <w:top w:val="single" w:sz="4" w:space="0" w:color="auto"/>
              <w:left w:val="nil"/>
              <w:bottom w:val="single" w:sz="4" w:space="0" w:color="auto"/>
              <w:right w:val="single" w:sz="8" w:space="0" w:color="000000"/>
            </w:tcBorders>
            <w:shd w:val="clear" w:color="auto" w:fill="auto"/>
            <w:vAlign w:val="center"/>
            <w:hideMark/>
          </w:tcPr>
          <w:p w14:paraId="4677EE09" w14:textId="77777777" w:rsidR="00AE638D" w:rsidRPr="001F731F" w:rsidRDefault="00AE638D" w:rsidP="00AE638D">
            <w:pPr>
              <w:spacing w:after="0" w:line="240" w:lineRule="auto"/>
              <w:jc w:val="center"/>
              <w:rPr>
                <w:rFonts w:ascii="Arial" w:eastAsia="Times New Roman" w:hAnsi="Arial" w:cs="Arial"/>
                <w:color w:val="000000"/>
                <w:sz w:val="18"/>
                <w:szCs w:val="18"/>
                <w:lang w:val="es-ES_tradnl" w:eastAsia="es-ES"/>
              </w:rPr>
            </w:pPr>
            <w:r w:rsidRPr="00503915">
              <w:rPr>
                <w:rFonts w:ascii="Arial" w:hAnsi="Arial"/>
                <w:sz w:val="18"/>
                <w:lang w:val="es-419"/>
              </w:rPr>
              <w:t>US$</w:t>
            </w:r>
          </w:p>
        </w:tc>
        <w:tc>
          <w:tcPr>
            <w:tcW w:w="1542" w:type="dxa"/>
            <w:tcBorders>
              <w:top w:val="single" w:sz="4" w:space="0" w:color="auto"/>
              <w:left w:val="nil"/>
              <w:bottom w:val="single" w:sz="4" w:space="0" w:color="auto"/>
              <w:right w:val="single" w:sz="8" w:space="0" w:color="000000"/>
            </w:tcBorders>
            <w:shd w:val="clear" w:color="auto" w:fill="auto"/>
            <w:vAlign w:val="center"/>
            <w:hideMark/>
          </w:tcPr>
          <w:p w14:paraId="01F3ADFC" w14:textId="4DF74B22" w:rsidR="00AE638D" w:rsidRPr="001F731F" w:rsidRDefault="008E23F7" w:rsidP="00AE638D">
            <w:pPr>
              <w:spacing w:after="0" w:line="240" w:lineRule="auto"/>
              <w:jc w:val="both"/>
              <w:rPr>
                <w:rFonts w:ascii="Arial" w:eastAsia="Times New Roman" w:hAnsi="Arial" w:cs="Arial"/>
                <w:color w:val="000000"/>
                <w:sz w:val="18"/>
                <w:szCs w:val="18"/>
                <w:lang w:val="es-ES_tradnl" w:eastAsia="es-ES"/>
              </w:rPr>
            </w:pPr>
            <w:r>
              <w:rPr>
                <w:rFonts w:ascii="Arial" w:hAnsi="Arial" w:cs="Arial"/>
                <w:sz w:val="18"/>
                <w:szCs w:val="18"/>
                <w:lang w:val="es-419" w:eastAsia="zh-CN"/>
              </w:rPr>
              <w:t xml:space="preserve">Sistema de Información Gerencial (SIG) de </w:t>
            </w:r>
            <w:r w:rsidRPr="00E13ED4">
              <w:rPr>
                <w:rFonts w:ascii="Arial" w:hAnsi="Arial" w:cs="Arial"/>
                <w:sz w:val="18"/>
                <w:szCs w:val="18"/>
                <w:lang w:val="es-419" w:eastAsia="zh-CN"/>
              </w:rPr>
              <w:t xml:space="preserve"> BANDESAL </w:t>
            </w:r>
            <w:r>
              <w:rPr>
                <w:rFonts w:ascii="Arial" w:hAnsi="Arial" w:cs="Arial"/>
                <w:sz w:val="18"/>
                <w:szCs w:val="18"/>
                <w:lang w:val="es-419" w:eastAsia="zh-CN"/>
              </w:rPr>
              <w:t>robustecido con</w:t>
            </w:r>
            <w:r w:rsidRPr="00E13ED4">
              <w:rPr>
                <w:rFonts w:ascii="Arial" w:hAnsi="Arial" w:cs="Arial"/>
                <w:sz w:val="18"/>
                <w:szCs w:val="18"/>
                <w:lang w:val="es-419" w:eastAsia="zh-CN"/>
              </w:rPr>
              <w:t xml:space="preserve"> información remitida por las </w:t>
            </w:r>
            <w:r>
              <w:rPr>
                <w:rFonts w:ascii="Arial" w:hAnsi="Arial" w:cs="Arial"/>
                <w:sz w:val="18"/>
                <w:szCs w:val="18"/>
                <w:lang w:val="es-419" w:eastAsia="zh-CN"/>
              </w:rPr>
              <w:t>IFI</w:t>
            </w:r>
            <w:r w:rsidRPr="00E13ED4">
              <w:rPr>
                <w:rFonts w:ascii="Arial" w:hAnsi="Arial" w:cs="Arial"/>
                <w:sz w:val="18"/>
                <w:szCs w:val="18"/>
                <w:lang w:val="es-419" w:eastAsia="zh-CN"/>
              </w:rPr>
              <w:t>.</w:t>
            </w:r>
          </w:p>
        </w:tc>
        <w:tc>
          <w:tcPr>
            <w:tcW w:w="3625" w:type="dxa"/>
            <w:tcBorders>
              <w:top w:val="single" w:sz="4" w:space="0" w:color="auto"/>
              <w:left w:val="nil"/>
              <w:bottom w:val="single" w:sz="4" w:space="0" w:color="auto"/>
              <w:right w:val="single" w:sz="8" w:space="0" w:color="000000"/>
            </w:tcBorders>
            <w:shd w:val="clear" w:color="auto" w:fill="auto"/>
            <w:vAlign w:val="center"/>
            <w:hideMark/>
          </w:tcPr>
          <w:p w14:paraId="181A23E1" w14:textId="221532F5" w:rsidR="00AE638D" w:rsidRPr="00E13ED4" w:rsidRDefault="00AE638D" w:rsidP="00AE638D">
            <w:pPr>
              <w:spacing w:before="120" w:after="120" w:line="240" w:lineRule="auto"/>
              <w:jc w:val="both"/>
              <w:rPr>
                <w:rFonts w:ascii="Arial" w:hAnsi="Arial" w:cs="Arial"/>
                <w:sz w:val="18"/>
                <w:szCs w:val="18"/>
                <w:lang w:val="es-419" w:eastAsia="zh-CN"/>
              </w:rPr>
            </w:pPr>
            <w:r w:rsidRPr="00E13ED4">
              <w:rPr>
                <w:rFonts w:ascii="Arial" w:hAnsi="Arial" w:cs="Arial"/>
                <w:sz w:val="18"/>
                <w:szCs w:val="18"/>
                <w:lang w:val="es-419" w:eastAsia="zh-CN"/>
              </w:rPr>
              <w:t xml:space="preserve">La línea de base recoge el dato del ingreso por </w:t>
            </w:r>
            <w:r w:rsidR="00CD479F" w:rsidRPr="00E13ED4">
              <w:rPr>
                <w:rFonts w:ascii="Arial" w:hAnsi="Arial" w:cs="Arial"/>
                <w:sz w:val="18"/>
                <w:szCs w:val="18"/>
                <w:lang w:val="es-419" w:eastAsia="zh-CN"/>
              </w:rPr>
              <w:t>ventas</w:t>
            </w:r>
            <w:r w:rsidRPr="00E13ED4">
              <w:rPr>
                <w:rFonts w:ascii="Arial" w:hAnsi="Arial" w:cs="Arial"/>
                <w:sz w:val="18"/>
                <w:szCs w:val="18"/>
                <w:lang w:val="es-419" w:eastAsia="zh-CN"/>
              </w:rPr>
              <w:t xml:space="preserve"> promedio ponderado atendiendo a la distribución de la cartera por tamaño de empresa a 31 de marzo de 2020, y los correspondientes ingresos por ventas registrados. La misma metodología se utilizará para el cálculo del indicador en su seguimiento y valor meta.</w:t>
            </w:r>
          </w:p>
          <w:p w14:paraId="79C2E2C0" w14:textId="2250A81D" w:rsidR="00AE638D" w:rsidRPr="001F731F" w:rsidRDefault="00AE638D" w:rsidP="00AE638D">
            <w:pPr>
              <w:spacing w:after="0" w:line="240" w:lineRule="auto"/>
              <w:jc w:val="both"/>
              <w:rPr>
                <w:rFonts w:ascii="Arial" w:eastAsia="Times New Roman" w:hAnsi="Arial" w:cs="Arial"/>
                <w:color w:val="000000"/>
                <w:sz w:val="18"/>
                <w:szCs w:val="18"/>
                <w:lang w:val="es-ES_tradnl" w:eastAsia="es-ES"/>
              </w:rPr>
            </w:pPr>
            <w:r w:rsidRPr="00E13ED4">
              <w:rPr>
                <w:rFonts w:ascii="Arial" w:hAnsi="Arial" w:cs="Arial"/>
                <w:sz w:val="18"/>
                <w:szCs w:val="18"/>
                <w:lang w:val="es-419" w:eastAsia="zh-CN"/>
              </w:rPr>
              <w:t>Se prevé que de manera generalizada caigan los ingresos por ventas de las MIPYME salvadoreñas a consecuencia de la crisis</w:t>
            </w:r>
            <w:r>
              <w:rPr>
                <w:rFonts w:ascii="Arial" w:hAnsi="Arial" w:cs="Arial"/>
                <w:sz w:val="18"/>
                <w:szCs w:val="18"/>
                <w:lang w:val="es-419" w:eastAsia="zh-CN"/>
              </w:rPr>
              <w:t xml:space="preserve"> del COVID-19</w:t>
            </w:r>
            <w:r w:rsidRPr="00E13ED4">
              <w:rPr>
                <w:rFonts w:ascii="Arial" w:hAnsi="Arial" w:cs="Arial"/>
                <w:sz w:val="18"/>
                <w:szCs w:val="18"/>
                <w:lang w:val="es-419" w:eastAsia="zh-CN"/>
              </w:rPr>
              <w:t xml:space="preserve">; sin embargo, </w:t>
            </w:r>
            <w:r>
              <w:rPr>
                <w:rFonts w:ascii="Arial" w:hAnsi="Arial" w:cs="Arial"/>
                <w:sz w:val="18"/>
                <w:szCs w:val="18"/>
                <w:lang w:val="es-419" w:eastAsia="zh-CN"/>
              </w:rPr>
              <w:t xml:space="preserve">en un periodo de recuperación económica, </w:t>
            </w:r>
            <w:r w:rsidRPr="00E13ED4">
              <w:rPr>
                <w:rFonts w:ascii="Arial" w:hAnsi="Arial" w:cs="Arial"/>
                <w:sz w:val="18"/>
                <w:szCs w:val="18"/>
                <w:lang w:val="es-419" w:eastAsia="zh-CN"/>
              </w:rPr>
              <w:t>se espera que las MIPYME que reciban apoyo del programa puedan ver mantenido su nivel promedio de ingresos por ventas a fin del mismo</w:t>
            </w:r>
            <w:r w:rsidR="002F4ED8" w:rsidRPr="003079B9">
              <w:rPr>
                <w:rFonts w:ascii="Arial" w:hAnsi="Arial" w:cs="Arial"/>
                <w:sz w:val="18"/>
                <w:szCs w:val="18"/>
                <w:lang w:val="es-419" w:eastAsia="zh-CN"/>
              </w:rPr>
              <w:t xml:space="preserve">. </w:t>
            </w:r>
          </w:p>
        </w:tc>
      </w:tr>
      <w:tr w:rsidR="00AE638D" w:rsidRPr="00015230" w14:paraId="1BE0E4BB" w14:textId="77777777" w:rsidTr="00503915">
        <w:trPr>
          <w:trHeight w:val="1320"/>
          <w:jc w:val="center"/>
        </w:trPr>
        <w:tc>
          <w:tcPr>
            <w:tcW w:w="2093" w:type="dxa"/>
            <w:tcBorders>
              <w:top w:val="single" w:sz="4" w:space="0" w:color="auto"/>
              <w:left w:val="single" w:sz="8" w:space="0" w:color="000000"/>
              <w:bottom w:val="nil"/>
              <w:right w:val="single" w:sz="8" w:space="0" w:color="000000"/>
            </w:tcBorders>
            <w:shd w:val="clear" w:color="auto" w:fill="auto"/>
            <w:vAlign w:val="center"/>
            <w:hideMark/>
          </w:tcPr>
          <w:p w14:paraId="4517A9C9" w14:textId="230A2ECC" w:rsidR="00AE638D" w:rsidRPr="001F731F" w:rsidRDefault="00AE638D" w:rsidP="00AE638D">
            <w:pPr>
              <w:spacing w:after="0" w:line="240" w:lineRule="auto"/>
              <w:jc w:val="both"/>
              <w:rPr>
                <w:rFonts w:ascii="Arial" w:eastAsia="Times New Roman" w:hAnsi="Arial" w:cs="Arial"/>
                <w:b/>
                <w:bCs/>
                <w:color w:val="000000"/>
                <w:sz w:val="18"/>
                <w:szCs w:val="18"/>
                <w:lang w:val="es-ES_tradnl" w:eastAsia="es-ES"/>
              </w:rPr>
            </w:pPr>
            <w:r w:rsidRPr="00503915">
              <w:rPr>
                <w:rFonts w:ascii="Arial" w:hAnsi="Arial"/>
                <w:b/>
                <w:sz w:val="18"/>
                <w:lang w:val="es-419"/>
              </w:rPr>
              <w:t>Indicador 2</w:t>
            </w:r>
            <w:r w:rsidRPr="00503915">
              <w:rPr>
                <w:rFonts w:ascii="Arial" w:hAnsi="Arial"/>
                <w:sz w:val="18"/>
                <w:lang w:val="es-419"/>
              </w:rPr>
              <w:t xml:space="preserve">: </w:t>
            </w:r>
            <w:r w:rsidR="000F5B08" w:rsidRPr="006B462A">
              <w:rPr>
                <w:rFonts w:ascii="Arial" w:hAnsi="Arial"/>
                <w:sz w:val="18"/>
                <w:lang w:val="es-419"/>
              </w:rPr>
              <w:t xml:space="preserve">Porcentaje </w:t>
            </w:r>
            <w:r w:rsidR="000F5B08" w:rsidRPr="00E13ED4">
              <w:rPr>
                <w:rFonts w:ascii="Arial" w:hAnsi="Arial" w:cs="Arial"/>
                <w:sz w:val="18"/>
                <w:szCs w:val="18"/>
                <w:lang w:val="es-419"/>
              </w:rPr>
              <w:t xml:space="preserve">del empleo en las MIPYME </w:t>
            </w:r>
            <w:r w:rsidR="000F5B08">
              <w:rPr>
                <w:rFonts w:ascii="Arial" w:hAnsi="Arial" w:cs="Arial"/>
                <w:sz w:val="18"/>
                <w:szCs w:val="18"/>
                <w:lang w:val="es-419"/>
              </w:rPr>
              <w:t>de</w:t>
            </w:r>
            <w:r w:rsidR="000F5B08" w:rsidRPr="00E13ED4">
              <w:rPr>
                <w:rFonts w:ascii="Arial" w:hAnsi="Arial" w:cs="Arial"/>
                <w:sz w:val="18"/>
                <w:szCs w:val="18"/>
                <w:lang w:val="es-419"/>
              </w:rPr>
              <w:t xml:space="preserve"> las líneas apoyadas con el programa sobre el total del empleo en el país.</w:t>
            </w:r>
          </w:p>
        </w:tc>
        <w:tc>
          <w:tcPr>
            <w:tcW w:w="1553" w:type="dxa"/>
            <w:tcBorders>
              <w:top w:val="single" w:sz="4" w:space="0" w:color="auto"/>
              <w:left w:val="nil"/>
              <w:bottom w:val="nil"/>
              <w:right w:val="single" w:sz="8" w:space="0" w:color="000000"/>
            </w:tcBorders>
            <w:shd w:val="clear" w:color="auto" w:fill="auto"/>
            <w:vAlign w:val="center"/>
            <w:hideMark/>
          </w:tcPr>
          <w:p w14:paraId="37D9570A" w14:textId="77777777" w:rsidR="00AE638D" w:rsidRPr="001F731F" w:rsidRDefault="00AE638D" w:rsidP="00AE638D">
            <w:pPr>
              <w:spacing w:after="0" w:line="240" w:lineRule="auto"/>
              <w:jc w:val="center"/>
              <w:rPr>
                <w:rFonts w:ascii="Arial" w:eastAsia="Times New Roman" w:hAnsi="Arial" w:cs="Arial"/>
                <w:color w:val="000000"/>
                <w:sz w:val="18"/>
                <w:szCs w:val="18"/>
                <w:lang w:val="es-ES_tradnl" w:eastAsia="es-ES"/>
              </w:rPr>
            </w:pPr>
            <w:r w:rsidRPr="00503915">
              <w:rPr>
                <w:rFonts w:ascii="Arial" w:hAnsi="Arial"/>
                <w:sz w:val="18"/>
                <w:lang w:val="es-419"/>
              </w:rPr>
              <w:t>%</w:t>
            </w:r>
          </w:p>
        </w:tc>
        <w:tc>
          <w:tcPr>
            <w:tcW w:w="1542" w:type="dxa"/>
            <w:tcBorders>
              <w:top w:val="single" w:sz="4" w:space="0" w:color="auto"/>
              <w:left w:val="nil"/>
              <w:bottom w:val="nil"/>
              <w:right w:val="single" w:sz="8" w:space="0" w:color="000000"/>
            </w:tcBorders>
            <w:shd w:val="clear" w:color="auto" w:fill="auto"/>
            <w:vAlign w:val="center"/>
            <w:hideMark/>
          </w:tcPr>
          <w:p w14:paraId="27ECFE5D" w14:textId="3EE81CD8" w:rsidR="00AE638D" w:rsidRPr="001F731F" w:rsidRDefault="00C11AD0" w:rsidP="00AE638D">
            <w:pPr>
              <w:spacing w:after="0" w:line="240" w:lineRule="auto"/>
              <w:jc w:val="both"/>
              <w:rPr>
                <w:rFonts w:ascii="Arial" w:eastAsia="Times New Roman" w:hAnsi="Arial" w:cs="Arial"/>
                <w:color w:val="000000"/>
                <w:sz w:val="18"/>
                <w:szCs w:val="18"/>
                <w:lang w:val="es-ES_tradnl" w:eastAsia="es-ES"/>
              </w:rPr>
            </w:pPr>
            <w:r>
              <w:rPr>
                <w:rFonts w:ascii="Arial" w:hAnsi="Arial" w:cs="Arial"/>
                <w:sz w:val="18"/>
                <w:szCs w:val="18"/>
                <w:lang w:val="es-419" w:eastAsia="zh-CN"/>
              </w:rPr>
              <w:t>SIG</w:t>
            </w:r>
            <w:r w:rsidRPr="00E13ED4">
              <w:rPr>
                <w:rFonts w:ascii="Arial" w:hAnsi="Arial" w:cs="Arial"/>
                <w:sz w:val="18"/>
                <w:szCs w:val="18"/>
                <w:lang w:val="es-419" w:eastAsia="zh-CN"/>
              </w:rPr>
              <w:t xml:space="preserve"> </w:t>
            </w:r>
            <w:r>
              <w:rPr>
                <w:rFonts w:ascii="Arial" w:hAnsi="Arial" w:cs="Arial"/>
                <w:sz w:val="18"/>
                <w:szCs w:val="18"/>
                <w:lang w:val="es-419" w:eastAsia="zh-CN"/>
              </w:rPr>
              <w:t>de</w:t>
            </w:r>
            <w:r w:rsidRPr="00E13ED4">
              <w:rPr>
                <w:rFonts w:ascii="Arial" w:hAnsi="Arial" w:cs="Arial"/>
                <w:sz w:val="18"/>
                <w:szCs w:val="18"/>
                <w:lang w:val="es-419" w:eastAsia="zh-CN"/>
              </w:rPr>
              <w:t xml:space="preserve"> </w:t>
            </w:r>
            <w:r w:rsidR="00AE638D" w:rsidRPr="003079B9" w:rsidDel="007507AC">
              <w:rPr>
                <w:rFonts w:ascii="Arial" w:hAnsi="Arial" w:cs="Arial"/>
                <w:sz w:val="18"/>
                <w:szCs w:val="18"/>
                <w:lang w:val="es-419" w:eastAsia="zh-CN"/>
              </w:rPr>
              <w:t xml:space="preserve">BANDESAL </w:t>
            </w:r>
            <w:r w:rsidR="001F1F84">
              <w:rPr>
                <w:rFonts w:ascii="Arial" w:hAnsi="Arial" w:cs="Arial"/>
                <w:sz w:val="18"/>
                <w:szCs w:val="18"/>
                <w:lang w:val="es-419" w:eastAsia="zh-CN"/>
              </w:rPr>
              <w:t xml:space="preserve">robustecido con </w:t>
            </w:r>
            <w:r w:rsidR="00AE638D" w:rsidRPr="003079B9" w:rsidDel="007507AC">
              <w:rPr>
                <w:rFonts w:ascii="Arial" w:hAnsi="Arial" w:cs="Arial"/>
                <w:sz w:val="18"/>
                <w:szCs w:val="18"/>
                <w:lang w:val="es-419" w:eastAsia="zh-CN"/>
              </w:rPr>
              <w:t xml:space="preserve">información remitida por las </w:t>
            </w:r>
            <w:r w:rsidR="00CD479F">
              <w:rPr>
                <w:rFonts w:ascii="Arial" w:hAnsi="Arial" w:cs="Arial"/>
                <w:sz w:val="18"/>
                <w:szCs w:val="18"/>
                <w:lang w:val="es-419" w:eastAsia="zh-CN"/>
              </w:rPr>
              <w:t>IFI</w:t>
            </w:r>
            <w:r w:rsidR="00AE638D" w:rsidRPr="003079B9" w:rsidDel="007507AC">
              <w:rPr>
                <w:rFonts w:ascii="Arial" w:hAnsi="Arial" w:cs="Arial"/>
                <w:sz w:val="18"/>
                <w:szCs w:val="18"/>
                <w:lang w:val="es-419" w:eastAsia="zh-CN"/>
              </w:rPr>
              <w:t>; e información del Instituto Salvadoreño del Seguro Social (ISSS).</w:t>
            </w:r>
          </w:p>
        </w:tc>
        <w:tc>
          <w:tcPr>
            <w:tcW w:w="3625" w:type="dxa"/>
            <w:tcBorders>
              <w:top w:val="single" w:sz="4" w:space="0" w:color="auto"/>
              <w:left w:val="nil"/>
              <w:bottom w:val="nil"/>
              <w:right w:val="single" w:sz="8" w:space="0" w:color="000000"/>
            </w:tcBorders>
            <w:shd w:val="clear" w:color="auto" w:fill="auto"/>
            <w:vAlign w:val="center"/>
            <w:hideMark/>
          </w:tcPr>
          <w:p w14:paraId="0D67A882" w14:textId="17A6A117" w:rsidR="00CD479F" w:rsidRPr="00E13ED4" w:rsidRDefault="00CD479F" w:rsidP="00CD479F">
            <w:pPr>
              <w:spacing w:before="120" w:after="120" w:line="240" w:lineRule="auto"/>
              <w:jc w:val="both"/>
              <w:rPr>
                <w:rFonts w:ascii="Arial" w:hAnsi="Arial" w:cs="Arial"/>
                <w:sz w:val="18"/>
                <w:szCs w:val="18"/>
                <w:lang w:val="es-419" w:eastAsia="zh-CN"/>
              </w:rPr>
            </w:pPr>
            <w:r w:rsidRPr="00E13ED4">
              <w:rPr>
                <w:rFonts w:ascii="Arial" w:hAnsi="Arial" w:cs="Arial"/>
                <w:sz w:val="18"/>
                <w:szCs w:val="18"/>
                <w:lang w:val="es-419" w:eastAsia="zh-CN"/>
              </w:rPr>
              <w:t xml:space="preserve">La línea de base corresponde al empleo </w:t>
            </w:r>
            <w:r>
              <w:rPr>
                <w:rFonts w:ascii="Arial" w:hAnsi="Arial" w:cs="Arial"/>
                <w:sz w:val="18"/>
                <w:szCs w:val="18"/>
                <w:lang w:val="es-419" w:eastAsia="zh-CN"/>
              </w:rPr>
              <w:t>promedio</w:t>
            </w:r>
            <w:r w:rsidR="002F4ED8" w:rsidRPr="003079B9">
              <w:rPr>
                <w:rFonts w:ascii="Arial" w:hAnsi="Arial" w:cs="Arial"/>
                <w:sz w:val="18"/>
                <w:szCs w:val="18"/>
                <w:lang w:val="es-419" w:eastAsia="zh-CN"/>
              </w:rPr>
              <w:t xml:space="preserve"> de </w:t>
            </w:r>
            <w:r w:rsidRPr="00A94A30">
              <w:rPr>
                <w:rFonts w:ascii="Arial" w:hAnsi="Arial" w:cs="Arial"/>
                <w:sz w:val="18"/>
                <w:szCs w:val="18"/>
                <w:lang w:val="es-419" w:eastAsia="zh-CN"/>
              </w:rPr>
              <w:t>las MIPYME</w:t>
            </w:r>
            <w:r>
              <w:rPr>
                <w:rFonts w:ascii="Arial" w:hAnsi="Arial" w:cs="Arial"/>
                <w:sz w:val="18"/>
                <w:szCs w:val="18"/>
                <w:lang w:val="es-419" w:eastAsia="zh-CN"/>
              </w:rPr>
              <w:t xml:space="preserve"> que reciben recursos</w:t>
            </w:r>
            <w:r w:rsidR="002F4ED8" w:rsidRPr="003079B9">
              <w:rPr>
                <w:rFonts w:ascii="Arial" w:hAnsi="Arial" w:cs="Arial"/>
                <w:sz w:val="18"/>
                <w:szCs w:val="18"/>
                <w:lang w:val="es-419" w:eastAsia="zh-CN"/>
              </w:rPr>
              <w:t xml:space="preserve"> de BANDESAL, promediando los últimos 5 años, sobre </w:t>
            </w:r>
            <w:r w:rsidRPr="00E13ED4">
              <w:rPr>
                <w:rFonts w:ascii="Arial" w:hAnsi="Arial" w:cs="Arial"/>
                <w:sz w:val="18"/>
                <w:szCs w:val="18"/>
                <w:lang w:val="es-419" w:eastAsia="zh-CN"/>
              </w:rPr>
              <w:t>el total del empleo formal</w:t>
            </w:r>
            <w:r w:rsidR="002F4ED8" w:rsidRPr="003079B9">
              <w:rPr>
                <w:rFonts w:ascii="Arial" w:hAnsi="Arial" w:cs="Arial"/>
                <w:sz w:val="18"/>
                <w:szCs w:val="18"/>
                <w:lang w:val="es-419" w:eastAsia="zh-CN"/>
              </w:rPr>
              <w:t xml:space="preserve"> según el ISSS a diciembre 2019 (875</w:t>
            </w:r>
            <w:r w:rsidRPr="00E13ED4">
              <w:rPr>
                <w:rFonts w:ascii="Arial" w:hAnsi="Arial" w:cs="Arial"/>
                <w:sz w:val="18"/>
                <w:szCs w:val="18"/>
                <w:lang w:val="es-419" w:eastAsia="zh-CN"/>
              </w:rPr>
              <w:t>.</w:t>
            </w:r>
            <w:r w:rsidR="002F4ED8" w:rsidRPr="003079B9">
              <w:rPr>
                <w:rFonts w:ascii="Arial" w:hAnsi="Arial" w:cs="Arial"/>
                <w:sz w:val="18"/>
                <w:szCs w:val="18"/>
                <w:lang w:val="es-419" w:eastAsia="zh-CN"/>
              </w:rPr>
              <w:t>368</w:t>
            </w:r>
            <w:r w:rsidRPr="00E13ED4">
              <w:rPr>
                <w:rFonts w:ascii="Arial" w:hAnsi="Arial" w:cs="Arial"/>
                <w:sz w:val="18"/>
                <w:szCs w:val="18"/>
                <w:lang w:val="es-419" w:eastAsia="zh-CN"/>
              </w:rPr>
              <w:t>)</w:t>
            </w:r>
            <w:r>
              <w:rPr>
                <w:rFonts w:ascii="Arial" w:hAnsi="Arial" w:cs="Arial"/>
                <w:sz w:val="18"/>
                <w:szCs w:val="18"/>
                <w:lang w:val="es-419" w:eastAsia="zh-CN"/>
              </w:rPr>
              <w:t xml:space="preserve">. </w:t>
            </w:r>
            <w:r w:rsidR="00DC4CA6">
              <w:rPr>
                <w:rFonts w:ascii="Arial" w:hAnsi="Arial" w:cs="Arial"/>
                <w:sz w:val="18"/>
                <w:szCs w:val="18"/>
                <w:lang w:val="es-419" w:eastAsia="zh-CN"/>
              </w:rPr>
              <w:t>En el SIG de</w:t>
            </w:r>
            <w:r w:rsidR="00DC4CA6" w:rsidRPr="00E13ED4">
              <w:rPr>
                <w:rFonts w:ascii="Arial" w:hAnsi="Arial" w:cs="Arial"/>
                <w:sz w:val="18"/>
                <w:szCs w:val="18"/>
                <w:lang w:val="es-419" w:eastAsia="zh-CN"/>
              </w:rPr>
              <w:t xml:space="preserve"> </w:t>
            </w:r>
            <w:r w:rsidR="002F4ED8" w:rsidRPr="003079B9">
              <w:rPr>
                <w:rFonts w:ascii="Arial" w:hAnsi="Arial" w:cs="Arial"/>
                <w:sz w:val="18"/>
                <w:szCs w:val="18"/>
                <w:lang w:val="es-419" w:eastAsia="zh-CN"/>
              </w:rPr>
              <w:t xml:space="preserve">BANDESAL </w:t>
            </w:r>
            <w:r w:rsidRPr="00E13ED4">
              <w:rPr>
                <w:rFonts w:ascii="Arial" w:hAnsi="Arial" w:cs="Arial"/>
                <w:sz w:val="18"/>
                <w:szCs w:val="18"/>
                <w:lang w:val="es-419" w:eastAsia="zh-CN"/>
              </w:rPr>
              <w:t>podrían</w:t>
            </w:r>
            <w:r w:rsidR="002F4ED8" w:rsidRPr="003079B9">
              <w:rPr>
                <w:rFonts w:ascii="Arial" w:hAnsi="Arial" w:cs="Arial"/>
                <w:sz w:val="18"/>
                <w:szCs w:val="18"/>
                <w:lang w:val="es-419" w:eastAsia="zh-CN"/>
              </w:rPr>
              <w:t xml:space="preserve"> existir empleos informales</w:t>
            </w:r>
            <w:r w:rsidRPr="00E13ED4">
              <w:rPr>
                <w:rFonts w:ascii="Arial" w:hAnsi="Arial" w:cs="Arial"/>
                <w:sz w:val="18"/>
                <w:szCs w:val="18"/>
                <w:lang w:val="es-419" w:eastAsia="zh-CN"/>
              </w:rPr>
              <w:t>,</w:t>
            </w:r>
            <w:r w:rsidR="002F4ED8" w:rsidRPr="003079B9">
              <w:rPr>
                <w:rFonts w:ascii="Arial" w:hAnsi="Arial" w:cs="Arial"/>
                <w:sz w:val="18"/>
                <w:szCs w:val="18"/>
                <w:lang w:val="es-419" w:eastAsia="zh-CN"/>
              </w:rPr>
              <w:t xml:space="preserve"> por lo </w:t>
            </w:r>
            <w:r w:rsidRPr="00E13ED4">
              <w:rPr>
                <w:rFonts w:ascii="Arial" w:hAnsi="Arial" w:cs="Arial"/>
                <w:sz w:val="18"/>
                <w:szCs w:val="18"/>
                <w:lang w:val="es-419" w:eastAsia="zh-CN"/>
              </w:rPr>
              <w:t>que</w:t>
            </w:r>
            <w:r w:rsidR="002F4ED8" w:rsidRPr="003079B9">
              <w:rPr>
                <w:rFonts w:ascii="Arial" w:hAnsi="Arial" w:cs="Arial"/>
                <w:sz w:val="18"/>
                <w:szCs w:val="18"/>
                <w:lang w:val="es-419" w:eastAsia="zh-CN"/>
              </w:rPr>
              <w:t xml:space="preserve"> es importante </w:t>
            </w:r>
            <w:r w:rsidRPr="00E13ED4">
              <w:rPr>
                <w:rFonts w:ascii="Arial" w:hAnsi="Arial" w:cs="Arial"/>
                <w:sz w:val="18"/>
                <w:szCs w:val="18"/>
                <w:lang w:val="es-419" w:eastAsia="zh-CN"/>
              </w:rPr>
              <w:t>notar</w:t>
            </w:r>
            <w:r w:rsidR="002F4ED8" w:rsidRPr="003079B9">
              <w:rPr>
                <w:rFonts w:ascii="Arial" w:hAnsi="Arial" w:cs="Arial"/>
                <w:sz w:val="18"/>
                <w:szCs w:val="18"/>
                <w:lang w:val="es-419" w:eastAsia="zh-CN"/>
              </w:rPr>
              <w:t xml:space="preserve"> que la Población Económicamente Activa según Encuesta de Hogares de Propósitos Múltiples (DIGESTYC) al 31 de diciembre de 2018 fue de 3</w:t>
            </w:r>
            <w:r w:rsidRPr="00E13ED4">
              <w:rPr>
                <w:rFonts w:ascii="Arial" w:hAnsi="Arial" w:cs="Arial"/>
                <w:sz w:val="18"/>
                <w:szCs w:val="18"/>
                <w:lang w:val="es-419" w:eastAsia="zh-CN"/>
              </w:rPr>
              <w:t>.</w:t>
            </w:r>
            <w:r w:rsidR="002F4ED8" w:rsidRPr="003079B9">
              <w:rPr>
                <w:rFonts w:ascii="Arial" w:hAnsi="Arial" w:cs="Arial"/>
                <w:sz w:val="18"/>
                <w:szCs w:val="18"/>
                <w:lang w:val="es-419" w:eastAsia="zh-CN"/>
              </w:rPr>
              <w:t>004</w:t>
            </w:r>
            <w:r w:rsidRPr="00E13ED4">
              <w:rPr>
                <w:rFonts w:ascii="Arial" w:hAnsi="Arial" w:cs="Arial"/>
                <w:sz w:val="18"/>
                <w:szCs w:val="18"/>
                <w:lang w:val="es-419" w:eastAsia="zh-CN"/>
              </w:rPr>
              <w:t>.</w:t>
            </w:r>
            <w:r w:rsidR="002F4ED8" w:rsidRPr="003079B9">
              <w:rPr>
                <w:rFonts w:ascii="Arial" w:hAnsi="Arial" w:cs="Arial"/>
                <w:sz w:val="18"/>
                <w:szCs w:val="18"/>
                <w:lang w:val="es-419" w:eastAsia="zh-CN"/>
              </w:rPr>
              <w:t xml:space="preserve">990 personas y según la encuesta MYPE de CONAMYPE realizada en 2017, </w:t>
            </w:r>
            <w:r w:rsidRPr="00E13ED4">
              <w:rPr>
                <w:rFonts w:ascii="Arial" w:hAnsi="Arial" w:cs="Arial"/>
                <w:sz w:val="18"/>
                <w:szCs w:val="18"/>
                <w:lang w:val="es-419" w:eastAsia="zh-CN"/>
              </w:rPr>
              <w:t>el empleo</w:t>
            </w:r>
            <w:r w:rsidR="002F4ED8" w:rsidRPr="003079B9">
              <w:rPr>
                <w:rFonts w:ascii="Arial" w:hAnsi="Arial" w:cs="Arial"/>
                <w:sz w:val="18"/>
                <w:szCs w:val="18"/>
                <w:lang w:val="es-419" w:eastAsia="zh-CN"/>
              </w:rPr>
              <w:t xml:space="preserve"> en la MYPE asciende a 854</w:t>
            </w:r>
            <w:r w:rsidRPr="00E13ED4">
              <w:rPr>
                <w:rFonts w:ascii="Arial" w:hAnsi="Arial" w:cs="Arial"/>
                <w:sz w:val="18"/>
                <w:szCs w:val="18"/>
                <w:lang w:val="es-419" w:eastAsia="zh-CN"/>
              </w:rPr>
              <w:t>.</w:t>
            </w:r>
            <w:r w:rsidR="002F4ED8" w:rsidRPr="003079B9">
              <w:rPr>
                <w:rFonts w:ascii="Arial" w:hAnsi="Arial" w:cs="Arial"/>
                <w:sz w:val="18"/>
                <w:szCs w:val="18"/>
                <w:lang w:val="es-419" w:eastAsia="zh-CN"/>
              </w:rPr>
              <w:t xml:space="preserve">732. </w:t>
            </w:r>
          </w:p>
          <w:p w14:paraId="3EF36E72" w14:textId="21891B13" w:rsidR="00AE638D" w:rsidRPr="001F731F" w:rsidRDefault="00CD479F" w:rsidP="00AE638D">
            <w:pPr>
              <w:spacing w:after="0" w:line="240" w:lineRule="auto"/>
              <w:jc w:val="both"/>
              <w:rPr>
                <w:rFonts w:ascii="Arial" w:eastAsia="Times New Roman" w:hAnsi="Arial" w:cs="Arial"/>
                <w:color w:val="000000"/>
                <w:sz w:val="18"/>
                <w:szCs w:val="18"/>
                <w:lang w:val="es-ES_tradnl" w:eastAsia="es-ES"/>
              </w:rPr>
            </w:pPr>
            <w:r w:rsidRPr="00E13ED4">
              <w:rPr>
                <w:rFonts w:ascii="Arial" w:hAnsi="Arial" w:cs="Arial"/>
                <w:sz w:val="18"/>
                <w:szCs w:val="18"/>
                <w:lang w:val="es-419" w:eastAsia="zh-CN"/>
              </w:rPr>
              <w:lastRenderedPageBreak/>
              <w:t>Gracias al programa se</w:t>
            </w:r>
            <w:r w:rsidR="002F4ED8" w:rsidRPr="003079B9">
              <w:rPr>
                <w:rFonts w:ascii="Arial" w:hAnsi="Arial" w:cs="Arial"/>
                <w:sz w:val="18"/>
                <w:szCs w:val="18"/>
                <w:lang w:val="es-419" w:eastAsia="zh-CN"/>
              </w:rPr>
              <w:t xml:space="preserve"> espera </w:t>
            </w:r>
            <w:r w:rsidRPr="00E13ED4">
              <w:rPr>
                <w:rFonts w:ascii="Arial" w:hAnsi="Arial" w:cs="Arial"/>
                <w:sz w:val="18"/>
                <w:szCs w:val="18"/>
                <w:lang w:val="es-419" w:eastAsia="zh-CN"/>
              </w:rPr>
              <w:t>que las MIPYME apoyadas puedan</w:t>
            </w:r>
            <w:r w:rsidR="002F4ED8" w:rsidRPr="003079B9">
              <w:rPr>
                <w:rFonts w:ascii="Arial" w:hAnsi="Arial" w:cs="Arial"/>
                <w:sz w:val="18"/>
                <w:szCs w:val="18"/>
                <w:lang w:val="es-419" w:eastAsia="zh-CN"/>
              </w:rPr>
              <w:t xml:space="preserve"> mantener el número </w:t>
            </w:r>
            <w:r w:rsidRPr="00E13ED4">
              <w:rPr>
                <w:rFonts w:ascii="Arial" w:hAnsi="Arial" w:cs="Arial"/>
                <w:sz w:val="18"/>
                <w:szCs w:val="18"/>
                <w:lang w:val="es-419" w:eastAsia="zh-CN"/>
              </w:rPr>
              <w:t xml:space="preserve">promedio </w:t>
            </w:r>
            <w:r w:rsidR="002F4ED8" w:rsidRPr="003079B9">
              <w:rPr>
                <w:rFonts w:ascii="Arial" w:hAnsi="Arial" w:cs="Arial"/>
                <w:sz w:val="18"/>
                <w:szCs w:val="18"/>
                <w:lang w:val="es-419" w:eastAsia="zh-CN"/>
              </w:rPr>
              <w:t>de empleos.</w:t>
            </w:r>
          </w:p>
        </w:tc>
      </w:tr>
      <w:tr w:rsidR="00145881" w:rsidRPr="001F731F" w14:paraId="0F3BA4AD" w14:textId="77777777" w:rsidTr="00242C2A">
        <w:trPr>
          <w:trHeight w:val="320"/>
          <w:jc w:val="center"/>
        </w:trPr>
        <w:tc>
          <w:tcPr>
            <w:tcW w:w="8813" w:type="dxa"/>
            <w:gridSpan w:val="4"/>
            <w:tcBorders>
              <w:top w:val="single" w:sz="4" w:space="0" w:color="auto"/>
              <w:left w:val="single" w:sz="8" w:space="0" w:color="000000"/>
              <w:bottom w:val="single" w:sz="8" w:space="0" w:color="000000"/>
              <w:right w:val="single" w:sz="8" w:space="0" w:color="000000"/>
            </w:tcBorders>
            <w:shd w:val="clear" w:color="000000" w:fill="D9D9D9"/>
            <w:vAlign w:val="center"/>
            <w:hideMark/>
          </w:tcPr>
          <w:p w14:paraId="1DB3A131" w14:textId="77777777" w:rsidR="00145881" w:rsidRPr="001F731F" w:rsidRDefault="00145881" w:rsidP="002F348C">
            <w:pPr>
              <w:spacing w:after="0" w:line="240" w:lineRule="auto"/>
              <w:jc w:val="center"/>
              <w:rPr>
                <w:rFonts w:ascii="Arial" w:eastAsia="Times New Roman" w:hAnsi="Arial" w:cs="Arial"/>
                <w:b/>
                <w:bCs/>
                <w:color w:val="000000"/>
                <w:sz w:val="18"/>
                <w:szCs w:val="18"/>
                <w:lang w:val="es-ES_tradnl" w:eastAsia="es-ES"/>
              </w:rPr>
            </w:pPr>
            <w:r w:rsidRPr="001F731F">
              <w:rPr>
                <w:rFonts w:ascii="Arial" w:eastAsia="Times New Roman" w:hAnsi="Arial" w:cs="Arial"/>
                <w:b/>
                <w:bCs/>
                <w:color w:val="000000"/>
                <w:sz w:val="18"/>
                <w:szCs w:val="18"/>
                <w:lang w:val="es-ES_tradnl" w:eastAsia="es-ES"/>
              </w:rPr>
              <w:lastRenderedPageBreak/>
              <w:t>Indicadores de Resultado</w:t>
            </w:r>
          </w:p>
        </w:tc>
      </w:tr>
      <w:tr w:rsidR="00145881" w:rsidRPr="00015230" w14:paraId="1166BC2F" w14:textId="77777777" w:rsidTr="00242C2A">
        <w:trPr>
          <w:trHeight w:val="320"/>
          <w:jc w:val="center"/>
        </w:trPr>
        <w:tc>
          <w:tcPr>
            <w:tcW w:w="8813"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E294C72" w14:textId="23E06F63" w:rsidR="00145881" w:rsidRPr="001F731F" w:rsidRDefault="00145881" w:rsidP="002F348C">
            <w:pPr>
              <w:spacing w:after="0" w:line="240" w:lineRule="auto"/>
              <w:jc w:val="both"/>
              <w:rPr>
                <w:rFonts w:ascii="Arial" w:eastAsia="Times New Roman" w:hAnsi="Arial" w:cs="Arial"/>
                <w:b/>
                <w:bCs/>
                <w:color w:val="000000"/>
                <w:sz w:val="18"/>
                <w:szCs w:val="18"/>
                <w:u w:val="single"/>
                <w:lang w:val="es-ES_tradnl" w:eastAsia="es-ES"/>
              </w:rPr>
            </w:pPr>
            <w:r>
              <w:rPr>
                <w:rFonts w:ascii="Arial" w:eastAsia="Times New Roman" w:hAnsi="Arial" w:cs="Arial"/>
                <w:b/>
                <w:bCs/>
                <w:color w:val="000000"/>
                <w:sz w:val="18"/>
                <w:szCs w:val="18"/>
                <w:u w:val="single"/>
                <w:lang w:val="es-ES_tradnl" w:eastAsia="es-ES"/>
              </w:rPr>
              <w:t>Objetivo específico</w:t>
            </w:r>
            <w:r w:rsidRPr="001F731F">
              <w:rPr>
                <w:rFonts w:ascii="Arial" w:eastAsia="Times New Roman" w:hAnsi="Arial" w:cs="Arial"/>
                <w:b/>
                <w:bCs/>
                <w:color w:val="000000"/>
                <w:sz w:val="18"/>
                <w:szCs w:val="18"/>
                <w:u w:val="single"/>
                <w:lang w:val="es-ES_tradnl" w:eastAsia="es-ES"/>
              </w:rPr>
              <w:t xml:space="preserve">: </w:t>
            </w:r>
            <w:r w:rsidR="002F4ED8">
              <w:rPr>
                <w:rFonts w:ascii="Arial" w:eastAsia="Times New Roman" w:hAnsi="Arial" w:cs="Arial"/>
                <w:b/>
                <w:bCs/>
                <w:color w:val="000000"/>
                <w:sz w:val="18"/>
                <w:szCs w:val="18"/>
                <w:u w:val="single"/>
                <w:lang w:val="es-ES_tradnl" w:eastAsia="es-ES"/>
              </w:rPr>
              <w:t>P</w:t>
            </w:r>
            <w:r w:rsidR="002F4ED8" w:rsidRPr="002F4ED8">
              <w:rPr>
                <w:rFonts w:ascii="Arial" w:eastAsia="Times New Roman" w:hAnsi="Arial" w:cs="Arial"/>
                <w:b/>
                <w:bCs/>
                <w:color w:val="000000"/>
                <w:sz w:val="18"/>
                <w:szCs w:val="18"/>
                <w:u w:val="single"/>
                <w:lang w:val="es-ES_tradnl" w:eastAsia="es-ES"/>
              </w:rPr>
              <w:t xml:space="preserve">romover la recuperación económica de las </w:t>
            </w:r>
            <w:r w:rsidR="002F4ED8">
              <w:rPr>
                <w:rFonts w:ascii="Arial" w:eastAsia="Times New Roman" w:hAnsi="Arial" w:cs="Arial"/>
                <w:b/>
                <w:bCs/>
                <w:color w:val="000000"/>
                <w:sz w:val="18"/>
                <w:szCs w:val="18"/>
                <w:u w:val="single"/>
                <w:lang w:val="es-ES_tradnl" w:eastAsia="es-ES"/>
              </w:rPr>
              <w:t>MIPYME</w:t>
            </w:r>
            <w:r w:rsidR="002F4ED8" w:rsidRPr="002F4ED8">
              <w:rPr>
                <w:rFonts w:ascii="Arial" w:eastAsia="Times New Roman" w:hAnsi="Arial" w:cs="Arial"/>
                <w:b/>
                <w:bCs/>
                <w:color w:val="000000"/>
                <w:sz w:val="18"/>
                <w:szCs w:val="18"/>
                <w:u w:val="single"/>
                <w:lang w:val="es-ES_tradnl" w:eastAsia="es-ES"/>
              </w:rPr>
              <w:t xml:space="preserve"> salvadoreñas a través del acceso a crédito productivo para capital de trabajo e inversiones en activo fijo</w:t>
            </w:r>
          </w:p>
        </w:tc>
      </w:tr>
      <w:tr w:rsidR="002F4ED8" w:rsidRPr="00015230" w14:paraId="48AE9674" w14:textId="77777777" w:rsidTr="00503915">
        <w:trPr>
          <w:trHeight w:val="1760"/>
          <w:jc w:val="center"/>
        </w:trPr>
        <w:tc>
          <w:tcPr>
            <w:tcW w:w="2093" w:type="dxa"/>
            <w:tcBorders>
              <w:top w:val="nil"/>
              <w:left w:val="single" w:sz="8" w:space="0" w:color="000000"/>
              <w:bottom w:val="single" w:sz="8" w:space="0" w:color="000000"/>
              <w:right w:val="single" w:sz="8" w:space="0" w:color="000000"/>
            </w:tcBorders>
            <w:shd w:val="clear" w:color="auto" w:fill="auto"/>
            <w:vAlign w:val="center"/>
          </w:tcPr>
          <w:p w14:paraId="2D4E19D6" w14:textId="3A4259D7" w:rsidR="002F4ED8" w:rsidRPr="001F731F" w:rsidRDefault="002F4ED8" w:rsidP="00242C2A">
            <w:pPr>
              <w:spacing w:after="0" w:line="240" w:lineRule="auto"/>
              <w:jc w:val="both"/>
              <w:rPr>
                <w:rFonts w:ascii="Arial" w:eastAsia="Times New Roman" w:hAnsi="Arial" w:cs="Arial"/>
                <w:b/>
                <w:bCs/>
                <w:color w:val="000000"/>
                <w:sz w:val="18"/>
                <w:szCs w:val="18"/>
                <w:lang w:val="es-ES_tradnl" w:eastAsia="es-ES"/>
              </w:rPr>
            </w:pPr>
            <w:r w:rsidRPr="003079B9">
              <w:rPr>
                <w:rFonts w:ascii="Arial" w:hAnsi="Arial" w:cs="Arial"/>
                <w:b/>
                <w:sz w:val="18"/>
                <w:szCs w:val="18"/>
                <w:lang w:val="es-419"/>
              </w:rPr>
              <w:t>Indicador 1:</w:t>
            </w:r>
            <w:r w:rsidRPr="003079B9">
              <w:rPr>
                <w:rFonts w:ascii="Arial" w:hAnsi="Arial" w:cs="Arial"/>
                <w:sz w:val="18"/>
                <w:szCs w:val="18"/>
                <w:lang w:val="es-419"/>
              </w:rPr>
              <w:t xml:space="preserve"> </w:t>
            </w:r>
            <w:r w:rsidR="00EC4AB4">
              <w:rPr>
                <w:rFonts w:ascii="Arial" w:hAnsi="Arial" w:cs="Arial"/>
                <w:sz w:val="18"/>
                <w:szCs w:val="18"/>
                <w:lang w:val="es-419"/>
              </w:rPr>
              <w:t xml:space="preserve">Relación entre la </w:t>
            </w:r>
            <w:r w:rsidR="00CD479F">
              <w:rPr>
                <w:rFonts w:ascii="Arial" w:hAnsi="Arial" w:cs="Arial"/>
                <w:sz w:val="18"/>
                <w:szCs w:val="18"/>
                <w:lang w:val="es-419"/>
              </w:rPr>
              <w:t>t</w:t>
            </w:r>
            <w:r w:rsidR="00CD479F" w:rsidRPr="00BD72BE">
              <w:rPr>
                <w:rFonts w:ascii="Arial" w:hAnsi="Arial" w:cs="Arial"/>
                <w:sz w:val="18"/>
                <w:szCs w:val="18"/>
                <w:lang w:val="es-419"/>
              </w:rPr>
              <w:t>asa</w:t>
            </w:r>
            <w:r w:rsidRPr="003079B9" w:rsidDel="00EC4AB4">
              <w:rPr>
                <w:rFonts w:ascii="Arial" w:hAnsi="Arial" w:cs="Arial"/>
                <w:sz w:val="18"/>
                <w:szCs w:val="18"/>
                <w:lang w:val="es-419"/>
              </w:rPr>
              <w:t xml:space="preserve"> de mora de la cartera de financiamiento de capital de trabajo e inversión en activo fijo a la MIPYME apoyada con el programa frente a la tasa de mora promedio observada en el sistema financiero.</w:t>
            </w:r>
          </w:p>
        </w:tc>
        <w:tc>
          <w:tcPr>
            <w:tcW w:w="1553" w:type="dxa"/>
            <w:tcBorders>
              <w:top w:val="nil"/>
              <w:left w:val="nil"/>
              <w:bottom w:val="single" w:sz="8" w:space="0" w:color="000000"/>
              <w:right w:val="single" w:sz="8" w:space="0" w:color="000000"/>
            </w:tcBorders>
            <w:shd w:val="clear" w:color="auto" w:fill="auto"/>
            <w:vAlign w:val="center"/>
          </w:tcPr>
          <w:p w14:paraId="2841FA84" w14:textId="6E7EB7E2" w:rsidR="002F4ED8" w:rsidRPr="001F731F" w:rsidRDefault="00030588" w:rsidP="002F4ED8">
            <w:pPr>
              <w:spacing w:after="0" w:line="240" w:lineRule="auto"/>
              <w:jc w:val="center"/>
              <w:rPr>
                <w:rFonts w:ascii="Arial" w:eastAsia="Times New Roman" w:hAnsi="Arial" w:cs="Arial"/>
                <w:color w:val="000000"/>
                <w:sz w:val="18"/>
                <w:szCs w:val="18"/>
                <w:lang w:val="es-ES_tradnl" w:eastAsia="es-ES"/>
              </w:rPr>
            </w:pPr>
            <w:r>
              <w:rPr>
                <w:rFonts w:ascii="Arial" w:hAnsi="Arial" w:cs="Arial"/>
                <w:sz w:val="18"/>
                <w:szCs w:val="18"/>
                <w:lang w:val="es-419"/>
              </w:rPr>
              <w:t>%</w:t>
            </w:r>
          </w:p>
        </w:tc>
        <w:tc>
          <w:tcPr>
            <w:tcW w:w="1542" w:type="dxa"/>
            <w:tcBorders>
              <w:top w:val="nil"/>
              <w:left w:val="nil"/>
              <w:bottom w:val="single" w:sz="8" w:space="0" w:color="000000"/>
              <w:right w:val="single" w:sz="8" w:space="0" w:color="000000"/>
            </w:tcBorders>
            <w:shd w:val="clear" w:color="auto" w:fill="auto"/>
            <w:vAlign w:val="center"/>
          </w:tcPr>
          <w:p w14:paraId="06345048" w14:textId="3B2DC22C" w:rsidR="002F4ED8" w:rsidRPr="001F731F" w:rsidRDefault="005663E8" w:rsidP="00242C2A">
            <w:pPr>
              <w:spacing w:after="0" w:line="240" w:lineRule="auto"/>
              <w:jc w:val="both"/>
              <w:rPr>
                <w:rFonts w:ascii="Arial" w:eastAsia="Times New Roman" w:hAnsi="Arial" w:cs="Arial"/>
                <w:color w:val="000000"/>
                <w:sz w:val="18"/>
                <w:szCs w:val="18"/>
                <w:lang w:val="es-ES_tradnl" w:eastAsia="es-ES"/>
              </w:rPr>
            </w:pPr>
            <w:r>
              <w:rPr>
                <w:rFonts w:ascii="Arial" w:hAnsi="Arial" w:cs="Arial"/>
                <w:sz w:val="18"/>
                <w:szCs w:val="18"/>
                <w:lang w:val="es-419" w:eastAsia="zh-CN"/>
              </w:rPr>
              <w:t>SIG</w:t>
            </w:r>
            <w:r w:rsidRPr="00E13ED4">
              <w:rPr>
                <w:rFonts w:ascii="Arial" w:hAnsi="Arial" w:cs="Arial"/>
                <w:sz w:val="18"/>
                <w:szCs w:val="18"/>
                <w:lang w:val="es-419" w:eastAsia="zh-CN"/>
              </w:rPr>
              <w:t xml:space="preserve"> </w:t>
            </w:r>
            <w:r>
              <w:rPr>
                <w:rFonts w:ascii="Arial" w:hAnsi="Arial" w:cs="Arial"/>
                <w:sz w:val="18"/>
                <w:szCs w:val="18"/>
                <w:lang w:val="es-419" w:eastAsia="zh-CN"/>
              </w:rPr>
              <w:t>de</w:t>
            </w:r>
            <w:r w:rsidRPr="00E13ED4">
              <w:rPr>
                <w:rFonts w:ascii="Arial" w:hAnsi="Arial" w:cs="Arial"/>
                <w:sz w:val="18"/>
                <w:szCs w:val="18"/>
                <w:lang w:val="es-419" w:eastAsia="zh-CN"/>
              </w:rPr>
              <w:t xml:space="preserve"> </w:t>
            </w:r>
            <w:r w:rsidR="0025222E">
              <w:rPr>
                <w:rFonts w:ascii="Arial" w:eastAsia="Times New Roman" w:hAnsi="Arial" w:cs="Arial"/>
                <w:color w:val="000000"/>
                <w:sz w:val="18"/>
                <w:szCs w:val="18"/>
                <w:lang w:val="es-419" w:eastAsia="es-ES"/>
              </w:rPr>
              <w:t>BANDESAL</w:t>
            </w:r>
            <w:r w:rsidR="0025222E" w:rsidRPr="00304927">
              <w:rPr>
                <w:rFonts w:ascii="Arial" w:eastAsia="Times New Roman" w:hAnsi="Arial" w:cs="Arial"/>
                <w:color w:val="000000"/>
                <w:sz w:val="18"/>
                <w:szCs w:val="18"/>
                <w:lang w:val="es-419" w:eastAsia="es-ES"/>
              </w:rPr>
              <w:t xml:space="preserve"> </w:t>
            </w:r>
            <w:r>
              <w:rPr>
                <w:rFonts w:ascii="Arial" w:eastAsia="Times New Roman" w:hAnsi="Arial" w:cs="Arial"/>
                <w:color w:val="000000"/>
                <w:sz w:val="18"/>
                <w:szCs w:val="18"/>
                <w:lang w:val="es-419" w:eastAsia="es-ES"/>
              </w:rPr>
              <w:t>e información de la</w:t>
            </w:r>
            <w:r w:rsidRPr="00304927">
              <w:rPr>
                <w:rFonts w:ascii="Arial" w:eastAsia="Times New Roman" w:hAnsi="Arial" w:cs="Arial"/>
                <w:color w:val="000000"/>
                <w:sz w:val="18"/>
                <w:szCs w:val="18"/>
                <w:lang w:val="es-419" w:eastAsia="es-ES"/>
              </w:rPr>
              <w:t xml:space="preserve"> </w:t>
            </w:r>
            <w:r w:rsidR="0025222E" w:rsidRPr="00304927">
              <w:rPr>
                <w:rFonts w:ascii="Arial" w:eastAsia="Times New Roman" w:hAnsi="Arial" w:cs="Arial"/>
                <w:color w:val="000000"/>
                <w:sz w:val="18"/>
                <w:szCs w:val="18"/>
                <w:lang w:val="es-419" w:eastAsia="es-ES"/>
              </w:rPr>
              <w:t>SSF</w:t>
            </w:r>
            <w:r w:rsidR="0025222E">
              <w:rPr>
                <w:rFonts w:ascii="Arial" w:eastAsia="Times New Roman" w:hAnsi="Arial" w:cs="Arial"/>
                <w:color w:val="000000"/>
                <w:sz w:val="18"/>
                <w:szCs w:val="18"/>
                <w:lang w:val="es-419" w:eastAsia="es-ES"/>
              </w:rPr>
              <w:t>.</w:t>
            </w:r>
          </w:p>
        </w:tc>
        <w:tc>
          <w:tcPr>
            <w:tcW w:w="3625" w:type="dxa"/>
            <w:tcBorders>
              <w:top w:val="nil"/>
              <w:left w:val="nil"/>
              <w:bottom w:val="single" w:sz="8" w:space="0" w:color="000000"/>
              <w:right w:val="single" w:sz="8" w:space="0" w:color="000000"/>
            </w:tcBorders>
            <w:shd w:val="clear" w:color="auto" w:fill="auto"/>
            <w:vAlign w:val="center"/>
          </w:tcPr>
          <w:p w14:paraId="3285BCD0" w14:textId="37DAC073" w:rsidR="00CD479F" w:rsidRPr="00BD72BE" w:rsidRDefault="00CD479F" w:rsidP="00CD479F">
            <w:pPr>
              <w:spacing w:before="120" w:after="120" w:line="240" w:lineRule="auto"/>
              <w:jc w:val="both"/>
              <w:rPr>
                <w:rFonts w:ascii="Arial" w:hAnsi="Arial" w:cs="Arial"/>
                <w:sz w:val="18"/>
                <w:szCs w:val="18"/>
                <w:lang w:val="es-419"/>
              </w:rPr>
            </w:pPr>
            <w:r w:rsidRPr="00BD72BE">
              <w:rPr>
                <w:rFonts w:ascii="Arial" w:hAnsi="Arial" w:cs="Arial"/>
                <w:sz w:val="18"/>
                <w:szCs w:val="18"/>
                <w:lang w:val="es-419"/>
              </w:rPr>
              <w:t>La</w:t>
            </w:r>
            <w:r>
              <w:rPr>
                <w:rFonts w:ascii="Arial" w:hAnsi="Arial" w:cs="Arial"/>
                <w:sz w:val="18"/>
                <w:szCs w:val="18"/>
                <w:lang w:val="es-419"/>
              </w:rPr>
              <w:t>s</w:t>
            </w:r>
            <w:r w:rsidRPr="00BD72BE">
              <w:rPr>
                <w:rFonts w:ascii="Arial" w:hAnsi="Arial" w:cs="Arial"/>
                <w:sz w:val="18"/>
                <w:szCs w:val="18"/>
                <w:lang w:val="es-419"/>
              </w:rPr>
              <w:t xml:space="preserve"> tasa</w:t>
            </w:r>
            <w:r>
              <w:rPr>
                <w:rFonts w:ascii="Arial" w:hAnsi="Arial" w:cs="Arial"/>
                <w:sz w:val="18"/>
                <w:szCs w:val="18"/>
                <w:lang w:val="es-419"/>
              </w:rPr>
              <w:t>s</w:t>
            </w:r>
            <w:r w:rsidR="002F4ED8" w:rsidRPr="003079B9">
              <w:rPr>
                <w:rFonts w:ascii="Arial" w:hAnsi="Arial" w:cs="Arial"/>
                <w:sz w:val="18"/>
                <w:szCs w:val="18"/>
                <w:lang w:val="es-419"/>
              </w:rPr>
              <w:t xml:space="preserve"> de mora </w:t>
            </w:r>
            <w:r>
              <w:rPr>
                <w:rFonts w:ascii="Arial" w:hAnsi="Arial" w:cs="Arial"/>
                <w:sz w:val="18"/>
                <w:szCs w:val="18"/>
                <w:lang w:val="es-419"/>
              </w:rPr>
              <w:t>para</w:t>
            </w:r>
            <w:r w:rsidR="002F4ED8" w:rsidRPr="003079B9">
              <w:rPr>
                <w:rFonts w:ascii="Arial" w:hAnsi="Arial" w:cs="Arial"/>
                <w:sz w:val="18"/>
                <w:szCs w:val="18"/>
                <w:lang w:val="es-419"/>
              </w:rPr>
              <w:t xml:space="preserve"> este </w:t>
            </w:r>
            <w:r>
              <w:rPr>
                <w:rFonts w:ascii="Arial" w:hAnsi="Arial" w:cs="Arial"/>
                <w:sz w:val="18"/>
                <w:szCs w:val="18"/>
                <w:lang w:val="es-419"/>
              </w:rPr>
              <w:t>indicador</w:t>
            </w:r>
            <w:r w:rsidR="002F4ED8" w:rsidRPr="003079B9">
              <w:rPr>
                <w:rFonts w:ascii="Arial" w:hAnsi="Arial" w:cs="Arial"/>
                <w:sz w:val="18"/>
                <w:szCs w:val="18"/>
                <w:lang w:val="es-419"/>
              </w:rPr>
              <w:t xml:space="preserve"> se </w:t>
            </w:r>
            <w:r w:rsidRPr="00BD72BE">
              <w:rPr>
                <w:rFonts w:ascii="Arial" w:hAnsi="Arial" w:cs="Arial"/>
                <w:sz w:val="18"/>
                <w:szCs w:val="18"/>
                <w:lang w:val="es-419"/>
              </w:rPr>
              <w:t>calculará</w:t>
            </w:r>
            <w:r>
              <w:rPr>
                <w:rFonts w:ascii="Arial" w:hAnsi="Arial" w:cs="Arial"/>
                <w:sz w:val="18"/>
                <w:szCs w:val="18"/>
                <w:lang w:val="es-419"/>
              </w:rPr>
              <w:t>n</w:t>
            </w:r>
            <w:r w:rsidR="002F4ED8" w:rsidRPr="003079B9">
              <w:rPr>
                <w:rFonts w:ascii="Arial" w:hAnsi="Arial" w:cs="Arial"/>
                <w:sz w:val="18"/>
                <w:szCs w:val="18"/>
                <w:lang w:val="es-419"/>
              </w:rPr>
              <w:t xml:space="preserve"> sobre un periodo de 12 meses</w:t>
            </w:r>
            <w:r w:rsidRPr="00BD72BE">
              <w:rPr>
                <w:rFonts w:ascii="Arial" w:hAnsi="Arial" w:cs="Arial"/>
                <w:sz w:val="18"/>
                <w:szCs w:val="18"/>
                <w:lang w:val="es-419"/>
              </w:rPr>
              <w:t xml:space="preserve">. </w:t>
            </w:r>
          </w:p>
          <w:p w14:paraId="7EFF042A" w14:textId="32AE562E" w:rsidR="00CD479F" w:rsidRPr="00BD72BE" w:rsidRDefault="00030588" w:rsidP="00CD479F">
            <w:pPr>
              <w:spacing w:before="120" w:after="120" w:line="240" w:lineRule="auto"/>
              <w:jc w:val="both"/>
              <w:rPr>
                <w:rFonts w:ascii="Arial" w:hAnsi="Arial" w:cs="Arial"/>
                <w:sz w:val="18"/>
                <w:szCs w:val="18"/>
                <w:lang w:val="es-419"/>
              </w:rPr>
            </w:pPr>
            <w:r>
              <w:rPr>
                <w:rFonts w:ascii="Arial" w:hAnsi="Arial" w:cs="Arial"/>
                <w:sz w:val="18"/>
                <w:szCs w:val="18"/>
                <w:lang w:val="es-419"/>
              </w:rPr>
              <w:t>L</w:t>
            </w:r>
            <w:r w:rsidR="002F4ED8" w:rsidRPr="003079B9">
              <w:rPr>
                <w:rFonts w:ascii="Arial" w:hAnsi="Arial" w:cs="Arial"/>
                <w:sz w:val="18"/>
                <w:szCs w:val="18"/>
                <w:lang w:val="es-419"/>
              </w:rPr>
              <w:t xml:space="preserve">a línea de base se </w:t>
            </w:r>
            <w:r>
              <w:rPr>
                <w:rFonts w:ascii="Arial" w:hAnsi="Arial" w:cs="Arial"/>
                <w:sz w:val="18"/>
                <w:szCs w:val="18"/>
                <w:lang w:val="es-419"/>
              </w:rPr>
              <w:t xml:space="preserve">calculó con </w:t>
            </w:r>
            <w:r w:rsidR="00CD479F" w:rsidRPr="00BD72BE">
              <w:rPr>
                <w:rFonts w:ascii="Arial" w:hAnsi="Arial" w:cs="Arial"/>
                <w:sz w:val="18"/>
                <w:szCs w:val="18"/>
                <w:lang w:val="es-419"/>
              </w:rPr>
              <w:t xml:space="preserve">el promedio ponderado de la mora reportada por las IFI que distribuyeron el crédito de la operación anterior con </w:t>
            </w:r>
            <w:r w:rsidR="0008631C">
              <w:rPr>
                <w:rFonts w:ascii="Arial" w:hAnsi="Arial" w:cs="Arial"/>
                <w:sz w:val="18"/>
                <w:szCs w:val="18"/>
                <w:lang w:val="es-419"/>
              </w:rPr>
              <w:t>BANDESAL</w:t>
            </w:r>
            <w:r w:rsidR="00CD479F" w:rsidRPr="00BD72BE">
              <w:rPr>
                <w:rFonts w:ascii="Arial" w:hAnsi="Arial" w:cs="Arial"/>
                <w:sz w:val="18"/>
                <w:szCs w:val="18"/>
                <w:lang w:val="es-419"/>
              </w:rPr>
              <w:t xml:space="preserve"> (ES-L1089) </w:t>
            </w:r>
            <w:r>
              <w:rPr>
                <w:rFonts w:ascii="Arial" w:hAnsi="Arial" w:cs="Arial"/>
                <w:sz w:val="18"/>
                <w:szCs w:val="18"/>
                <w:lang w:val="es-419"/>
              </w:rPr>
              <w:t>como numerador (1,1%), y</w:t>
            </w:r>
            <w:r w:rsidR="00CD479F" w:rsidRPr="00BD72BE">
              <w:rPr>
                <w:rFonts w:ascii="Arial" w:hAnsi="Arial" w:cs="Arial"/>
                <w:sz w:val="18"/>
                <w:szCs w:val="18"/>
                <w:lang w:val="es-419"/>
              </w:rPr>
              <w:t xml:space="preserve"> la mora reportada por el total del sistema financiero salvadoreño</w:t>
            </w:r>
            <w:r w:rsidR="00CD479F">
              <w:rPr>
                <w:rFonts w:ascii="Arial" w:hAnsi="Arial" w:cs="Arial"/>
                <w:sz w:val="18"/>
                <w:szCs w:val="18"/>
                <w:lang w:val="es-419"/>
              </w:rPr>
              <w:t xml:space="preserve"> (</w:t>
            </w:r>
            <w:r w:rsidR="002F4ED8" w:rsidRPr="003079B9">
              <w:rPr>
                <w:rFonts w:ascii="Arial" w:hAnsi="Arial" w:cs="Arial"/>
                <w:sz w:val="18"/>
                <w:szCs w:val="18"/>
                <w:lang w:val="es-419"/>
              </w:rPr>
              <w:t>cartera de financiamiento MIPYME y su distribución por tamaño de empresa</w:t>
            </w:r>
            <w:r w:rsidR="00CD479F">
              <w:rPr>
                <w:rFonts w:ascii="Arial" w:hAnsi="Arial" w:cs="Arial"/>
                <w:sz w:val="18"/>
                <w:szCs w:val="18"/>
                <w:lang w:val="es-419"/>
              </w:rPr>
              <w:t>)</w:t>
            </w:r>
            <w:r>
              <w:rPr>
                <w:rFonts w:ascii="Arial" w:hAnsi="Arial" w:cs="Arial"/>
                <w:sz w:val="18"/>
                <w:szCs w:val="18"/>
                <w:lang w:val="es-419"/>
              </w:rPr>
              <w:t xml:space="preserve"> como denominador (3,9%)</w:t>
            </w:r>
            <w:r w:rsidR="00CD479F" w:rsidRPr="00BD72BE">
              <w:rPr>
                <w:rFonts w:ascii="Arial" w:hAnsi="Arial" w:cs="Arial"/>
                <w:sz w:val="18"/>
                <w:szCs w:val="18"/>
                <w:lang w:val="es-419"/>
              </w:rPr>
              <w:t>.</w:t>
            </w:r>
          </w:p>
          <w:p w14:paraId="1B954617" w14:textId="535A7971" w:rsidR="002F4ED8" w:rsidRPr="001F731F" w:rsidRDefault="00AE4A6B" w:rsidP="00AE4A6B">
            <w:pPr>
              <w:spacing w:after="0" w:line="240" w:lineRule="auto"/>
              <w:jc w:val="both"/>
              <w:rPr>
                <w:rFonts w:ascii="Arial" w:eastAsia="Times New Roman" w:hAnsi="Arial" w:cs="Arial"/>
                <w:color w:val="000000"/>
                <w:sz w:val="18"/>
                <w:szCs w:val="18"/>
                <w:lang w:val="es-ES_tradnl" w:eastAsia="es-ES"/>
              </w:rPr>
            </w:pPr>
            <w:r w:rsidRPr="00304927">
              <w:rPr>
                <w:rFonts w:ascii="Arial" w:hAnsi="Arial" w:cs="Arial"/>
                <w:sz w:val="18"/>
                <w:szCs w:val="18"/>
                <w:lang w:val="es-419"/>
              </w:rPr>
              <w:t xml:space="preserve">Para el seguimiento del indicador se seguirá el mismo principio, utilizando </w:t>
            </w:r>
            <w:r>
              <w:rPr>
                <w:rFonts w:ascii="Arial" w:hAnsi="Arial" w:cs="Arial"/>
                <w:sz w:val="18"/>
                <w:szCs w:val="18"/>
                <w:lang w:val="es-419"/>
              </w:rPr>
              <w:t xml:space="preserve">para el numerador </w:t>
            </w:r>
            <w:r w:rsidRPr="00304927">
              <w:rPr>
                <w:rFonts w:ascii="Arial" w:hAnsi="Arial" w:cs="Arial"/>
                <w:sz w:val="18"/>
                <w:szCs w:val="18"/>
                <w:lang w:val="es-419"/>
              </w:rPr>
              <w:t xml:space="preserve">el promedio ponderado de las IFI a través de las cuáles se distribuyan los recursos del presente programa.  </w:t>
            </w:r>
            <w:r>
              <w:rPr>
                <w:rFonts w:ascii="Arial" w:hAnsi="Arial" w:cs="Arial"/>
                <w:sz w:val="18"/>
                <w:szCs w:val="18"/>
                <w:lang w:val="es-419"/>
              </w:rPr>
              <w:t>Se espera que las IFI que accedan a las líneas de segundo piso de BANDESAL apliquen una correcta gestión de riesgos y selección de MIPYME, por lo que los niveles de mora de sus carteras deberían mantenerse en relación los niveles de mora del sistema</w:t>
            </w:r>
            <w:r w:rsidR="00CD479F">
              <w:rPr>
                <w:rFonts w:ascii="Arial" w:hAnsi="Arial" w:cs="Arial"/>
                <w:sz w:val="18"/>
                <w:szCs w:val="18"/>
                <w:lang w:val="es-419"/>
              </w:rPr>
              <w:t>.</w:t>
            </w:r>
          </w:p>
        </w:tc>
      </w:tr>
      <w:tr w:rsidR="00756B8D" w:rsidRPr="00015230" w14:paraId="7A818D44" w14:textId="77777777" w:rsidTr="00503915">
        <w:trPr>
          <w:trHeight w:val="1320"/>
          <w:jc w:val="center"/>
        </w:trPr>
        <w:tc>
          <w:tcPr>
            <w:tcW w:w="2093" w:type="dxa"/>
            <w:tcBorders>
              <w:top w:val="single" w:sz="8" w:space="0" w:color="000000"/>
              <w:left w:val="single" w:sz="8" w:space="0" w:color="000000"/>
              <w:bottom w:val="single" w:sz="12" w:space="0" w:color="000000"/>
              <w:right w:val="single" w:sz="8" w:space="0" w:color="000000"/>
            </w:tcBorders>
            <w:shd w:val="clear" w:color="auto" w:fill="auto"/>
            <w:vAlign w:val="center"/>
          </w:tcPr>
          <w:p w14:paraId="6CCEBF86" w14:textId="67C4770D" w:rsidR="00756B8D" w:rsidRPr="001F731F" w:rsidRDefault="00756B8D" w:rsidP="00756B8D">
            <w:pPr>
              <w:spacing w:after="0" w:line="240" w:lineRule="auto"/>
              <w:jc w:val="both"/>
              <w:rPr>
                <w:rFonts w:ascii="Arial" w:eastAsia="Times New Roman" w:hAnsi="Arial" w:cs="Arial"/>
                <w:b/>
                <w:bCs/>
                <w:color w:val="000000"/>
                <w:sz w:val="18"/>
                <w:szCs w:val="18"/>
                <w:lang w:val="es-ES_tradnl" w:eastAsia="es-ES"/>
              </w:rPr>
            </w:pPr>
            <w:r w:rsidRPr="003079B9">
              <w:rPr>
                <w:rFonts w:ascii="Arial" w:hAnsi="Arial" w:cs="Arial"/>
                <w:b/>
                <w:bCs/>
                <w:sz w:val="18"/>
                <w:szCs w:val="18"/>
                <w:lang w:val="es-419"/>
              </w:rPr>
              <w:t>Indicador 2:</w:t>
            </w:r>
            <w:r w:rsidRPr="003079B9">
              <w:rPr>
                <w:rFonts w:ascii="Arial" w:hAnsi="Arial" w:cs="Arial"/>
                <w:sz w:val="18"/>
                <w:szCs w:val="18"/>
                <w:lang w:val="es-419"/>
              </w:rPr>
              <w:t xml:space="preserve"> </w:t>
            </w:r>
            <w:r w:rsidRPr="00503915">
              <w:rPr>
                <w:rFonts w:ascii="Arial" w:hAnsi="Arial"/>
                <w:sz w:val="18"/>
                <w:lang w:val="es-419"/>
              </w:rPr>
              <w:t xml:space="preserve"> </w:t>
            </w:r>
            <w:r w:rsidRPr="003079B9">
              <w:rPr>
                <w:rFonts w:ascii="Arial" w:hAnsi="Arial" w:cs="Arial"/>
                <w:sz w:val="18"/>
                <w:szCs w:val="18"/>
                <w:lang w:val="es-419"/>
              </w:rPr>
              <w:t>Proporción del crédito de mediano plazo (12 meses</w:t>
            </w:r>
            <w:r>
              <w:rPr>
                <w:rFonts w:ascii="Arial" w:hAnsi="Arial" w:cs="Arial"/>
                <w:sz w:val="18"/>
                <w:szCs w:val="18"/>
                <w:lang w:val="es-419"/>
              </w:rPr>
              <w:t xml:space="preserve"> o más</w:t>
            </w:r>
            <w:r w:rsidRPr="003079B9">
              <w:rPr>
                <w:rFonts w:ascii="Arial" w:hAnsi="Arial" w:cs="Arial"/>
                <w:sz w:val="18"/>
                <w:szCs w:val="18"/>
                <w:lang w:val="es-419"/>
              </w:rPr>
              <w:t>) en la cartera de financiamiento de capital de trabajo e inversión en activo fijo a la MIPYME apoyada por el programa.</w:t>
            </w:r>
          </w:p>
        </w:tc>
        <w:tc>
          <w:tcPr>
            <w:tcW w:w="1553" w:type="dxa"/>
            <w:tcBorders>
              <w:top w:val="single" w:sz="8" w:space="0" w:color="000000"/>
              <w:left w:val="nil"/>
              <w:bottom w:val="single" w:sz="12" w:space="0" w:color="000000"/>
              <w:right w:val="single" w:sz="8" w:space="0" w:color="000000"/>
            </w:tcBorders>
            <w:shd w:val="clear" w:color="auto" w:fill="auto"/>
            <w:vAlign w:val="center"/>
          </w:tcPr>
          <w:p w14:paraId="52965A49" w14:textId="77777777" w:rsidR="00756B8D" w:rsidRPr="001F731F" w:rsidRDefault="00756B8D" w:rsidP="00756B8D">
            <w:pPr>
              <w:spacing w:after="0" w:line="240" w:lineRule="auto"/>
              <w:jc w:val="center"/>
              <w:rPr>
                <w:rFonts w:ascii="Arial" w:eastAsia="Times New Roman" w:hAnsi="Arial" w:cs="Arial"/>
                <w:color w:val="000000"/>
                <w:sz w:val="18"/>
                <w:szCs w:val="18"/>
                <w:lang w:val="es-ES_tradnl" w:eastAsia="es-ES"/>
              </w:rPr>
            </w:pPr>
            <w:r w:rsidRPr="00503915">
              <w:rPr>
                <w:rFonts w:ascii="Arial" w:hAnsi="Arial"/>
                <w:sz w:val="18"/>
                <w:lang w:val="es-419"/>
              </w:rPr>
              <w:t>%</w:t>
            </w:r>
          </w:p>
        </w:tc>
        <w:tc>
          <w:tcPr>
            <w:tcW w:w="1542" w:type="dxa"/>
            <w:tcBorders>
              <w:top w:val="single" w:sz="8" w:space="0" w:color="000000"/>
              <w:left w:val="nil"/>
              <w:bottom w:val="single" w:sz="12" w:space="0" w:color="000000"/>
              <w:right w:val="single" w:sz="8" w:space="0" w:color="000000"/>
            </w:tcBorders>
            <w:shd w:val="clear" w:color="auto" w:fill="auto"/>
            <w:vAlign w:val="center"/>
          </w:tcPr>
          <w:p w14:paraId="6D127DDB" w14:textId="652CE1B9" w:rsidR="00756B8D" w:rsidRPr="001F731F" w:rsidRDefault="00F75EE1" w:rsidP="00756B8D">
            <w:pPr>
              <w:spacing w:after="0" w:line="240" w:lineRule="auto"/>
              <w:jc w:val="both"/>
              <w:rPr>
                <w:rFonts w:ascii="Arial" w:eastAsia="Times New Roman" w:hAnsi="Arial" w:cs="Arial"/>
                <w:color w:val="000000"/>
                <w:sz w:val="18"/>
                <w:szCs w:val="18"/>
                <w:lang w:val="es-ES_tradnl" w:eastAsia="es-ES"/>
              </w:rPr>
            </w:pPr>
            <w:r>
              <w:rPr>
                <w:rFonts w:ascii="Arial" w:hAnsi="Arial" w:cs="Arial"/>
                <w:sz w:val="18"/>
                <w:szCs w:val="18"/>
                <w:lang w:val="es-419" w:eastAsia="zh-CN"/>
              </w:rPr>
              <w:t>SIG</w:t>
            </w:r>
            <w:r w:rsidRPr="00E13ED4">
              <w:rPr>
                <w:rFonts w:ascii="Arial" w:hAnsi="Arial" w:cs="Arial"/>
                <w:sz w:val="18"/>
                <w:szCs w:val="18"/>
                <w:lang w:val="es-419" w:eastAsia="zh-CN"/>
              </w:rPr>
              <w:t xml:space="preserve"> </w:t>
            </w:r>
            <w:r>
              <w:rPr>
                <w:rFonts w:ascii="Arial" w:hAnsi="Arial" w:cs="Arial"/>
                <w:sz w:val="18"/>
                <w:szCs w:val="18"/>
                <w:lang w:val="es-419" w:eastAsia="zh-CN"/>
              </w:rPr>
              <w:t>de</w:t>
            </w:r>
            <w:r w:rsidRPr="00E13ED4">
              <w:rPr>
                <w:rFonts w:ascii="Arial" w:hAnsi="Arial" w:cs="Arial"/>
                <w:sz w:val="18"/>
                <w:szCs w:val="18"/>
                <w:lang w:val="es-419" w:eastAsia="zh-CN"/>
              </w:rPr>
              <w:t xml:space="preserve"> </w:t>
            </w:r>
            <w:r w:rsidR="00756B8D">
              <w:rPr>
                <w:rFonts w:ascii="Arial" w:eastAsia="Times New Roman" w:hAnsi="Arial" w:cs="Arial"/>
                <w:color w:val="000000"/>
                <w:sz w:val="18"/>
                <w:szCs w:val="18"/>
                <w:lang w:val="es-419" w:eastAsia="es-ES"/>
              </w:rPr>
              <w:t>BADENSAL.</w:t>
            </w:r>
          </w:p>
        </w:tc>
        <w:tc>
          <w:tcPr>
            <w:tcW w:w="3625" w:type="dxa"/>
            <w:tcBorders>
              <w:top w:val="single" w:sz="8" w:space="0" w:color="000000"/>
              <w:left w:val="nil"/>
              <w:bottom w:val="single" w:sz="12" w:space="0" w:color="000000"/>
              <w:right w:val="single" w:sz="8" w:space="0" w:color="000000"/>
            </w:tcBorders>
            <w:shd w:val="clear" w:color="auto" w:fill="auto"/>
            <w:vAlign w:val="center"/>
          </w:tcPr>
          <w:p w14:paraId="11B08DB2" w14:textId="7256B4EB" w:rsidR="00CD479F" w:rsidRPr="00BD72BE" w:rsidRDefault="00CD479F" w:rsidP="00CD479F">
            <w:pPr>
              <w:spacing w:before="120" w:after="120" w:line="240" w:lineRule="auto"/>
              <w:jc w:val="both"/>
              <w:rPr>
                <w:rFonts w:ascii="Arial" w:hAnsi="Arial" w:cs="Arial"/>
                <w:sz w:val="18"/>
                <w:szCs w:val="18"/>
                <w:lang w:val="es-419" w:eastAsia="zh-CN"/>
              </w:rPr>
            </w:pPr>
            <w:r w:rsidRPr="00BD72BE">
              <w:rPr>
                <w:rFonts w:ascii="Arial" w:hAnsi="Arial" w:cs="Arial"/>
                <w:sz w:val="18"/>
                <w:szCs w:val="18"/>
                <w:lang w:val="es-419" w:eastAsia="zh-CN"/>
              </w:rPr>
              <w:t>La línea de base recoge el cálculo del saldo de cartera</w:t>
            </w:r>
            <w:r w:rsidR="002F4ED8" w:rsidRPr="003079B9">
              <w:rPr>
                <w:rFonts w:ascii="Arial" w:hAnsi="Arial" w:cs="Arial"/>
                <w:sz w:val="18"/>
                <w:szCs w:val="18"/>
                <w:lang w:val="es-419" w:eastAsia="zh-CN"/>
              </w:rPr>
              <w:t xml:space="preserve"> de créditos para financiar capital de trabajo e inversiones en activo fijo a la </w:t>
            </w:r>
            <w:r w:rsidRPr="00BD72BE">
              <w:rPr>
                <w:rFonts w:ascii="Arial" w:hAnsi="Arial" w:cs="Arial"/>
                <w:sz w:val="18"/>
                <w:szCs w:val="18"/>
                <w:lang w:val="es-419" w:eastAsia="zh-CN"/>
              </w:rPr>
              <w:t>MIP</w:t>
            </w:r>
            <w:r>
              <w:rPr>
                <w:rFonts w:ascii="Arial" w:hAnsi="Arial" w:cs="Arial"/>
                <w:sz w:val="18"/>
                <w:szCs w:val="18"/>
                <w:lang w:val="es-419" w:eastAsia="zh-CN"/>
              </w:rPr>
              <w:t>Y</w:t>
            </w:r>
            <w:r w:rsidRPr="00BD72BE">
              <w:rPr>
                <w:rFonts w:ascii="Arial" w:hAnsi="Arial" w:cs="Arial"/>
                <w:sz w:val="18"/>
                <w:szCs w:val="18"/>
                <w:lang w:val="es-419" w:eastAsia="zh-CN"/>
              </w:rPr>
              <w:t xml:space="preserve">ME en </w:t>
            </w:r>
            <w:r w:rsidR="0008631C">
              <w:rPr>
                <w:rFonts w:ascii="Arial" w:hAnsi="Arial" w:cs="Arial"/>
                <w:sz w:val="18"/>
                <w:szCs w:val="18"/>
                <w:lang w:val="es-419" w:eastAsia="zh-CN"/>
              </w:rPr>
              <w:t>BANDESAL</w:t>
            </w:r>
            <w:r w:rsidRPr="00BD72BE">
              <w:rPr>
                <w:rFonts w:ascii="Arial" w:hAnsi="Arial" w:cs="Arial"/>
                <w:sz w:val="18"/>
                <w:szCs w:val="18"/>
                <w:lang w:val="es-419" w:eastAsia="zh-CN"/>
              </w:rPr>
              <w:t xml:space="preserve"> a 31 de marzo de 2020.</w:t>
            </w:r>
          </w:p>
          <w:p w14:paraId="514C6312" w14:textId="03678F4A" w:rsidR="00756B8D" w:rsidRPr="001F731F" w:rsidRDefault="00756B8D" w:rsidP="00756B8D">
            <w:pPr>
              <w:spacing w:after="0" w:line="240" w:lineRule="auto"/>
              <w:jc w:val="both"/>
              <w:rPr>
                <w:rFonts w:ascii="Arial" w:eastAsia="Times New Roman" w:hAnsi="Arial" w:cs="Arial"/>
                <w:color w:val="000000"/>
                <w:sz w:val="18"/>
                <w:szCs w:val="18"/>
                <w:lang w:val="es-ES_tradnl" w:eastAsia="es-ES"/>
              </w:rPr>
            </w:pPr>
            <w:r w:rsidRPr="00304927">
              <w:rPr>
                <w:rFonts w:ascii="Arial" w:hAnsi="Arial" w:cs="Arial"/>
                <w:sz w:val="18"/>
                <w:szCs w:val="18"/>
                <w:lang w:val="es-419" w:eastAsia="zh-CN"/>
              </w:rPr>
              <w:t xml:space="preserve">El seguimiento del indicador se hará en base a los créditos contratados en la </w:t>
            </w:r>
            <w:r w:rsidR="00CD479F" w:rsidRPr="00BD72BE">
              <w:rPr>
                <w:rFonts w:ascii="Arial" w:hAnsi="Arial" w:cs="Arial"/>
                <w:sz w:val="18"/>
                <w:szCs w:val="18"/>
                <w:lang w:val="es-419" w:eastAsia="zh-CN"/>
              </w:rPr>
              <w:t>cartera</w:t>
            </w:r>
            <w:r w:rsidRPr="003079B9" w:rsidDel="00DD7A82">
              <w:rPr>
                <w:rFonts w:ascii="Arial" w:hAnsi="Arial" w:cs="Arial"/>
                <w:sz w:val="18"/>
                <w:szCs w:val="18"/>
                <w:lang w:val="es-419" w:eastAsia="zh-CN"/>
              </w:rPr>
              <w:t>.</w:t>
            </w:r>
          </w:p>
        </w:tc>
      </w:tr>
      <w:tr w:rsidR="002F4ED8" w:rsidRPr="00015230" w14:paraId="2BFEF1F0" w14:textId="77777777" w:rsidTr="00503915">
        <w:trPr>
          <w:trHeight w:val="1296"/>
          <w:jc w:val="center"/>
        </w:trPr>
        <w:tc>
          <w:tcPr>
            <w:tcW w:w="2093" w:type="dxa"/>
            <w:tcBorders>
              <w:top w:val="single" w:sz="12" w:space="0" w:color="000000"/>
              <w:left w:val="single" w:sz="8" w:space="0" w:color="000000"/>
              <w:bottom w:val="nil"/>
              <w:right w:val="single" w:sz="8" w:space="0" w:color="000000"/>
            </w:tcBorders>
            <w:shd w:val="clear" w:color="auto" w:fill="auto"/>
            <w:vAlign w:val="center"/>
          </w:tcPr>
          <w:p w14:paraId="571560D7" w14:textId="36F0BD5C" w:rsidR="002F4ED8" w:rsidRPr="001F731F" w:rsidRDefault="002F4ED8" w:rsidP="00242C2A">
            <w:pPr>
              <w:spacing w:after="0" w:line="240" w:lineRule="auto"/>
              <w:jc w:val="both"/>
              <w:rPr>
                <w:rFonts w:ascii="Arial" w:eastAsia="Times New Roman" w:hAnsi="Arial" w:cs="Arial"/>
                <w:b/>
                <w:bCs/>
                <w:color w:val="000000"/>
                <w:sz w:val="18"/>
                <w:szCs w:val="18"/>
                <w:lang w:val="es-ES_tradnl" w:eastAsia="es-ES"/>
              </w:rPr>
            </w:pPr>
            <w:r w:rsidRPr="003079B9">
              <w:rPr>
                <w:rFonts w:ascii="Arial" w:hAnsi="Arial" w:cs="Arial"/>
                <w:b/>
                <w:sz w:val="18"/>
                <w:szCs w:val="18"/>
                <w:lang w:val="es-419"/>
              </w:rPr>
              <w:t xml:space="preserve">Indicador </w:t>
            </w:r>
            <w:r w:rsidRPr="003079B9">
              <w:rPr>
                <w:rFonts w:ascii="Arial" w:hAnsi="Arial" w:cs="Arial"/>
                <w:b/>
                <w:bCs/>
                <w:sz w:val="18"/>
                <w:szCs w:val="18"/>
                <w:lang w:val="es-419"/>
              </w:rPr>
              <w:t>3</w:t>
            </w:r>
            <w:r w:rsidRPr="003079B9">
              <w:rPr>
                <w:rFonts w:ascii="Arial" w:hAnsi="Arial" w:cs="Arial"/>
                <w:b/>
                <w:sz w:val="18"/>
                <w:szCs w:val="18"/>
                <w:lang w:val="es-419"/>
              </w:rPr>
              <w:t>:</w:t>
            </w:r>
            <w:r w:rsidRPr="003079B9">
              <w:rPr>
                <w:rFonts w:ascii="Arial" w:hAnsi="Arial" w:cs="Arial"/>
                <w:sz w:val="18"/>
                <w:szCs w:val="18"/>
                <w:lang w:val="es-419"/>
              </w:rPr>
              <w:t xml:space="preserve"> </w:t>
            </w:r>
            <w:r w:rsidRPr="00503915">
              <w:rPr>
                <w:rFonts w:ascii="Arial" w:hAnsi="Arial"/>
                <w:sz w:val="18"/>
                <w:lang w:val="es-419"/>
              </w:rPr>
              <w:t xml:space="preserve"> </w:t>
            </w:r>
            <w:r w:rsidRPr="003079B9">
              <w:rPr>
                <w:rFonts w:ascii="Arial" w:hAnsi="Arial" w:cs="Arial"/>
                <w:sz w:val="18"/>
                <w:szCs w:val="18"/>
                <w:lang w:val="es-419"/>
              </w:rPr>
              <w:t>Apalancamiento de recursos de financiamiento de capital de trabajo e inversión en activo fijo a la MIPYME alcanzado gracias al apoyo del programa.</w:t>
            </w:r>
          </w:p>
        </w:tc>
        <w:tc>
          <w:tcPr>
            <w:tcW w:w="1553" w:type="dxa"/>
            <w:tcBorders>
              <w:top w:val="single" w:sz="12" w:space="0" w:color="000000"/>
              <w:left w:val="nil"/>
              <w:bottom w:val="nil"/>
              <w:right w:val="single" w:sz="8" w:space="0" w:color="000000"/>
            </w:tcBorders>
            <w:shd w:val="clear" w:color="auto" w:fill="auto"/>
            <w:vAlign w:val="center"/>
          </w:tcPr>
          <w:p w14:paraId="6A30EAC0" w14:textId="77777777" w:rsidR="002F4ED8" w:rsidRPr="001F731F" w:rsidRDefault="002F4ED8" w:rsidP="002F4ED8">
            <w:pPr>
              <w:spacing w:after="0" w:line="240" w:lineRule="auto"/>
              <w:jc w:val="center"/>
              <w:rPr>
                <w:rFonts w:ascii="Arial" w:eastAsia="Times New Roman" w:hAnsi="Arial" w:cs="Arial"/>
                <w:color w:val="000000"/>
                <w:sz w:val="18"/>
                <w:szCs w:val="18"/>
                <w:lang w:val="es-ES_tradnl" w:eastAsia="es-ES"/>
              </w:rPr>
            </w:pPr>
            <w:r w:rsidRPr="00503915">
              <w:rPr>
                <w:rFonts w:ascii="Arial" w:hAnsi="Arial"/>
                <w:sz w:val="18"/>
                <w:lang w:val="es-419"/>
              </w:rPr>
              <w:t>%</w:t>
            </w:r>
          </w:p>
        </w:tc>
        <w:tc>
          <w:tcPr>
            <w:tcW w:w="1542" w:type="dxa"/>
            <w:tcBorders>
              <w:top w:val="single" w:sz="12" w:space="0" w:color="000000"/>
              <w:left w:val="nil"/>
              <w:bottom w:val="nil"/>
              <w:right w:val="single" w:sz="8" w:space="0" w:color="000000"/>
            </w:tcBorders>
            <w:shd w:val="clear" w:color="auto" w:fill="auto"/>
            <w:vAlign w:val="center"/>
          </w:tcPr>
          <w:p w14:paraId="71AAAF00" w14:textId="1CDB29C4" w:rsidR="002F4ED8" w:rsidRPr="001F731F" w:rsidRDefault="00012DA5" w:rsidP="00242C2A">
            <w:pPr>
              <w:spacing w:after="0" w:line="240" w:lineRule="auto"/>
              <w:jc w:val="both"/>
              <w:rPr>
                <w:rFonts w:ascii="Arial" w:eastAsia="Times New Roman" w:hAnsi="Arial" w:cs="Arial"/>
                <w:color w:val="000000"/>
                <w:sz w:val="18"/>
                <w:szCs w:val="18"/>
                <w:lang w:val="es-ES_tradnl" w:eastAsia="es-ES"/>
              </w:rPr>
            </w:pPr>
            <w:r>
              <w:rPr>
                <w:rFonts w:ascii="Arial" w:hAnsi="Arial" w:cs="Arial"/>
                <w:sz w:val="18"/>
                <w:szCs w:val="18"/>
                <w:lang w:val="es-419" w:eastAsia="zh-CN"/>
              </w:rPr>
              <w:t>SIG</w:t>
            </w:r>
            <w:r w:rsidRPr="00E13ED4">
              <w:rPr>
                <w:rFonts w:ascii="Arial" w:hAnsi="Arial" w:cs="Arial"/>
                <w:sz w:val="18"/>
                <w:szCs w:val="18"/>
                <w:lang w:val="es-419" w:eastAsia="zh-CN"/>
              </w:rPr>
              <w:t xml:space="preserve"> </w:t>
            </w:r>
            <w:r>
              <w:rPr>
                <w:rFonts w:ascii="Arial" w:hAnsi="Arial" w:cs="Arial"/>
                <w:sz w:val="18"/>
                <w:szCs w:val="18"/>
                <w:lang w:val="es-419" w:eastAsia="zh-CN"/>
              </w:rPr>
              <w:t>de</w:t>
            </w:r>
            <w:r w:rsidRPr="00E13ED4">
              <w:rPr>
                <w:rFonts w:ascii="Arial" w:hAnsi="Arial" w:cs="Arial"/>
                <w:sz w:val="18"/>
                <w:szCs w:val="18"/>
                <w:lang w:val="es-419" w:eastAsia="zh-CN"/>
              </w:rPr>
              <w:t xml:space="preserve"> </w:t>
            </w:r>
            <w:r w:rsidR="0008631C">
              <w:rPr>
                <w:rFonts w:ascii="Arial" w:eastAsia="Times New Roman" w:hAnsi="Arial" w:cs="Arial"/>
                <w:color w:val="000000"/>
                <w:sz w:val="18"/>
                <w:szCs w:val="18"/>
                <w:lang w:val="es-419" w:eastAsia="es-ES"/>
              </w:rPr>
              <w:t>BANDESAL</w:t>
            </w:r>
            <w:r>
              <w:rPr>
                <w:rFonts w:ascii="Arial" w:eastAsia="Times New Roman" w:hAnsi="Arial" w:cs="Arial"/>
                <w:color w:val="000000"/>
                <w:sz w:val="18"/>
                <w:szCs w:val="18"/>
                <w:lang w:val="es-419" w:eastAsia="es-ES"/>
              </w:rPr>
              <w:t>.</w:t>
            </w:r>
          </w:p>
        </w:tc>
        <w:tc>
          <w:tcPr>
            <w:tcW w:w="3625" w:type="dxa"/>
            <w:tcBorders>
              <w:top w:val="single" w:sz="12" w:space="0" w:color="000000"/>
              <w:left w:val="nil"/>
              <w:bottom w:val="nil"/>
              <w:right w:val="single" w:sz="8" w:space="0" w:color="000000"/>
            </w:tcBorders>
            <w:shd w:val="clear" w:color="auto" w:fill="auto"/>
            <w:vAlign w:val="center"/>
          </w:tcPr>
          <w:p w14:paraId="3C087861" w14:textId="422CD4E9" w:rsidR="002F4ED8" w:rsidRPr="001F731F" w:rsidRDefault="00B51BD6" w:rsidP="00C54C81">
            <w:pPr>
              <w:spacing w:before="120" w:after="120" w:line="240" w:lineRule="auto"/>
              <w:jc w:val="both"/>
              <w:rPr>
                <w:rFonts w:ascii="Arial" w:eastAsia="Times New Roman" w:hAnsi="Arial" w:cs="Arial"/>
                <w:color w:val="000000"/>
                <w:sz w:val="18"/>
                <w:szCs w:val="18"/>
                <w:lang w:val="es-ES_tradnl" w:eastAsia="es-ES"/>
              </w:rPr>
            </w:pPr>
            <w:r w:rsidRPr="00304927">
              <w:rPr>
                <w:rFonts w:ascii="Arial" w:hAnsi="Arial" w:cs="Arial"/>
                <w:iCs/>
                <w:sz w:val="18"/>
                <w:szCs w:val="18"/>
                <w:lang w:val="es-419"/>
              </w:rPr>
              <w:t>Incluye el detalle de movilización de recursos gracias al apoyo del programa. La línea de base se ha obtenido con una muestra del 10% de la base de datos de cartera de BANDESAL al 31 de marzo de 2020 para el que se tenía información, ya que no es un campo obligatorio en la solicitud de crédito. Se espera que con el apoyo del proyecto se mantenga el nivel de apalancamiento.</w:t>
            </w:r>
          </w:p>
        </w:tc>
      </w:tr>
      <w:tr w:rsidR="002F4ED8" w:rsidRPr="00015230" w14:paraId="60868A8E" w14:textId="77777777" w:rsidTr="00503915">
        <w:trPr>
          <w:trHeight w:val="2100"/>
          <w:jc w:val="center"/>
        </w:trPr>
        <w:tc>
          <w:tcPr>
            <w:tcW w:w="2093" w:type="dxa"/>
            <w:tcBorders>
              <w:top w:val="single" w:sz="8" w:space="0" w:color="000000"/>
              <w:left w:val="single" w:sz="8" w:space="0" w:color="000000"/>
              <w:bottom w:val="nil"/>
              <w:right w:val="single" w:sz="8" w:space="0" w:color="000000"/>
            </w:tcBorders>
            <w:shd w:val="clear" w:color="auto" w:fill="auto"/>
            <w:vAlign w:val="center"/>
          </w:tcPr>
          <w:p w14:paraId="6E944FB6" w14:textId="15D2D32E" w:rsidR="002F4ED8" w:rsidRPr="001F731F" w:rsidRDefault="002F4ED8" w:rsidP="00242C2A">
            <w:pPr>
              <w:spacing w:after="0" w:line="240" w:lineRule="auto"/>
              <w:jc w:val="both"/>
              <w:rPr>
                <w:rFonts w:ascii="Arial" w:eastAsia="Times New Roman" w:hAnsi="Arial" w:cs="Arial"/>
                <w:b/>
                <w:bCs/>
                <w:color w:val="000000"/>
                <w:sz w:val="18"/>
                <w:szCs w:val="18"/>
                <w:lang w:val="es-ES_tradnl" w:eastAsia="es-ES"/>
              </w:rPr>
            </w:pPr>
            <w:r w:rsidRPr="003079B9">
              <w:rPr>
                <w:rFonts w:ascii="Arial" w:hAnsi="Arial" w:cs="Arial"/>
                <w:b/>
                <w:bCs/>
                <w:sz w:val="18"/>
                <w:szCs w:val="18"/>
                <w:lang w:val="es-419"/>
              </w:rPr>
              <w:lastRenderedPageBreak/>
              <w:t>Indicador 4:</w:t>
            </w:r>
            <w:r w:rsidRPr="003079B9">
              <w:rPr>
                <w:rFonts w:ascii="Arial" w:hAnsi="Arial" w:cs="Arial"/>
                <w:sz w:val="18"/>
                <w:szCs w:val="18"/>
                <w:lang w:val="es-419"/>
              </w:rPr>
              <w:t xml:space="preserve"> </w:t>
            </w:r>
            <w:r w:rsidRPr="00503915">
              <w:rPr>
                <w:rFonts w:ascii="Arial" w:hAnsi="Arial"/>
                <w:sz w:val="18"/>
                <w:lang w:val="es-419"/>
              </w:rPr>
              <w:t xml:space="preserve"> </w:t>
            </w:r>
            <w:r w:rsidRPr="003079B9">
              <w:rPr>
                <w:rFonts w:ascii="Arial" w:hAnsi="Arial" w:cs="Arial"/>
                <w:sz w:val="18"/>
                <w:szCs w:val="18"/>
                <w:lang w:val="es-419"/>
              </w:rPr>
              <w:t xml:space="preserve">Monto de la cartera de financiamiento de capital de trabajo e inversión en activo fijo </w:t>
            </w:r>
            <w:r w:rsidR="00CD479F" w:rsidRPr="00BD72BE">
              <w:rPr>
                <w:rFonts w:ascii="Arial" w:hAnsi="Arial" w:cs="Arial"/>
                <w:sz w:val="18"/>
                <w:szCs w:val="18"/>
                <w:lang w:val="es-419"/>
              </w:rPr>
              <w:t>para</w:t>
            </w:r>
            <w:r w:rsidRPr="003079B9">
              <w:rPr>
                <w:rFonts w:ascii="Arial" w:hAnsi="Arial" w:cs="Arial"/>
                <w:sz w:val="18"/>
                <w:szCs w:val="18"/>
                <w:lang w:val="es-419"/>
              </w:rPr>
              <w:t xml:space="preserve"> MIPYME.</w:t>
            </w:r>
          </w:p>
        </w:tc>
        <w:tc>
          <w:tcPr>
            <w:tcW w:w="1553" w:type="dxa"/>
            <w:tcBorders>
              <w:top w:val="single" w:sz="8" w:space="0" w:color="000000"/>
              <w:left w:val="nil"/>
              <w:bottom w:val="nil"/>
              <w:right w:val="single" w:sz="8" w:space="0" w:color="000000"/>
            </w:tcBorders>
            <w:shd w:val="clear" w:color="auto" w:fill="auto"/>
            <w:vAlign w:val="center"/>
          </w:tcPr>
          <w:p w14:paraId="4AC2FCEA" w14:textId="53FC463B" w:rsidR="002F4ED8" w:rsidRPr="001F731F" w:rsidRDefault="00CD479F" w:rsidP="002F4ED8">
            <w:pPr>
              <w:spacing w:after="0" w:line="240" w:lineRule="auto"/>
              <w:jc w:val="center"/>
              <w:rPr>
                <w:rFonts w:ascii="Arial" w:eastAsia="Times New Roman" w:hAnsi="Arial" w:cs="Arial"/>
                <w:color w:val="000000"/>
                <w:sz w:val="18"/>
                <w:szCs w:val="18"/>
                <w:lang w:val="es-ES_tradnl" w:eastAsia="es-ES"/>
              </w:rPr>
            </w:pPr>
            <w:r w:rsidRPr="00BD72BE">
              <w:rPr>
                <w:rFonts w:ascii="Arial" w:hAnsi="Arial" w:cs="Arial"/>
                <w:sz w:val="18"/>
                <w:szCs w:val="18"/>
                <w:lang w:val="es-419"/>
              </w:rPr>
              <w:t>Millones de US$</w:t>
            </w:r>
          </w:p>
        </w:tc>
        <w:tc>
          <w:tcPr>
            <w:tcW w:w="1542" w:type="dxa"/>
            <w:tcBorders>
              <w:top w:val="single" w:sz="8" w:space="0" w:color="000000"/>
              <w:left w:val="nil"/>
              <w:bottom w:val="nil"/>
              <w:right w:val="single" w:sz="8" w:space="0" w:color="000000"/>
            </w:tcBorders>
            <w:shd w:val="clear" w:color="auto" w:fill="auto"/>
            <w:vAlign w:val="center"/>
          </w:tcPr>
          <w:p w14:paraId="356D8A54" w14:textId="1D66CD78" w:rsidR="002F4ED8" w:rsidRPr="001F731F" w:rsidRDefault="00453553" w:rsidP="00242C2A">
            <w:pPr>
              <w:spacing w:after="0" w:line="240" w:lineRule="auto"/>
              <w:jc w:val="both"/>
              <w:rPr>
                <w:rFonts w:ascii="Arial" w:eastAsia="Times New Roman" w:hAnsi="Arial" w:cs="Arial"/>
                <w:color w:val="000000"/>
                <w:sz w:val="18"/>
                <w:szCs w:val="18"/>
                <w:lang w:val="es-ES_tradnl" w:eastAsia="es-ES"/>
              </w:rPr>
            </w:pPr>
            <w:r>
              <w:rPr>
                <w:rFonts w:ascii="Arial" w:hAnsi="Arial" w:cs="Arial"/>
                <w:sz w:val="18"/>
                <w:szCs w:val="18"/>
                <w:lang w:val="es-419" w:eastAsia="zh-CN"/>
              </w:rPr>
              <w:t>SIG</w:t>
            </w:r>
            <w:r w:rsidRPr="00E13ED4">
              <w:rPr>
                <w:rFonts w:ascii="Arial" w:hAnsi="Arial" w:cs="Arial"/>
                <w:sz w:val="18"/>
                <w:szCs w:val="18"/>
                <w:lang w:val="es-419" w:eastAsia="zh-CN"/>
              </w:rPr>
              <w:t xml:space="preserve"> </w:t>
            </w:r>
            <w:r>
              <w:rPr>
                <w:rFonts w:ascii="Arial" w:hAnsi="Arial" w:cs="Arial"/>
                <w:sz w:val="18"/>
                <w:szCs w:val="18"/>
                <w:lang w:val="es-419" w:eastAsia="zh-CN"/>
              </w:rPr>
              <w:t>de</w:t>
            </w:r>
            <w:r w:rsidRPr="00E13ED4">
              <w:rPr>
                <w:rFonts w:ascii="Arial" w:hAnsi="Arial" w:cs="Arial"/>
                <w:sz w:val="18"/>
                <w:szCs w:val="18"/>
                <w:lang w:val="es-419" w:eastAsia="zh-CN"/>
              </w:rPr>
              <w:t xml:space="preserve"> </w:t>
            </w:r>
            <w:r w:rsidR="0008631C">
              <w:rPr>
                <w:rFonts w:ascii="Arial" w:eastAsia="Times New Roman" w:hAnsi="Arial" w:cs="Arial"/>
                <w:color w:val="000000"/>
                <w:sz w:val="18"/>
                <w:szCs w:val="18"/>
                <w:lang w:val="es-419" w:eastAsia="es-ES"/>
              </w:rPr>
              <w:t>BANDESAL</w:t>
            </w:r>
            <w:r>
              <w:rPr>
                <w:rFonts w:ascii="Arial" w:eastAsia="Times New Roman" w:hAnsi="Arial" w:cs="Arial"/>
                <w:color w:val="000000"/>
                <w:sz w:val="18"/>
                <w:szCs w:val="18"/>
                <w:lang w:val="es-419" w:eastAsia="es-ES"/>
              </w:rPr>
              <w:t>.</w:t>
            </w:r>
          </w:p>
        </w:tc>
        <w:tc>
          <w:tcPr>
            <w:tcW w:w="3625" w:type="dxa"/>
            <w:tcBorders>
              <w:top w:val="single" w:sz="8" w:space="0" w:color="000000"/>
              <w:left w:val="nil"/>
              <w:bottom w:val="nil"/>
              <w:right w:val="single" w:sz="8" w:space="0" w:color="000000"/>
            </w:tcBorders>
            <w:shd w:val="clear" w:color="auto" w:fill="auto"/>
            <w:vAlign w:val="center"/>
          </w:tcPr>
          <w:p w14:paraId="6331C7E9" w14:textId="0BE527EC" w:rsidR="002F4ED8" w:rsidRPr="003079B9" w:rsidDel="00E83F5B" w:rsidRDefault="002F4ED8" w:rsidP="00E83F5B">
            <w:pPr>
              <w:spacing w:before="120" w:after="120" w:line="240" w:lineRule="auto"/>
              <w:jc w:val="both"/>
              <w:rPr>
                <w:rFonts w:ascii="Arial" w:hAnsi="Arial" w:cs="Arial"/>
                <w:sz w:val="18"/>
                <w:szCs w:val="18"/>
                <w:lang w:val="es-419" w:eastAsia="zh-CN"/>
              </w:rPr>
            </w:pPr>
            <w:r w:rsidRPr="003079B9" w:rsidDel="00E83F5B">
              <w:rPr>
                <w:rFonts w:ascii="Arial" w:hAnsi="Arial" w:cs="Arial"/>
                <w:sz w:val="18"/>
                <w:szCs w:val="18"/>
                <w:lang w:val="es-419" w:eastAsia="zh-CN"/>
              </w:rPr>
              <w:t xml:space="preserve">La cartera incluye </w:t>
            </w:r>
            <w:r w:rsidR="001A5E2C">
              <w:rPr>
                <w:rFonts w:ascii="Arial" w:hAnsi="Arial" w:cs="Arial"/>
                <w:sz w:val="18"/>
                <w:szCs w:val="18"/>
                <w:lang w:val="es-419" w:eastAsia="zh-CN"/>
              </w:rPr>
              <w:t>financiamiento de</w:t>
            </w:r>
            <w:r w:rsidRPr="003079B9" w:rsidDel="00E83F5B">
              <w:rPr>
                <w:rFonts w:ascii="Arial" w:hAnsi="Arial" w:cs="Arial"/>
                <w:sz w:val="18"/>
                <w:szCs w:val="18"/>
                <w:lang w:val="es-419" w:eastAsia="zh-CN"/>
              </w:rPr>
              <w:t xml:space="preserve"> capital de trabajo e inversiones en activo fijo que incrementen la operatividad del negocio de las MIPYME y, por lo tanto, promuevan sus actividades productivas y su recuperación.</w:t>
            </w:r>
          </w:p>
          <w:p w14:paraId="152A51FA" w14:textId="71394C78" w:rsidR="00CD479F" w:rsidRDefault="002F4ED8" w:rsidP="00CD479F">
            <w:pPr>
              <w:spacing w:before="120" w:after="120" w:line="240" w:lineRule="auto"/>
              <w:jc w:val="both"/>
              <w:rPr>
                <w:rFonts w:ascii="Arial" w:hAnsi="Arial" w:cs="Arial"/>
                <w:sz w:val="18"/>
                <w:szCs w:val="18"/>
                <w:lang w:val="es-419" w:eastAsia="zh-CN"/>
              </w:rPr>
            </w:pPr>
            <w:r w:rsidRPr="003079B9" w:rsidDel="00E83F5B">
              <w:rPr>
                <w:rFonts w:ascii="Arial" w:hAnsi="Arial" w:cs="Arial"/>
                <w:sz w:val="18"/>
                <w:szCs w:val="18"/>
                <w:lang w:val="es-419" w:eastAsia="zh-CN"/>
              </w:rPr>
              <w:t>El 44</w:t>
            </w:r>
            <w:r w:rsidR="00242C2A" w:rsidDel="00E83F5B">
              <w:rPr>
                <w:rFonts w:ascii="Arial" w:hAnsi="Arial" w:cs="Arial"/>
                <w:sz w:val="18"/>
                <w:szCs w:val="18"/>
                <w:lang w:val="es-419" w:eastAsia="zh-CN"/>
              </w:rPr>
              <w:t>,</w:t>
            </w:r>
            <w:r w:rsidRPr="003079B9" w:rsidDel="00E83F5B">
              <w:rPr>
                <w:rFonts w:ascii="Arial" w:hAnsi="Arial" w:cs="Arial"/>
                <w:sz w:val="18"/>
                <w:szCs w:val="18"/>
                <w:lang w:val="es-419" w:eastAsia="zh-CN"/>
              </w:rPr>
              <w:t xml:space="preserve">26% de esta cartera corresponde al monto promedio de capital de trabajo contratado en MIPYMES respecto al monto total contratado en el segmento MIPYME de los últimos 5 años (2015-2019). </w:t>
            </w:r>
            <w:r w:rsidR="00AD4DC0">
              <w:rPr>
                <w:rFonts w:ascii="Arial" w:hAnsi="Arial" w:cs="Arial"/>
                <w:sz w:val="18"/>
                <w:szCs w:val="18"/>
                <w:lang w:val="es-419" w:eastAsia="zh-CN"/>
              </w:rPr>
              <w:t>E</w:t>
            </w:r>
            <w:r w:rsidRPr="003079B9" w:rsidDel="00E83F5B">
              <w:rPr>
                <w:rFonts w:ascii="Arial" w:hAnsi="Arial" w:cs="Arial"/>
                <w:sz w:val="18"/>
                <w:szCs w:val="18"/>
                <w:lang w:val="es-419" w:eastAsia="zh-CN"/>
              </w:rPr>
              <w:t>l capital de trabajo según la oferta comercial de BANDESAL puede tener un plazo de hasta 4 años.</w:t>
            </w:r>
          </w:p>
          <w:p w14:paraId="01EF9DD4" w14:textId="13979833" w:rsidR="002F4ED8" w:rsidRPr="001F731F" w:rsidRDefault="00CD479F" w:rsidP="002F4ED8">
            <w:pPr>
              <w:spacing w:after="0" w:line="240" w:lineRule="auto"/>
              <w:jc w:val="both"/>
              <w:rPr>
                <w:rFonts w:ascii="Arial" w:eastAsia="Times New Roman" w:hAnsi="Arial" w:cs="Arial"/>
                <w:color w:val="000000"/>
                <w:sz w:val="18"/>
                <w:szCs w:val="18"/>
                <w:lang w:val="es-ES_tradnl" w:eastAsia="es-ES"/>
              </w:rPr>
            </w:pPr>
            <w:r>
              <w:rPr>
                <w:rFonts w:ascii="Arial" w:hAnsi="Arial" w:cs="Arial"/>
                <w:sz w:val="18"/>
                <w:szCs w:val="18"/>
                <w:lang w:val="es-419" w:eastAsia="zh-CN"/>
              </w:rPr>
              <w:t xml:space="preserve">La línea de base se calculó como el saldo total de la cartera a diciembre de 2019. Proyecciones internas de </w:t>
            </w:r>
            <w:r w:rsidR="0008631C">
              <w:rPr>
                <w:rFonts w:ascii="Arial" w:hAnsi="Arial" w:cs="Arial"/>
                <w:sz w:val="18"/>
                <w:szCs w:val="18"/>
                <w:lang w:val="es-419" w:eastAsia="zh-CN"/>
              </w:rPr>
              <w:t>BANDESAL</w:t>
            </w:r>
            <w:r>
              <w:rPr>
                <w:rFonts w:ascii="Arial" w:hAnsi="Arial" w:cs="Arial"/>
                <w:sz w:val="18"/>
                <w:szCs w:val="18"/>
                <w:lang w:val="es-419" w:eastAsia="zh-CN"/>
              </w:rPr>
              <w:t xml:space="preserve"> apuntan a una caída del 30% sobre la línea de base</w:t>
            </w:r>
            <w:r w:rsidR="0066190B">
              <w:rPr>
                <w:rFonts w:ascii="Arial" w:hAnsi="Arial" w:cs="Arial"/>
                <w:sz w:val="18"/>
                <w:szCs w:val="18"/>
                <w:lang w:val="es-419" w:eastAsia="zh-CN"/>
              </w:rPr>
              <w:t xml:space="preserve"> y</w:t>
            </w:r>
            <w:r>
              <w:rPr>
                <w:rFonts w:ascii="Arial" w:hAnsi="Arial" w:cs="Arial"/>
                <w:sz w:val="18"/>
                <w:szCs w:val="18"/>
                <w:lang w:val="es-419" w:eastAsia="zh-CN"/>
              </w:rPr>
              <w:t xml:space="preserve"> en ausencia del apoyo del BID. La meta final se ha calculado teniendo en cuenta esa proyección y adicionando los recursos del BID.</w:t>
            </w:r>
          </w:p>
        </w:tc>
      </w:tr>
      <w:tr w:rsidR="002F4ED8" w:rsidRPr="00015230" w14:paraId="30532686" w14:textId="77777777" w:rsidTr="00503915">
        <w:trPr>
          <w:trHeight w:val="1296"/>
          <w:jc w:val="center"/>
        </w:trPr>
        <w:tc>
          <w:tcPr>
            <w:tcW w:w="2093" w:type="dxa"/>
            <w:tcBorders>
              <w:top w:val="single" w:sz="8" w:space="0" w:color="000000"/>
              <w:left w:val="single" w:sz="8" w:space="0" w:color="000000"/>
              <w:bottom w:val="nil"/>
              <w:right w:val="single" w:sz="8" w:space="0" w:color="000000"/>
            </w:tcBorders>
            <w:shd w:val="clear" w:color="auto" w:fill="auto"/>
            <w:vAlign w:val="center"/>
          </w:tcPr>
          <w:p w14:paraId="247E60CD" w14:textId="33AAF9F1" w:rsidR="002F4ED8" w:rsidRPr="001F731F" w:rsidRDefault="002F4ED8" w:rsidP="00242C2A">
            <w:pPr>
              <w:spacing w:after="0" w:line="240" w:lineRule="auto"/>
              <w:jc w:val="both"/>
              <w:rPr>
                <w:rFonts w:ascii="Arial" w:eastAsia="Times New Roman" w:hAnsi="Arial" w:cs="Arial"/>
                <w:b/>
                <w:bCs/>
                <w:color w:val="000000"/>
                <w:sz w:val="18"/>
                <w:szCs w:val="18"/>
                <w:lang w:val="es-ES_tradnl" w:eastAsia="es-ES"/>
              </w:rPr>
            </w:pPr>
            <w:r w:rsidRPr="003079B9">
              <w:rPr>
                <w:rFonts w:ascii="Arial" w:hAnsi="Arial" w:cs="Arial"/>
                <w:b/>
                <w:bCs/>
                <w:sz w:val="18"/>
                <w:szCs w:val="18"/>
                <w:lang w:val="es-419"/>
              </w:rPr>
              <w:t>Indicador 5:</w:t>
            </w:r>
            <w:r w:rsidRPr="003079B9">
              <w:rPr>
                <w:rFonts w:ascii="Arial" w:hAnsi="Arial" w:cs="Arial"/>
                <w:sz w:val="18"/>
                <w:szCs w:val="18"/>
                <w:lang w:val="es-419"/>
              </w:rPr>
              <w:t xml:space="preserve"> </w:t>
            </w:r>
            <w:r w:rsidRPr="00503915">
              <w:rPr>
                <w:rFonts w:ascii="Arial" w:hAnsi="Arial"/>
                <w:sz w:val="18"/>
                <w:lang w:val="es-419"/>
              </w:rPr>
              <w:t xml:space="preserve"> </w:t>
            </w:r>
            <w:r w:rsidRPr="003079B9">
              <w:rPr>
                <w:rFonts w:ascii="Arial" w:hAnsi="Arial" w:cs="Arial"/>
                <w:sz w:val="18"/>
                <w:szCs w:val="18"/>
                <w:lang w:val="es-419"/>
              </w:rPr>
              <w:t>Proporción del crédito de mediano plazo a MIPYME de mujeres (</w:t>
            </w:r>
            <w:r w:rsidRPr="003079B9" w:rsidDel="004A79D5">
              <w:rPr>
                <w:rFonts w:ascii="Arial" w:hAnsi="Arial" w:cs="Arial"/>
                <w:sz w:val="18"/>
                <w:szCs w:val="18"/>
                <w:lang w:val="es-419"/>
              </w:rPr>
              <w:t xml:space="preserve">más de </w:t>
            </w:r>
            <w:r w:rsidRPr="003079B9">
              <w:rPr>
                <w:rFonts w:ascii="Arial" w:hAnsi="Arial" w:cs="Arial"/>
                <w:sz w:val="18"/>
                <w:szCs w:val="18"/>
                <w:lang w:val="es-419"/>
              </w:rPr>
              <w:t>12 meses) en la cartera de MIPYME de mediano plazo.</w:t>
            </w:r>
          </w:p>
        </w:tc>
        <w:tc>
          <w:tcPr>
            <w:tcW w:w="1553" w:type="dxa"/>
            <w:tcBorders>
              <w:top w:val="single" w:sz="8" w:space="0" w:color="000000"/>
              <w:left w:val="nil"/>
              <w:bottom w:val="nil"/>
              <w:right w:val="single" w:sz="8" w:space="0" w:color="000000"/>
            </w:tcBorders>
            <w:shd w:val="clear" w:color="auto" w:fill="auto"/>
            <w:vAlign w:val="center"/>
          </w:tcPr>
          <w:p w14:paraId="1F546294" w14:textId="77777777" w:rsidR="002F4ED8" w:rsidRPr="001F731F" w:rsidRDefault="002F4ED8" w:rsidP="002F4ED8">
            <w:pPr>
              <w:spacing w:after="0" w:line="240" w:lineRule="auto"/>
              <w:jc w:val="center"/>
              <w:rPr>
                <w:rFonts w:ascii="Arial" w:eastAsia="Times New Roman" w:hAnsi="Arial" w:cs="Arial"/>
                <w:color w:val="000000"/>
                <w:sz w:val="18"/>
                <w:szCs w:val="18"/>
                <w:lang w:val="es-ES_tradnl" w:eastAsia="es-ES"/>
              </w:rPr>
            </w:pPr>
            <w:r w:rsidRPr="00503915">
              <w:rPr>
                <w:rFonts w:ascii="Arial" w:hAnsi="Arial"/>
                <w:sz w:val="18"/>
                <w:lang w:val="es-419"/>
              </w:rPr>
              <w:t>%</w:t>
            </w:r>
          </w:p>
        </w:tc>
        <w:tc>
          <w:tcPr>
            <w:tcW w:w="1542" w:type="dxa"/>
            <w:tcBorders>
              <w:top w:val="single" w:sz="8" w:space="0" w:color="000000"/>
              <w:left w:val="nil"/>
              <w:bottom w:val="nil"/>
              <w:right w:val="single" w:sz="8" w:space="0" w:color="000000"/>
            </w:tcBorders>
            <w:shd w:val="clear" w:color="auto" w:fill="auto"/>
            <w:vAlign w:val="center"/>
          </w:tcPr>
          <w:p w14:paraId="035693E6" w14:textId="3E37793A" w:rsidR="002F4ED8" w:rsidRPr="001F731F" w:rsidRDefault="0036117A" w:rsidP="00242C2A">
            <w:pPr>
              <w:spacing w:after="0" w:line="240" w:lineRule="auto"/>
              <w:jc w:val="both"/>
              <w:rPr>
                <w:rFonts w:ascii="Arial" w:eastAsia="Times New Roman" w:hAnsi="Arial" w:cs="Arial"/>
                <w:color w:val="000000"/>
                <w:sz w:val="18"/>
                <w:szCs w:val="18"/>
                <w:lang w:val="es-ES_tradnl" w:eastAsia="es-ES"/>
              </w:rPr>
            </w:pPr>
            <w:r>
              <w:rPr>
                <w:rFonts w:ascii="Arial" w:eastAsia="Times New Roman" w:hAnsi="Arial" w:cs="Arial"/>
                <w:color w:val="000000"/>
                <w:sz w:val="18"/>
                <w:szCs w:val="18"/>
                <w:lang w:val="es-419" w:eastAsia="es-ES"/>
              </w:rPr>
              <w:t>SIG de</w:t>
            </w:r>
            <w:r w:rsidRPr="00C048D5">
              <w:rPr>
                <w:rFonts w:ascii="Arial" w:eastAsia="Times New Roman" w:hAnsi="Arial" w:cs="Arial"/>
                <w:color w:val="000000"/>
                <w:sz w:val="18"/>
                <w:szCs w:val="18"/>
                <w:lang w:val="es-419" w:eastAsia="es-ES"/>
              </w:rPr>
              <w:t xml:space="preserve"> </w:t>
            </w:r>
            <w:r w:rsidR="0008631C">
              <w:rPr>
                <w:rFonts w:ascii="Arial" w:eastAsia="Times New Roman" w:hAnsi="Arial" w:cs="Arial"/>
                <w:color w:val="000000"/>
                <w:sz w:val="18"/>
                <w:szCs w:val="18"/>
                <w:lang w:val="es-419" w:eastAsia="es-ES"/>
              </w:rPr>
              <w:t>BANDESAL</w:t>
            </w:r>
            <w:r>
              <w:rPr>
                <w:rFonts w:ascii="Arial" w:eastAsia="Times New Roman" w:hAnsi="Arial" w:cs="Arial"/>
                <w:color w:val="000000"/>
                <w:sz w:val="18"/>
                <w:szCs w:val="18"/>
                <w:lang w:val="es-419" w:eastAsia="es-ES"/>
              </w:rPr>
              <w:t>.</w:t>
            </w:r>
          </w:p>
        </w:tc>
        <w:tc>
          <w:tcPr>
            <w:tcW w:w="3625" w:type="dxa"/>
            <w:tcBorders>
              <w:top w:val="single" w:sz="8" w:space="0" w:color="000000"/>
              <w:left w:val="nil"/>
              <w:bottom w:val="nil"/>
              <w:right w:val="single" w:sz="8" w:space="0" w:color="000000"/>
            </w:tcBorders>
            <w:shd w:val="clear" w:color="auto" w:fill="auto"/>
            <w:vAlign w:val="center"/>
          </w:tcPr>
          <w:p w14:paraId="796C3432" w14:textId="34FC6A4E" w:rsidR="00030588" w:rsidRDefault="00030588" w:rsidP="00B1510A">
            <w:pPr>
              <w:spacing w:before="120" w:after="120" w:line="240" w:lineRule="auto"/>
              <w:jc w:val="both"/>
              <w:rPr>
                <w:rFonts w:ascii="Arial" w:eastAsia="Times New Roman" w:hAnsi="Arial" w:cs="Arial"/>
                <w:color w:val="000000"/>
                <w:sz w:val="18"/>
                <w:szCs w:val="18"/>
                <w:lang w:val="es-419" w:eastAsia="es-ES"/>
              </w:rPr>
            </w:pPr>
            <w:r>
              <w:rPr>
                <w:rFonts w:ascii="Arial" w:eastAsia="Times New Roman" w:hAnsi="Arial" w:cs="Arial"/>
                <w:color w:val="000000"/>
                <w:sz w:val="18"/>
                <w:szCs w:val="18"/>
                <w:lang w:val="es-419" w:eastAsia="es-ES"/>
              </w:rPr>
              <w:t>Seguimiento de género.</w:t>
            </w:r>
          </w:p>
          <w:p w14:paraId="2B8E6A3C" w14:textId="4CF0D512" w:rsidR="00B1510A" w:rsidRPr="00304927" w:rsidRDefault="001F3728" w:rsidP="00B1510A">
            <w:pPr>
              <w:spacing w:before="120" w:after="120" w:line="240" w:lineRule="auto"/>
              <w:jc w:val="both"/>
              <w:rPr>
                <w:rFonts w:ascii="Arial" w:eastAsia="Times New Roman" w:hAnsi="Arial" w:cs="Arial"/>
                <w:color w:val="000000"/>
                <w:sz w:val="18"/>
                <w:szCs w:val="18"/>
                <w:lang w:val="es-419" w:eastAsia="es-ES"/>
              </w:rPr>
            </w:pPr>
            <w:r>
              <w:rPr>
                <w:rFonts w:ascii="Arial" w:eastAsia="Times New Roman" w:hAnsi="Arial" w:cs="Arial"/>
                <w:color w:val="000000"/>
                <w:sz w:val="18"/>
                <w:szCs w:val="18"/>
                <w:lang w:val="es-419" w:eastAsia="es-ES"/>
              </w:rPr>
              <w:t>L</w:t>
            </w:r>
            <w:r w:rsidR="00B1510A" w:rsidRPr="00304927">
              <w:rPr>
                <w:rFonts w:ascii="Arial" w:eastAsia="Times New Roman" w:hAnsi="Arial" w:cs="Arial"/>
                <w:color w:val="000000"/>
                <w:sz w:val="18"/>
                <w:szCs w:val="18"/>
                <w:lang w:val="es-419" w:eastAsia="es-ES"/>
              </w:rPr>
              <w:t xml:space="preserve">a definición de MIPYME de mujeres se encuentra en proceso de revisión con el apoyo de una consultoría específica financiada con recursos de </w:t>
            </w:r>
            <w:r w:rsidR="004F3B89">
              <w:rPr>
                <w:rFonts w:ascii="Arial" w:eastAsia="Times New Roman" w:hAnsi="Arial" w:cs="Arial"/>
                <w:color w:val="000000"/>
                <w:sz w:val="18"/>
                <w:szCs w:val="18"/>
                <w:lang w:val="es-419" w:eastAsia="es-ES"/>
              </w:rPr>
              <w:t>CT</w:t>
            </w:r>
            <w:r w:rsidR="004F3B89" w:rsidRPr="00304927">
              <w:rPr>
                <w:rFonts w:ascii="Arial" w:eastAsia="Times New Roman" w:hAnsi="Arial" w:cs="Arial"/>
                <w:color w:val="000000"/>
                <w:sz w:val="18"/>
                <w:szCs w:val="18"/>
                <w:lang w:val="es-419" w:eastAsia="es-ES"/>
              </w:rPr>
              <w:t xml:space="preserve"> </w:t>
            </w:r>
            <w:r w:rsidR="00B1510A" w:rsidRPr="00304927">
              <w:rPr>
                <w:rFonts w:ascii="Arial" w:eastAsia="Times New Roman" w:hAnsi="Arial" w:cs="Arial"/>
                <w:color w:val="000000"/>
                <w:sz w:val="18"/>
                <w:szCs w:val="18"/>
                <w:lang w:val="es-419" w:eastAsia="es-ES"/>
              </w:rPr>
              <w:t>(RG</w:t>
            </w:r>
            <w:r w:rsidR="00EF0ACB">
              <w:rPr>
                <w:rFonts w:ascii="Arial" w:eastAsia="Times New Roman" w:hAnsi="Arial" w:cs="Arial"/>
                <w:color w:val="000000"/>
                <w:sz w:val="18"/>
                <w:szCs w:val="18"/>
                <w:lang w:val="es-419" w:eastAsia="es-ES"/>
              </w:rPr>
              <w:noBreakHyphen/>
            </w:r>
            <w:r w:rsidR="00B1510A" w:rsidRPr="00304927">
              <w:rPr>
                <w:rFonts w:ascii="Arial" w:eastAsia="Times New Roman" w:hAnsi="Arial" w:cs="Arial"/>
                <w:color w:val="000000"/>
                <w:sz w:val="18"/>
                <w:szCs w:val="18"/>
                <w:lang w:val="es-419" w:eastAsia="es-ES"/>
              </w:rPr>
              <w:t>T3530)</w:t>
            </w:r>
            <w:r w:rsidR="00B1510A" w:rsidRPr="00304927">
              <w:rPr>
                <w:rStyle w:val="FootnoteReference"/>
                <w:rFonts w:ascii="Arial" w:eastAsia="Times New Roman" w:hAnsi="Arial" w:cs="Arial"/>
                <w:color w:val="000000"/>
                <w:sz w:val="18"/>
                <w:szCs w:val="18"/>
                <w:lang w:val="es-419" w:eastAsia="es-ES"/>
              </w:rPr>
              <w:footnoteReference w:id="42"/>
            </w:r>
            <w:r w:rsidR="00EF0ACB" w:rsidRPr="00304927">
              <w:rPr>
                <w:rFonts w:ascii="Arial" w:eastAsia="Times New Roman" w:hAnsi="Arial" w:cs="Arial"/>
                <w:color w:val="000000"/>
                <w:sz w:val="18"/>
                <w:szCs w:val="18"/>
                <w:lang w:val="es-419" w:eastAsia="es-ES"/>
              </w:rPr>
              <w:t>.</w:t>
            </w:r>
            <w:r w:rsidR="00B1510A" w:rsidRPr="00304927">
              <w:rPr>
                <w:rFonts w:ascii="Arial" w:eastAsia="Times New Roman" w:hAnsi="Arial" w:cs="Arial"/>
                <w:color w:val="000000"/>
                <w:sz w:val="18"/>
                <w:szCs w:val="18"/>
                <w:lang w:val="es-419" w:eastAsia="es-ES"/>
              </w:rPr>
              <w:t xml:space="preserve"> </w:t>
            </w:r>
            <w:r w:rsidR="00EC5AD2">
              <w:rPr>
                <w:rFonts w:ascii="Arial" w:eastAsia="Times New Roman" w:hAnsi="Arial" w:cs="Arial"/>
                <w:color w:val="000000"/>
                <w:sz w:val="18"/>
                <w:szCs w:val="18"/>
                <w:lang w:val="es-419" w:eastAsia="es-ES"/>
              </w:rPr>
              <w:t>Durante el</w:t>
            </w:r>
            <w:r w:rsidR="00B1510A">
              <w:rPr>
                <w:rFonts w:ascii="Arial" w:eastAsia="Times New Roman" w:hAnsi="Arial" w:cs="Arial"/>
                <w:color w:val="000000"/>
                <w:sz w:val="18"/>
                <w:szCs w:val="18"/>
                <w:lang w:val="es-419" w:eastAsia="es-ES"/>
              </w:rPr>
              <w:t xml:space="preserve"> taller de arranque del programa</w:t>
            </w:r>
            <w:r w:rsidR="00B1510A" w:rsidRPr="00304927">
              <w:rPr>
                <w:rFonts w:ascii="Arial" w:eastAsia="Times New Roman" w:hAnsi="Arial" w:cs="Arial"/>
                <w:color w:val="000000"/>
                <w:sz w:val="18"/>
                <w:szCs w:val="18"/>
                <w:lang w:val="es-419" w:eastAsia="es-ES"/>
              </w:rPr>
              <w:t xml:space="preserve"> se revisará </w:t>
            </w:r>
            <w:r w:rsidR="0040596A">
              <w:rPr>
                <w:rFonts w:ascii="Arial" w:eastAsia="Times New Roman" w:hAnsi="Arial" w:cs="Arial"/>
                <w:color w:val="000000"/>
                <w:sz w:val="18"/>
                <w:szCs w:val="18"/>
                <w:lang w:val="es-419" w:eastAsia="es-ES"/>
              </w:rPr>
              <w:t>la definición para</w:t>
            </w:r>
            <w:r w:rsidR="00B1510A" w:rsidRPr="00304927">
              <w:rPr>
                <w:rFonts w:ascii="Arial" w:eastAsia="Times New Roman" w:hAnsi="Arial" w:cs="Arial"/>
                <w:color w:val="000000"/>
                <w:sz w:val="18"/>
                <w:szCs w:val="18"/>
                <w:lang w:val="es-419" w:eastAsia="es-ES"/>
              </w:rPr>
              <w:t xml:space="preserve"> asegurar el correcto seguimiento del indicador.</w:t>
            </w:r>
          </w:p>
          <w:p w14:paraId="118E5285" w14:textId="77777777" w:rsidR="00B1510A" w:rsidRPr="00304927" w:rsidRDefault="00B1510A" w:rsidP="00B1510A">
            <w:pPr>
              <w:spacing w:before="120" w:after="120" w:line="240" w:lineRule="auto"/>
              <w:jc w:val="both"/>
              <w:rPr>
                <w:rFonts w:ascii="Arial" w:hAnsi="Arial" w:cs="Arial"/>
                <w:sz w:val="18"/>
                <w:szCs w:val="18"/>
                <w:lang w:val="es-419" w:eastAsia="zh-CN"/>
              </w:rPr>
            </w:pPr>
            <w:r w:rsidRPr="00304927">
              <w:rPr>
                <w:rFonts w:ascii="Arial" w:hAnsi="Arial" w:cs="Arial"/>
                <w:sz w:val="18"/>
                <w:szCs w:val="18"/>
                <w:lang w:val="es-419" w:eastAsia="zh-CN"/>
              </w:rPr>
              <w:t>La línea de base recoge el dato de proporción para MIPYME de mujeres sobre el saldo de cartera de créditos de mediano plazo para financiar capital de trabajo e inversiones en activo fijo a la MIP</w:t>
            </w:r>
            <w:r>
              <w:rPr>
                <w:rFonts w:ascii="Arial" w:hAnsi="Arial" w:cs="Arial"/>
                <w:sz w:val="18"/>
                <w:szCs w:val="18"/>
                <w:lang w:val="es-419" w:eastAsia="zh-CN"/>
              </w:rPr>
              <w:t>Y</w:t>
            </w:r>
            <w:r w:rsidRPr="00304927">
              <w:rPr>
                <w:rFonts w:ascii="Arial" w:hAnsi="Arial" w:cs="Arial"/>
                <w:sz w:val="18"/>
                <w:szCs w:val="18"/>
                <w:lang w:val="es-419" w:eastAsia="zh-CN"/>
              </w:rPr>
              <w:t>ME de BANDESAL a 31 de marzo de 2020.</w:t>
            </w:r>
          </w:p>
          <w:p w14:paraId="2F782C95" w14:textId="160D6A9A" w:rsidR="002F4ED8" w:rsidRPr="001F731F" w:rsidRDefault="00B1510A" w:rsidP="00B1510A">
            <w:pPr>
              <w:spacing w:after="0" w:line="240" w:lineRule="auto"/>
              <w:jc w:val="both"/>
              <w:rPr>
                <w:rFonts w:ascii="Arial" w:eastAsia="Times New Roman" w:hAnsi="Arial" w:cs="Arial"/>
                <w:color w:val="000000"/>
                <w:sz w:val="18"/>
                <w:szCs w:val="18"/>
                <w:lang w:val="es-ES_tradnl" w:eastAsia="es-ES"/>
              </w:rPr>
            </w:pPr>
            <w:r w:rsidRPr="00304927">
              <w:rPr>
                <w:rFonts w:ascii="Arial" w:hAnsi="Arial" w:cs="Arial"/>
                <w:sz w:val="18"/>
                <w:szCs w:val="18"/>
                <w:lang w:val="es-419" w:eastAsia="zh-CN"/>
              </w:rPr>
              <w:t>El seguimiento del indicador se hará en base a los créditos contratados en la cartera.</w:t>
            </w:r>
          </w:p>
        </w:tc>
      </w:tr>
      <w:tr w:rsidR="00145881" w:rsidRPr="001F731F" w14:paraId="256B5F01" w14:textId="77777777" w:rsidTr="00242C2A">
        <w:trPr>
          <w:trHeight w:val="320"/>
          <w:jc w:val="center"/>
        </w:trPr>
        <w:tc>
          <w:tcPr>
            <w:tcW w:w="8813" w:type="dxa"/>
            <w:gridSpan w:val="4"/>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6CCA3BF7" w14:textId="77777777" w:rsidR="00145881" w:rsidRPr="001F731F" w:rsidRDefault="00145881" w:rsidP="002F348C">
            <w:pPr>
              <w:spacing w:after="0" w:line="240" w:lineRule="auto"/>
              <w:jc w:val="center"/>
              <w:rPr>
                <w:rFonts w:ascii="Arial" w:eastAsia="Times New Roman" w:hAnsi="Arial" w:cs="Arial"/>
                <w:b/>
                <w:bCs/>
                <w:color w:val="000000"/>
                <w:sz w:val="18"/>
                <w:szCs w:val="18"/>
                <w:lang w:val="es-ES_tradnl" w:eastAsia="es-ES"/>
              </w:rPr>
            </w:pPr>
            <w:r w:rsidRPr="001F731F">
              <w:rPr>
                <w:rFonts w:ascii="Arial" w:eastAsia="Times New Roman" w:hAnsi="Arial" w:cs="Arial"/>
                <w:b/>
                <w:bCs/>
                <w:color w:val="000000"/>
                <w:sz w:val="18"/>
                <w:szCs w:val="18"/>
                <w:lang w:val="es-ES_tradnl" w:eastAsia="es-ES"/>
              </w:rPr>
              <w:t>Indicadores de Producto</w:t>
            </w:r>
          </w:p>
        </w:tc>
      </w:tr>
      <w:tr w:rsidR="00145881" w:rsidRPr="00015230" w14:paraId="6136167B" w14:textId="77777777" w:rsidTr="00242C2A">
        <w:trPr>
          <w:trHeight w:val="320"/>
          <w:jc w:val="center"/>
        </w:trPr>
        <w:tc>
          <w:tcPr>
            <w:tcW w:w="8813" w:type="dxa"/>
            <w:gridSpan w:val="4"/>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23286EF9" w14:textId="4E2AF8FE" w:rsidR="00145881" w:rsidRPr="001F731F" w:rsidRDefault="002F4ED8" w:rsidP="002F348C">
            <w:pPr>
              <w:spacing w:after="0" w:line="240" w:lineRule="auto"/>
              <w:jc w:val="both"/>
              <w:rPr>
                <w:rFonts w:ascii="Arial" w:eastAsia="Times New Roman" w:hAnsi="Arial" w:cs="Arial"/>
                <w:b/>
                <w:bCs/>
                <w:color w:val="000000"/>
                <w:sz w:val="18"/>
                <w:szCs w:val="18"/>
                <w:u w:val="single"/>
                <w:lang w:val="es-ES_tradnl" w:eastAsia="es-ES"/>
              </w:rPr>
            </w:pPr>
            <w:r>
              <w:rPr>
                <w:rFonts w:ascii="Arial" w:eastAsia="Times New Roman" w:hAnsi="Arial" w:cs="Arial"/>
                <w:b/>
                <w:bCs/>
                <w:color w:val="000000"/>
                <w:sz w:val="18"/>
                <w:szCs w:val="18"/>
                <w:u w:val="single"/>
                <w:lang w:val="es-ES_tradnl" w:eastAsia="es-ES"/>
              </w:rPr>
              <w:t xml:space="preserve">Componente </w:t>
            </w:r>
            <w:r w:rsidR="00381B55">
              <w:rPr>
                <w:rFonts w:ascii="Arial" w:eastAsia="Times New Roman" w:hAnsi="Arial" w:cs="Arial"/>
                <w:b/>
                <w:bCs/>
                <w:color w:val="000000"/>
                <w:sz w:val="18"/>
                <w:szCs w:val="18"/>
                <w:u w:val="single"/>
                <w:lang w:val="es-ES_tradnl" w:eastAsia="es-ES"/>
              </w:rPr>
              <w:t>ú</w:t>
            </w:r>
            <w:r>
              <w:rPr>
                <w:rFonts w:ascii="Arial" w:eastAsia="Times New Roman" w:hAnsi="Arial" w:cs="Arial"/>
                <w:b/>
                <w:bCs/>
                <w:color w:val="000000"/>
                <w:sz w:val="18"/>
                <w:szCs w:val="18"/>
                <w:u w:val="single"/>
                <w:lang w:val="es-ES_tradnl" w:eastAsia="es-ES"/>
              </w:rPr>
              <w:t>nico</w:t>
            </w:r>
            <w:r w:rsidR="00145881" w:rsidRPr="001F731F">
              <w:rPr>
                <w:rFonts w:ascii="Arial" w:eastAsia="Times New Roman" w:hAnsi="Arial" w:cs="Arial"/>
                <w:b/>
                <w:bCs/>
                <w:color w:val="000000"/>
                <w:sz w:val="18"/>
                <w:szCs w:val="18"/>
                <w:u w:val="single"/>
                <w:lang w:val="es-ES_tradnl" w:eastAsia="es-ES"/>
              </w:rPr>
              <w:t xml:space="preserve">: </w:t>
            </w:r>
            <w:bookmarkStart w:id="13" w:name="_Hlk36295470"/>
            <w:r w:rsidR="003A2F22">
              <w:rPr>
                <w:rFonts w:ascii="Arial" w:eastAsia="Times New Roman" w:hAnsi="Arial" w:cs="Arial"/>
                <w:b/>
                <w:bCs/>
                <w:color w:val="000000"/>
                <w:sz w:val="18"/>
                <w:szCs w:val="18"/>
                <w:u w:val="single"/>
                <w:lang w:val="es-ES_tradnl" w:eastAsia="es-ES"/>
              </w:rPr>
              <w:t xml:space="preserve">Crédito </w:t>
            </w:r>
            <w:r w:rsidR="004A21AC">
              <w:rPr>
                <w:rFonts w:ascii="Arial" w:eastAsia="Times New Roman" w:hAnsi="Arial" w:cs="Arial"/>
                <w:b/>
                <w:bCs/>
                <w:color w:val="000000"/>
                <w:sz w:val="18"/>
                <w:szCs w:val="18"/>
                <w:u w:val="single"/>
                <w:lang w:val="es-ES_tradnl" w:eastAsia="es-ES"/>
              </w:rPr>
              <w:t>p</w:t>
            </w:r>
            <w:r w:rsidR="003A2F22">
              <w:rPr>
                <w:rFonts w:ascii="Arial" w:eastAsia="Times New Roman" w:hAnsi="Arial" w:cs="Arial"/>
                <w:b/>
                <w:bCs/>
                <w:color w:val="000000"/>
                <w:sz w:val="18"/>
                <w:szCs w:val="18"/>
                <w:u w:val="single"/>
                <w:lang w:val="es-ES_tradnl" w:eastAsia="es-ES"/>
              </w:rPr>
              <w:t xml:space="preserve">roductivo </w:t>
            </w:r>
            <w:r>
              <w:rPr>
                <w:rFonts w:ascii="Arial" w:eastAsia="Times New Roman" w:hAnsi="Arial" w:cs="Arial"/>
                <w:b/>
                <w:bCs/>
                <w:color w:val="000000"/>
                <w:sz w:val="18"/>
                <w:szCs w:val="18"/>
                <w:u w:val="single"/>
                <w:lang w:val="es-ES_tradnl" w:eastAsia="es-ES"/>
              </w:rPr>
              <w:t>(US$200 Millones)</w:t>
            </w:r>
            <w:bookmarkEnd w:id="13"/>
          </w:p>
        </w:tc>
      </w:tr>
      <w:tr w:rsidR="002F4ED8" w:rsidRPr="00015230" w14:paraId="2C104267" w14:textId="77777777" w:rsidTr="00503915">
        <w:trPr>
          <w:trHeight w:val="1728"/>
          <w:jc w:val="center"/>
        </w:trPr>
        <w:tc>
          <w:tcPr>
            <w:tcW w:w="2093" w:type="dxa"/>
            <w:tcBorders>
              <w:top w:val="nil"/>
              <w:left w:val="single" w:sz="8" w:space="0" w:color="000000"/>
              <w:bottom w:val="single" w:sz="8" w:space="0" w:color="000000"/>
              <w:right w:val="single" w:sz="8" w:space="0" w:color="000000"/>
            </w:tcBorders>
            <w:shd w:val="clear" w:color="auto" w:fill="auto"/>
            <w:vAlign w:val="center"/>
            <w:hideMark/>
          </w:tcPr>
          <w:p w14:paraId="73094638" w14:textId="38125CD5" w:rsidR="002F4ED8" w:rsidRPr="001F731F" w:rsidRDefault="002F4ED8" w:rsidP="004D3258">
            <w:pPr>
              <w:spacing w:after="0" w:line="240" w:lineRule="auto"/>
              <w:jc w:val="both"/>
              <w:rPr>
                <w:rFonts w:ascii="Arial" w:eastAsia="Times New Roman" w:hAnsi="Arial" w:cs="Arial"/>
                <w:b/>
                <w:bCs/>
                <w:color w:val="000000"/>
                <w:sz w:val="18"/>
                <w:szCs w:val="18"/>
                <w:lang w:val="es-ES_tradnl" w:eastAsia="es-ES"/>
              </w:rPr>
            </w:pPr>
            <w:r w:rsidRPr="003079B9">
              <w:rPr>
                <w:rFonts w:ascii="Arial" w:hAnsi="Arial" w:cs="Arial"/>
                <w:b/>
                <w:bCs/>
                <w:sz w:val="18"/>
                <w:szCs w:val="18"/>
                <w:lang w:val="es-419" w:eastAsia="zh-CN"/>
              </w:rPr>
              <w:t>Producto 1</w:t>
            </w:r>
            <w:r w:rsidRPr="003079B9">
              <w:rPr>
                <w:rFonts w:ascii="Arial" w:hAnsi="Arial" w:cs="Arial"/>
                <w:sz w:val="18"/>
                <w:szCs w:val="18"/>
                <w:lang w:val="es-419" w:eastAsia="zh-CN"/>
              </w:rPr>
              <w:t>: Monto otorgado en crédito productivo para capital de trabajo e inversiones en activo fijo a la MIPYME con apoyo del programa.</w:t>
            </w:r>
          </w:p>
        </w:tc>
        <w:tc>
          <w:tcPr>
            <w:tcW w:w="1553" w:type="dxa"/>
            <w:tcBorders>
              <w:top w:val="nil"/>
              <w:left w:val="nil"/>
              <w:bottom w:val="single" w:sz="8" w:space="0" w:color="000000"/>
              <w:right w:val="single" w:sz="8" w:space="0" w:color="000000"/>
            </w:tcBorders>
            <w:shd w:val="clear" w:color="auto" w:fill="auto"/>
            <w:vAlign w:val="center"/>
            <w:hideMark/>
          </w:tcPr>
          <w:p w14:paraId="30039086" w14:textId="77777777" w:rsidR="00CD479F" w:rsidRPr="00BD72BE" w:rsidRDefault="002F4ED8" w:rsidP="00CD479F">
            <w:pPr>
              <w:spacing w:after="0" w:line="240" w:lineRule="auto"/>
              <w:jc w:val="center"/>
              <w:rPr>
                <w:rFonts w:ascii="Arial" w:hAnsi="Arial" w:cs="Arial"/>
                <w:sz w:val="18"/>
                <w:szCs w:val="18"/>
                <w:lang w:val="es-419" w:eastAsia="zh-CN"/>
              </w:rPr>
            </w:pPr>
            <w:r w:rsidRPr="00503915">
              <w:rPr>
                <w:rFonts w:ascii="Arial" w:hAnsi="Arial"/>
                <w:sz w:val="18"/>
                <w:lang w:val="es-419"/>
              </w:rPr>
              <w:t>US$</w:t>
            </w:r>
            <w:r w:rsidR="00CD479F" w:rsidRPr="00BD72BE">
              <w:rPr>
                <w:rFonts w:ascii="Arial" w:hAnsi="Arial" w:cs="Arial"/>
                <w:sz w:val="18"/>
                <w:szCs w:val="18"/>
                <w:lang w:val="es-419" w:eastAsia="zh-CN"/>
              </w:rPr>
              <w:t xml:space="preserve"> </w:t>
            </w:r>
          </w:p>
          <w:p w14:paraId="45D7D4DE" w14:textId="13CC25B8" w:rsidR="002F4ED8" w:rsidRPr="001F731F" w:rsidRDefault="00CD479F" w:rsidP="002F4ED8">
            <w:pPr>
              <w:spacing w:after="0" w:line="240" w:lineRule="auto"/>
              <w:jc w:val="center"/>
              <w:rPr>
                <w:rFonts w:ascii="Arial" w:eastAsia="Times New Roman" w:hAnsi="Arial" w:cs="Arial"/>
                <w:color w:val="000000"/>
                <w:sz w:val="18"/>
                <w:szCs w:val="18"/>
                <w:lang w:val="es-ES_tradnl" w:eastAsia="es-ES"/>
              </w:rPr>
            </w:pPr>
            <w:r w:rsidRPr="00BD72BE">
              <w:rPr>
                <w:rFonts w:ascii="Arial" w:hAnsi="Arial" w:cs="Arial"/>
                <w:sz w:val="18"/>
                <w:szCs w:val="18"/>
                <w:lang w:val="es-419" w:eastAsia="zh-CN"/>
              </w:rPr>
              <w:t>Millones</w:t>
            </w:r>
          </w:p>
        </w:tc>
        <w:tc>
          <w:tcPr>
            <w:tcW w:w="1542" w:type="dxa"/>
            <w:tcBorders>
              <w:top w:val="nil"/>
              <w:left w:val="nil"/>
              <w:bottom w:val="single" w:sz="8" w:space="0" w:color="000000"/>
              <w:right w:val="single" w:sz="8" w:space="0" w:color="000000"/>
            </w:tcBorders>
            <w:shd w:val="clear" w:color="auto" w:fill="auto"/>
            <w:vAlign w:val="center"/>
          </w:tcPr>
          <w:p w14:paraId="040E32AD" w14:textId="663D3718" w:rsidR="002F4ED8" w:rsidRPr="001F731F" w:rsidRDefault="0040596A" w:rsidP="004D3258">
            <w:pPr>
              <w:spacing w:after="0" w:line="240" w:lineRule="auto"/>
              <w:jc w:val="both"/>
              <w:rPr>
                <w:rFonts w:ascii="Arial" w:eastAsia="Times New Roman" w:hAnsi="Arial" w:cs="Arial"/>
                <w:color w:val="000000"/>
                <w:sz w:val="18"/>
                <w:szCs w:val="18"/>
                <w:lang w:val="es-ES_tradnl" w:eastAsia="es-ES"/>
              </w:rPr>
            </w:pPr>
            <w:r>
              <w:rPr>
                <w:rFonts w:ascii="Arial" w:eastAsia="Times New Roman" w:hAnsi="Arial" w:cs="Arial"/>
                <w:color w:val="000000"/>
                <w:sz w:val="18"/>
                <w:szCs w:val="18"/>
                <w:lang w:val="es-419" w:eastAsia="es-ES"/>
              </w:rPr>
              <w:t>SIG de</w:t>
            </w:r>
            <w:r w:rsidRPr="00C048D5">
              <w:rPr>
                <w:rFonts w:ascii="Arial" w:eastAsia="Times New Roman" w:hAnsi="Arial" w:cs="Arial"/>
                <w:color w:val="000000"/>
                <w:sz w:val="18"/>
                <w:szCs w:val="18"/>
                <w:lang w:val="es-419" w:eastAsia="es-ES"/>
              </w:rPr>
              <w:t xml:space="preserve"> </w:t>
            </w:r>
            <w:r w:rsidR="008C2613">
              <w:rPr>
                <w:rFonts w:ascii="Arial" w:eastAsia="Times New Roman" w:hAnsi="Arial" w:cs="Arial"/>
                <w:color w:val="000000"/>
                <w:sz w:val="18"/>
                <w:szCs w:val="18"/>
                <w:lang w:val="es-419" w:eastAsia="es-ES"/>
              </w:rPr>
              <w:t>BANDESAL.</w:t>
            </w:r>
          </w:p>
        </w:tc>
        <w:tc>
          <w:tcPr>
            <w:tcW w:w="3625" w:type="dxa"/>
            <w:tcBorders>
              <w:top w:val="nil"/>
              <w:left w:val="nil"/>
              <w:bottom w:val="single" w:sz="8" w:space="0" w:color="000000"/>
              <w:right w:val="single" w:sz="8" w:space="0" w:color="000000"/>
            </w:tcBorders>
            <w:shd w:val="clear" w:color="auto" w:fill="auto"/>
          </w:tcPr>
          <w:p w14:paraId="2FBACB26" w14:textId="4B86D909" w:rsidR="002F4ED8" w:rsidRPr="001F731F" w:rsidRDefault="002F4ED8" w:rsidP="004D3258">
            <w:pPr>
              <w:spacing w:after="0" w:line="240" w:lineRule="auto"/>
              <w:jc w:val="both"/>
              <w:rPr>
                <w:rFonts w:ascii="Arial" w:eastAsia="Times New Roman" w:hAnsi="Arial" w:cs="Arial"/>
                <w:color w:val="000000"/>
                <w:sz w:val="18"/>
                <w:szCs w:val="18"/>
                <w:lang w:val="es-ES_tradnl" w:eastAsia="es-ES"/>
              </w:rPr>
            </w:pPr>
            <w:r w:rsidRPr="003079B9">
              <w:rPr>
                <w:rFonts w:ascii="Arial" w:hAnsi="Arial" w:cs="Arial"/>
                <w:sz w:val="18"/>
                <w:szCs w:val="18"/>
                <w:lang w:val="es-419" w:eastAsia="zh-CN"/>
              </w:rPr>
              <w:t xml:space="preserve">Los subpréstamos </w:t>
            </w:r>
            <w:r w:rsidR="0040596A">
              <w:rPr>
                <w:rFonts w:ascii="Arial" w:hAnsi="Arial" w:cs="Arial"/>
                <w:sz w:val="18"/>
                <w:szCs w:val="18"/>
                <w:lang w:val="es-419" w:eastAsia="zh-CN"/>
              </w:rPr>
              <w:t>financiarán</w:t>
            </w:r>
            <w:r w:rsidRPr="003079B9">
              <w:rPr>
                <w:rFonts w:ascii="Arial" w:hAnsi="Arial" w:cs="Arial"/>
                <w:sz w:val="18"/>
                <w:szCs w:val="18"/>
                <w:lang w:val="es-419" w:eastAsia="zh-CN"/>
              </w:rPr>
              <w:t xml:space="preserve"> capital de trabajo e inversiones en activo fijo </w:t>
            </w:r>
            <w:r w:rsidR="00CD479F" w:rsidRPr="00BD72BE">
              <w:rPr>
                <w:rFonts w:ascii="Arial" w:hAnsi="Arial" w:cs="Arial"/>
                <w:sz w:val="18"/>
                <w:szCs w:val="18"/>
                <w:lang w:val="es-419" w:eastAsia="zh-CN"/>
              </w:rPr>
              <w:t>de mediano y largo plazo</w:t>
            </w:r>
            <w:r w:rsidRPr="003079B9">
              <w:rPr>
                <w:rFonts w:ascii="Arial" w:hAnsi="Arial" w:cs="Arial"/>
                <w:sz w:val="18"/>
                <w:szCs w:val="18"/>
                <w:lang w:val="es-419" w:eastAsia="zh-CN"/>
              </w:rPr>
              <w:t xml:space="preserve"> que incrementen la operatividad del negocio de las MIPYME y, por lo tanto, promuevan sus actividades productivas y su recuperación. </w:t>
            </w:r>
          </w:p>
        </w:tc>
      </w:tr>
      <w:tr w:rsidR="002E796B" w:rsidRPr="00015230" w14:paraId="5FDB281A" w14:textId="77777777" w:rsidTr="00381B55">
        <w:trPr>
          <w:trHeight w:val="1728"/>
          <w:jc w:val="center"/>
        </w:trPr>
        <w:tc>
          <w:tcPr>
            <w:tcW w:w="2093" w:type="dxa"/>
            <w:tcBorders>
              <w:top w:val="nil"/>
              <w:left w:val="single" w:sz="8" w:space="0" w:color="000000"/>
              <w:bottom w:val="single" w:sz="8" w:space="0" w:color="000000"/>
              <w:right w:val="single" w:sz="8" w:space="0" w:color="000000"/>
            </w:tcBorders>
            <w:shd w:val="clear" w:color="auto" w:fill="auto"/>
            <w:vAlign w:val="center"/>
            <w:hideMark/>
          </w:tcPr>
          <w:p w14:paraId="736A6094" w14:textId="619EFFDD" w:rsidR="002E796B" w:rsidRPr="001F731F" w:rsidRDefault="002E796B" w:rsidP="00381B55">
            <w:pPr>
              <w:spacing w:after="0" w:line="240" w:lineRule="auto"/>
              <w:jc w:val="both"/>
              <w:rPr>
                <w:rFonts w:ascii="Arial" w:eastAsia="Times New Roman" w:hAnsi="Arial" w:cs="Arial"/>
                <w:b/>
                <w:bCs/>
                <w:color w:val="000000"/>
                <w:sz w:val="18"/>
                <w:szCs w:val="18"/>
                <w:lang w:val="es-ES_tradnl" w:eastAsia="es-ES"/>
              </w:rPr>
            </w:pPr>
            <w:r w:rsidRPr="003079B9">
              <w:rPr>
                <w:rFonts w:ascii="Arial" w:hAnsi="Arial" w:cs="Arial"/>
                <w:b/>
                <w:bCs/>
                <w:sz w:val="18"/>
                <w:szCs w:val="18"/>
                <w:lang w:val="es-419" w:eastAsia="zh-CN"/>
              </w:rPr>
              <w:lastRenderedPageBreak/>
              <w:t xml:space="preserve">Producto </w:t>
            </w:r>
            <w:r>
              <w:rPr>
                <w:rFonts w:ascii="Arial" w:hAnsi="Arial" w:cs="Arial"/>
                <w:b/>
                <w:bCs/>
                <w:sz w:val="18"/>
                <w:szCs w:val="18"/>
                <w:lang w:val="es-419" w:eastAsia="zh-CN"/>
              </w:rPr>
              <w:t>2</w:t>
            </w:r>
            <w:r w:rsidRPr="003079B9">
              <w:rPr>
                <w:rFonts w:ascii="Arial" w:hAnsi="Arial" w:cs="Arial"/>
                <w:sz w:val="18"/>
                <w:szCs w:val="18"/>
                <w:lang w:val="es-419" w:eastAsia="zh-CN"/>
              </w:rPr>
              <w:t xml:space="preserve">: Monto otorgado en crédito productivo para capital de trabajo e inversiones en activo fijo a la MIPYME </w:t>
            </w:r>
            <w:r>
              <w:rPr>
                <w:rFonts w:ascii="Arial" w:hAnsi="Arial" w:cs="Arial"/>
                <w:sz w:val="18"/>
                <w:szCs w:val="18"/>
                <w:lang w:val="es-419" w:eastAsia="zh-CN"/>
              </w:rPr>
              <w:t xml:space="preserve">de mujer </w:t>
            </w:r>
            <w:r w:rsidRPr="003079B9">
              <w:rPr>
                <w:rFonts w:ascii="Arial" w:hAnsi="Arial" w:cs="Arial"/>
                <w:sz w:val="18"/>
                <w:szCs w:val="18"/>
                <w:lang w:val="es-419" w:eastAsia="zh-CN"/>
              </w:rPr>
              <w:t>con apoyo del programa.</w:t>
            </w:r>
          </w:p>
        </w:tc>
        <w:tc>
          <w:tcPr>
            <w:tcW w:w="1553" w:type="dxa"/>
            <w:tcBorders>
              <w:top w:val="nil"/>
              <w:left w:val="nil"/>
              <w:bottom w:val="single" w:sz="8" w:space="0" w:color="000000"/>
              <w:right w:val="single" w:sz="8" w:space="0" w:color="000000"/>
            </w:tcBorders>
            <w:shd w:val="clear" w:color="auto" w:fill="auto"/>
            <w:vAlign w:val="center"/>
            <w:hideMark/>
          </w:tcPr>
          <w:p w14:paraId="53081469" w14:textId="77777777" w:rsidR="002E796B" w:rsidRPr="00BD72BE" w:rsidRDefault="002E796B" w:rsidP="00381B55">
            <w:pPr>
              <w:spacing w:after="0" w:line="240" w:lineRule="auto"/>
              <w:jc w:val="center"/>
              <w:rPr>
                <w:rFonts w:ascii="Arial" w:hAnsi="Arial" w:cs="Arial"/>
                <w:sz w:val="18"/>
                <w:szCs w:val="18"/>
                <w:lang w:val="es-419" w:eastAsia="zh-CN"/>
              </w:rPr>
            </w:pPr>
            <w:r w:rsidRPr="00503915">
              <w:rPr>
                <w:rFonts w:ascii="Arial" w:hAnsi="Arial"/>
                <w:sz w:val="18"/>
                <w:lang w:val="es-419"/>
              </w:rPr>
              <w:t>US$</w:t>
            </w:r>
            <w:r w:rsidRPr="00BD72BE">
              <w:rPr>
                <w:rFonts w:ascii="Arial" w:hAnsi="Arial" w:cs="Arial"/>
                <w:sz w:val="18"/>
                <w:szCs w:val="18"/>
                <w:lang w:val="es-419" w:eastAsia="zh-CN"/>
              </w:rPr>
              <w:t xml:space="preserve"> </w:t>
            </w:r>
          </w:p>
          <w:p w14:paraId="7803E9B7" w14:textId="77777777" w:rsidR="002E796B" w:rsidRPr="001F731F" w:rsidRDefault="002E796B" w:rsidP="00381B55">
            <w:pPr>
              <w:spacing w:after="0" w:line="240" w:lineRule="auto"/>
              <w:jc w:val="center"/>
              <w:rPr>
                <w:rFonts w:ascii="Arial" w:eastAsia="Times New Roman" w:hAnsi="Arial" w:cs="Arial"/>
                <w:color w:val="000000"/>
                <w:sz w:val="18"/>
                <w:szCs w:val="18"/>
                <w:lang w:val="es-ES_tradnl" w:eastAsia="es-ES"/>
              </w:rPr>
            </w:pPr>
            <w:r w:rsidRPr="00BD72BE">
              <w:rPr>
                <w:rFonts w:ascii="Arial" w:hAnsi="Arial" w:cs="Arial"/>
                <w:sz w:val="18"/>
                <w:szCs w:val="18"/>
                <w:lang w:val="es-419" w:eastAsia="zh-CN"/>
              </w:rPr>
              <w:t>Millones</w:t>
            </w:r>
          </w:p>
        </w:tc>
        <w:tc>
          <w:tcPr>
            <w:tcW w:w="1542" w:type="dxa"/>
            <w:tcBorders>
              <w:top w:val="nil"/>
              <w:left w:val="nil"/>
              <w:bottom w:val="single" w:sz="8" w:space="0" w:color="000000"/>
              <w:right w:val="single" w:sz="8" w:space="0" w:color="000000"/>
            </w:tcBorders>
            <w:shd w:val="clear" w:color="auto" w:fill="auto"/>
            <w:vAlign w:val="center"/>
          </w:tcPr>
          <w:p w14:paraId="492A0F0F" w14:textId="77777777" w:rsidR="002E796B" w:rsidRPr="001F731F" w:rsidRDefault="002E796B" w:rsidP="00381B55">
            <w:pPr>
              <w:spacing w:after="0" w:line="240" w:lineRule="auto"/>
              <w:jc w:val="both"/>
              <w:rPr>
                <w:rFonts w:ascii="Arial" w:eastAsia="Times New Roman" w:hAnsi="Arial" w:cs="Arial"/>
                <w:color w:val="000000"/>
                <w:sz w:val="18"/>
                <w:szCs w:val="18"/>
                <w:lang w:val="es-ES_tradnl" w:eastAsia="es-ES"/>
              </w:rPr>
            </w:pPr>
            <w:r>
              <w:rPr>
                <w:rFonts w:ascii="Arial" w:eastAsia="Times New Roman" w:hAnsi="Arial" w:cs="Arial"/>
                <w:color w:val="000000"/>
                <w:sz w:val="18"/>
                <w:szCs w:val="18"/>
                <w:lang w:val="es-419" w:eastAsia="es-ES"/>
              </w:rPr>
              <w:t>SIG de</w:t>
            </w:r>
            <w:r w:rsidRPr="00C048D5">
              <w:rPr>
                <w:rFonts w:ascii="Arial" w:eastAsia="Times New Roman" w:hAnsi="Arial" w:cs="Arial"/>
                <w:color w:val="000000"/>
                <w:sz w:val="18"/>
                <w:szCs w:val="18"/>
                <w:lang w:val="es-419" w:eastAsia="es-ES"/>
              </w:rPr>
              <w:t xml:space="preserve"> </w:t>
            </w:r>
            <w:r>
              <w:rPr>
                <w:rFonts w:ascii="Arial" w:eastAsia="Times New Roman" w:hAnsi="Arial" w:cs="Arial"/>
                <w:color w:val="000000"/>
                <w:sz w:val="18"/>
                <w:szCs w:val="18"/>
                <w:lang w:val="es-419" w:eastAsia="es-ES"/>
              </w:rPr>
              <w:t>BANDESAL.</w:t>
            </w:r>
          </w:p>
        </w:tc>
        <w:tc>
          <w:tcPr>
            <w:tcW w:w="3625" w:type="dxa"/>
            <w:tcBorders>
              <w:top w:val="nil"/>
              <w:left w:val="nil"/>
              <w:bottom w:val="single" w:sz="8" w:space="0" w:color="000000"/>
              <w:right w:val="single" w:sz="8" w:space="0" w:color="000000"/>
            </w:tcBorders>
            <w:shd w:val="clear" w:color="auto" w:fill="auto"/>
          </w:tcPr>
          <w:p w14:paraId="6FF15093" w14:textId="47382958" w:rsidR="00015230" w:rsidRDefault="00015230" w:rsidP="00EB5FBC">
            <w:pPr>
              <w:spacing w:after="0" w:line="240" w:lineRule="auto"/>
              <w:jc w:val="both"/>
              <w:rPr>
                <w:rFonts w:ascii="Arial" w:hAnsi="Arial" w:cs="Arial"/>
                <w:sz w:val="18"/>
                <w:szCs w:val="18"/>
                <w:lang w:val="es-419" w:eastAsia="zh-CN"/>
              </w:rPr>
            </w:pPr>
            <w:r>
              <w:rPr>
                <w:rFonts w:ascii="Arial" w:hAnsi="Arial" w:cs="Arial"/>
                <w:sz w:val="18"/>
                <w:szCs w:val="18"/>
                <w:lang w:val="es-419" w:eastAsia="zh-CN"/>
              </w:rPr>
              <w:t>Indicador Pro-Género:</w:t>
            </w:r>
          </w:p>
          <w:p w14:paraId="72685722" w14:textId="5A46F9FD" w:rsidR="00EB5FBC" w:rsidRDefault="00EB5FBC" w:rsidP="00EB5FBC">
            <w:pPr>
              <w:spacing w:after="0" w:line="240" w:lineRule="auto"/>
              <w:jc w:val="both"/>
              <w:rPr>
                <w:rFonts w:ascii="Arial" w:hAnsi="Arial" w:cs="Arial"/>
                <w:sz w:val="18"/>
                <w:szCs w:val="18"/>
                <w:lang w:val="es-419" w:eastAsia="zh-CN"/>
              </w:rPr>
            </w:pPr>
            <w:r w:rsidRPr="00C048D5">
              <w:rPr>
                <w:rFonts w:ascii="Arial" w:hAnsi="Arial" w:cs="Arial"/>
                <w:sz w:val="18"/>
                <w:szCs w:val="18"/>
                <w:lang w:val="es-419" w:eastAsia="zh-CN"/>
              </w:rPr>
              <w:t xml:space="preserve">Los subpréstamos </w:t>
            </w:r>
            <w:r>
              <w:rPr>
                <w:rFonts w:ascii="Arial" w:hAnsi="Arial" w:cs="Arial"/>
                <w:sz w:val="18"/>
                <w:szCs w:val="18"/>
                <w:lang w:val="es-419" w:eastAsia="zh-CN"/>
              </w:rPr>
              <w:t>de una línea de segundo piso enfocada exclusivamente a financiar</w:t>
            </w:r>
            <w:r w:rsidRPr="00C048D5">
              <w:rPr>
                <w:rFonts w:ascii="Arial" w:hAnsi="Arial" w:cs="Arial"/>
                <w:sz w:val="18"/>
                <w:szCs w:val="18"/>
                <w:lang w:val="es-419" w:eastAsia="zh-CN"/>
              </w:rPr>
              <w:t xml:space="preserve"> capital de trabajo e inversiones en activo fijo de mediano y largo plazo de las MIPYME</w:t>
            </w:r>
            <w:r>
              <w:rPr>
                <w:rFonts w:ascii="Arial" w:hAnsi="Arial" w:cs="Arial"/>
                <w:sz w:val="18"/>
                <w:szCs w:val="18"/>
                <w:lang w:val="es-419" w:eastAsia="zh-CN"/>
              </w:rPr>
              <w:t xml:space="preserve"> de mujer que</w:t>
            </w:r>
            <w:r w:rsidRPr="00C048D5">
              <w:rPr>
                <w:rFonts w:ascii="Arial" w:hAnsi="Arial" w:cs="Arial"/>
                <w:sz w:val="18"/>
                <w:szCs w:val="18"/>
                <w:lang w:val="es-419" w:eastAsia="zh-CN"/>
              </w:rPr>
              <w:t xml:space="preserve"> promuevan sus actividades productivas y su recuperación. </w:t>
            </w:r>
          </w:p>
          <w:p w14:paraId="6D909CC5" w14:textId="715B0CDD" w:rsidR="002E796B" w:rsidRPr="001F731F" w:rsidRDefault="002E796B" w:rsidP="00D406FF">
            <w:pPr>
              <w:spacing w:after="0" w:line="240" w:lineRule="auto"/>
              <w:jc w:val="both"/>
              <w:rPr>
                <w:rFonts w:ascii="Arial" w:eastAsia="Times New Roman" w:hAnsi="Arial" w:cs="Arial"/>
                <w:color w:val="000000"/>
                <w:sz w:val="18"/>
                <w:szCs w:val="18"/>
                <w:lang w:val="es-ES_tradnl" w:eastAsia="es-ES"/>
              </w:rPr>
            </w:pPr>
          </w:p>
        </w:tc>
      </w:tr>
      <w:tr w:rsidR="00A057D3" w:rsidRPr="00015230" w14:paraId="247D3BCB" w14:textId="77777777" w:rsidTr="00503915">
        <w:trPr>
          <w:trHeight w:val="1296"/>
          <w:jc w:val="center"/>
        </w:trPr>
        <w:tc>
          <w:tcPr>
            <w:tcW w:w="2093" w:type="dxa"/>
            <w:tcBorders>
              <w:top w:val="nil"/>
              <w:left w:val="single" w:sz="8" w:space="0" w:color="000000"/>
              <w:bottom w:val="single" w:sz="8" w:space="0" w:color="000000"/>
              <w:right w:val="single" w:sz="8" w:space="0" w:color="000000"/>
            </w:tcBorders>
            <w:shd w:val="clear" w:color="auto" w:fill="auto"/>
            <w:vAlign w:val="center"/>
          </w:tcPr>
          <w:p w14:paraId="06D03BD8" w14:textId="2EB44872" w:rsidR="00A057D3" w:rsidRPr="001F731F" w:rsidRDefault="00A057D3" w:rsidP="00A057D3">
            <w:pPr>
              <w:spacing w:after="0" w:line="240" w:lineRule="auto"/>
              <w:jc w:val="both"/>
              <w:rPr>
                <w:rFonts w:ascii="Arial" w:eastAsia="Times New Roman" w:hAnsi="Arial" w:cs="Arial"/>
                <w:b/>
                <w:bCs/>
                <w:color w:val="000000"/>
                <w:sz w:val="18"/>
                <w:szCs w:val="18"/>
                <w:lang w:val="es-ES_tradnl" w:eastAsia="es-ES"/>
              </w:rPr>
            </w:pPr>
            <w:r>
              <w:rPr>
                <w:rFonts w:ascii="Arial" w:hAnsi="Arial" w:cs="Arial"/>
                <w:b/>
                <w:bCs/>
                <w:sz w:val="18"/>
                <w:szCs w:val="18"/>
                <w:lang w:val="es-419" w:eastAsia="zh-CN"/>
              </w:rPr>
              <w:t xml:space="preserve">Producto </w:t>
            </w:r>
            <w:r w:rsidR="002E796B">
              <w:rPr>
                <w:rFonts w:ascii="Arial" w:hAnsi="Arial" w:cs="Arial"/>
                <w:b/>
                <w:bCs/>
                <w:sz w:val="18"/>
                <w:szCs w:val="18"/>
                <w:lang w:val="es-419" w:eastAsia="zh-CN"/>
              </w:rPr>
              <w:t>3</w:t>
            </w:r>
            <w:r w:rsidR="002F4ED8" w:rsidRPr="00503915">
              <w:rPr>
                <w:rFonts w:ascii="Arial" w:hAnsi="Arial"/>
                <w:b/>
                <w:sz w:val="18"/>
                <w:lang w:val="es-419"/>
              </w:rPr>
              <w:t xml:space="preserve">: </w:t>
            </w:r>
            <w:r w:rsidR="002F4ED8" w:rsidRPr="003079B9">
              <w:rPr>
                <w:rFonts w:ascii="Arial" w:hAnsi="Arial" w:cs="Arial"/>
                <w:sz w:val="18"/>
                <w:szCs w:val="18"/>
                <w:lang w:val="es-419" w:eastAsia="zh-CN"/>
              </w:rPr>
              <w:t xml:space="preserve">Monto otorgado en </w:t>
            </w:r>
            <w:r w:rsidR="00CD479F" w:rsidRPr="00BD72BE">
              <w:rPr>
                <w:rFonts w:ascii="Arial" w:hAnsi="Arial" w:cs="Arial"/>
                <w:sz w:val="18"/>
                <w:szCs w:val="18"/>
                <w:lang w:val="es-419" w:eastAsia="zh-CN"/>
              </w:rPr>
              <w:t>crédito</w:t>
            </w:r>
            <w:r w:rsidR="002F4ED8" w:rsidRPr="003079B9">
              <w:rPr>
                <w:rFonts w:ascii="Arial" w:hAnsi="Arial" w:cs="Arial"/>
                <w:sz w:val="18"/>
                <w:szCs w:val="18"/>
                <w:lang w:val="es-419" w:eastAsia="zh-CN"/>
              </w:rPr>
              <w:t xml:space="preserve"> a MIPYME </w:t>
            </w:r>
            <w:r w:rsidRPr="00BD72BE">
              <w:rPr>
                <w:rFonts w:ascii="Arial" w:hAnsi="Arial" w:cs="Arial"/>
                <w:sz w:val="18"/>
                <w:szCs w:val="18"/>
                <w:lang w:val="es-419" w:eastAsia="zh-CN"/>
              </w:rPr>
              <w:t xml:space="preserve">para </w:t>
            </w:r>
            <w:r>
              <w:rPr>
                <w:rFonts w:ascii="Arial" w:hAnsi="Arial" w:cs="Arial"/>
                <w:sz w:val="18"/>
                <w:szCs w:val="18"/>
                <w:lang w:val="es-419" w:eastAsia="zh-CN"/>
              </w:rPr>
              <w:t xml:space="preserve">el financiamiento de inversiones </w:t>
            </w:r>
            <w:r w:rsidRPr="00457898">
              <w:rPr>
                <w:rFonts w:ascii="Arial" w:hAnsi="Arial" w:cs="Arial"/>
                <w:sz w:val="18"/>
                <w:szCs w:val="18"/>
                <w:lang w:val="es-419" w:eastAsia="zh-CN"/>
              </w:rPr>
              <w:t>con potencial de mitigación y/o adaptación al cambio climático y sostenibilidad ambiental</w:t>
            </w:r>
            <w:r w:rsidRPr="00457898" w:rsidDel="00DD7F1E">
              <w:rPr>
                <w:rFonts w:ascii="Arial" w:hAnsi="Arial" w:cs="Arial"/>
                <w:sz w:val="18"/>
                <w:szCs w:val="18"/>
                <w:lang w:val="es-419" w:eastAsia="zh-CN"/>
              </w:rPr>
              <w:t xml:space="preserve"> </w:t>
            </w:r>
            <w:r w:rsidRPr="00BD72BE">
              <w:rPr>
                <w:rFonts w:ascii="Arial" w:hAnsi="Arial" w:cs="Arial"/>
                <w:sz w:val="18"/>
                <w:szCs w:val="18"/>
                <w:lang w:val="es-419" w:eastAsia="zh-CN"/>
              </w:rPr>
              <w:t xml:space="preserve">con apoyo del </w:t>
            </w:r>
            <w:r w:rsidR="00CD479F" w:rsidRPr="00BD72BE">
              <w:rPr>
                <w:rFonts w:ascii="Arial" w:hAnsi="Arial" w:cs="Arial"/>
                <w:sz w:val="18"/>
                <w:szCs w:val="18"/>
                <w:lang w:val="es-419" w:eastAsia="zh-CN"/>
              </w:rPr>
              <w:t>programa</w:t>
            </w:r>
            <w:r w:rsidRPr="003079B9" w:rsidDel="008C2613">
              <w:rPr>
                <w:rFonts w:ascii="Arial" w:hAnsi="Arial" w:cs="Arial"/>
                <w:sz w:val="18"/>
                <w:szCs w:val="18"/>
                <w:lang w:val="es-419" w:eastAsia="zh-CN"/>
              </w:rPr>
              <w:t>.</w:t>
            </w:r>
          </w:p>
        </w:tc>
        <w:tc>
          <w:tcPr>
            <w:tcW w:w="1553" w:type="dxa"/>
            <w:tcBorders>
              <w:top w:val="nil"/>
              <w:left w:val="nil"/>
              <w:bottom w:val="single" w:sz="8" w:space="0" w:color="000000"/>
              <w:right w:val="single" w:sz="8" w:space="0" w:color="000000"/>
            </w:tcBorders>
            <w:shd w:val="clear" w:color="auto" w:fill="auto"/>
            <w:vAlign w:val="center"/>
          </w:tcPr>
          <w:p w14:paraId="60D5C02F" w14:textId="77777777" w:rsidR="00CD479F" w:rsidRPr="00BD72BE" w:rsidRDefault="00A057D3" w:rsidP="00CD479F">
            <w:pPr>
              <w:spacing w:after="0" w:line="240" w:lineRule="auto"/>
              <w:jc w:val="center"/>
              <w:rPr>
                <w:rFonts w:ascii="Arial" w:hAnsi="Arial" w:cs="Arial"/>
                <w:sz w:val="18"/>
                <w:szCs w:val="18"/>
                <w:lang w:val="es-419" w:eastAsia="zh-CN"/>
              </w:rPr>
            </w:pPr>
            <w:r w:rsidRPr="00503915">
              <w:rPr>
                <w:rFonts w:ascii="Arial" w:hAnsi="Arial"/>
                <w:sz w:val="18"/>
                <w:lang w:val="es-419"/>
              </w:rPr>
              <w:t>US$</w:t>
            </w:r>
            <w:r w:rsidR="00CD479F" w:rsidRPr="00BD72BE">
              <w:rPr>
                <w:rFonts w:ascii="Arial" w:hAnsi="Arial" w:cs="Arial"/>
                <w:sz w:val="18"/>
                <w:szCs w:val="18"/>
                <w:lang w:val="es-419" w:eastAsia="zh-CN"/>
              </w:rPr>
              <w:t xml:space="preserve"> </w:t>
            </w:r>
          </w:p>
          <w:p w14:paraId="7D947973" w14:textId="033AA3A5" w:rsidR="00A057D3" w:rsidRPr="001F731F" w:rsidRDefault="00CD479F" w:rsidP="00A057D3">
            <w:pPr>
              <w:spacing w:after="0" w:line="240" w:lineRule="auto"/>
              <w:jc w:val="center"/>
              <w:rPr>
                <w:rFonts w:ascii="Arial" w:eastAsia="Times New Roman" w:hAnsi="Arial" w:cs="Arial"/>
                <w:color w:val="000000"/>
                <w:sz w:val="18"/>
                <w:szCs w:val="18"/>
                <w:lang w:val="es-ES_tradnl" w:eastAsia="es-ES"/>
              </w:rPr>
            </w:pPr>
            <w:r w:rsidRPr="00BD72BE">
              <w:rPr>
                <w:rFonts w:ascii="Arial" w:hAnsi="Arial" w:cs="Arial"/>
                <w:sz w:val="18"/>
                <w:szCs w:val="18"/>
                <w:lang w:val="es-419" w:eastAsia="zh-CN"/>
              </w:rPr>
              <w:t>Millones</w:t>
            </w:r>
          </w:p>
        </w:tc>
        <w:tc>
          <w:tcPr>
            <w:tcW w:w="1542" w:type="dxa"/>
            <w:tcBorders>
              <w:top w:val="nil"/>
              <w:left w:val="nil"/>
              <w:bottom w:val="single" w:sz="8" w:space="0" w:color="000000"/>
              <w:right w:val="single" w:sz="8" w:space="0" w:color="000000"/>
            </w:tcBorders>
            <w:shd w:val="clear" w:color="auto" w:fill="auto"/>
            <w:vAlign w:val="center"/>
          </w:tcPr>
          <w:p w14:paraId="44042285" w14:textId="7576D4CC" w:rsidR="00A057D3" w:rsidRPr="001F731F" w:rsidRDefault="0040596A" w:rsidP="00A057D3">
            <w:pPr>
              <w:spacing w:after="0" w:line="240" w:lineRule="auto"/>
              <w:jc w:val="both"/>
              <w:rPr>
                <w:rFonts w:ascii="Arial" w:eastAsia="Times New Roman" w:hAnsi="Arial" w:cs="Arial"/>
                <w:color w:val="000000"/>
                <w:sz w:val="18"/>
                <w:szCs w:val="18"/>
                <w:lang w:val="es-ES_tradnl" w:eastAsia="es-ES"/>
              </w:rPr>
            </w:pPr>
            <w:r>
              <w:rPr>
                <w:rFonts w:ascii="Arial" w:eastAsia="Times New Roman" w:hAnsi="Arial" w:cs="Arial"/>
                <w:color w:val="000000"/>
                <w:sz w:val="18"/>
                <w:szCs w:val="18"/>
                <w:lang w:val="es-419" w:eastAsia="es-ES"/>
              </w:rPr>
              <w:t>SIG de</w:t>
            </w:r>
            <w:r w:rsidRPr="00C048D5">
              <w:rPr>
                <w:rFonts w:ascii="Arial" w:eastAsia="Times New Roman" w:hAnsi="Arial" w:cs="Arial"/>
                <w:color w:val="000000"/>
                <w:sz w:val="18"/>
                <w:szCs w:val="18"/>
                <w:lang w:val="es-419" w:eastAsia="es-ES"/>
              </w:rPr>
              <w:t xml:space="preserve"> </w:t>
            </w:r>
            <w:r w:rsidR="0008631C">
              <w:rPr>
                <w:rFonts w:ascii="Arial" w:eastAsia="Times New Roman" w:hAnsi="Arial" w:cs="Arial"/>
                <w:color w:val="000000"/>
                <w:sz w:val="18"/>
                <w:szCs w:val="18"/>
                <w:lang w:val="es-419" w:eastAsia="es-ES"/>
              </w:rPr>
              <w:t>BANDESAL</w:t>
            </w:r>
            <w:r>
              <w:rPr>
                <w:rFonts w:ascii="Arial" w:eastAsia="Times New Roman" w:hAnsi="Arial" w:cs="Arial"/>
                <w:color w:val="000000"/>
                <w:sz w:val="18"/>
                <w:szCs w:val="18"/>
                <w:lang w:val="es-419" w:eastAsia="es-ES"/>
              </w:rPr>
              <w:t>.</w:t>
            </w:r>
          </w:p>
        </w:tc>
        <w:tc>
          <w:tcPr>
            <w:tcW w:w="3625" w:type="dxa"/>
            <w:tcBorders>
              <w:top w:val="nil"/>
              <w:left w:val="nil"/>
              <w:bottom w:val="single" w:sz="8" w:space="0" w:color="000000"/>
              <w:right w:val="single" w:sz="8" w:space="0" w:color="000000"/>
            </w:tcBorders>
            <w:shd w:val="clear" w:color="auto" w:fill="auto"/>
            <w:vAlign w:val="center"/>
          </w:tcPr>
          <w:p w14:paraId="7489C275" w14:textId="5F54FD0B" w:rsidR="00A057D3" w:rsidRDefault="00A057D3" w:rsidP="00A057D3">
            <w:pPr>
              <w:spacing w:before="120" w:after="120" w:line="240" w:lineRule="auto"/>
              <w:jc w:val="both"/>
              <w:rPr>
                <w:rFonts w:ascii="Arial" w:hAnsi="Arial" w:cs="Arial"/>
                <w:sz w:val="18"/>
                <w:szCs w:val="18"/>
                <w:lang w:val="es-ES" w:eastAsia="zh-CN"/>
              </w:rPr>
            </w:pPr>
            <w:r w:rsidRPr="00304927">
              <w:rPr>
                <w:rFonts w:ascii="Arial" w:hAnsi="Arial" w:cs="Arial"/>
                <w:sz w:val="18"/>
                <w:szCs w:val="18"/>
                <w:lang w:val="es-ES" w:eastAsia="zh-CN"/>
              </w:rPr>
              <w:t xml:space="preserve">El </w:t>
            </w:r>
            <w:hyperlink r:id="rId20" w:history="1">
              <w:r w:rsidR="00446E9A" w:rsidRPr="00931FB1">
                <w:rPr>
                  <w:rStyle w:val="Hyperlink"/>
                  <w:rFonts w:ascii="Arial" w:hAnsi="Arial" w:cs="Arial"/>
                  <w:sz w:val="18"/>
                  <w:szCs w:val="18"/>
                  <w:lang w:val="es-ES" w:eastAsia="zh-CN"/>
                </w:rPr>
                <w:t>RC</w:t>
              </w:r>
            </w:hyperlink>
            <w:r w:rsidRPr="00304927">
              <w:rPr>
                <w:rFonts w:ascii="Arial" w:hAnsi="Arial" w:cs="Arial"/>
                <w:sz w:val="18"/>
                <w:szCs w:val="18"/>
                <w:lang w:val="es-ES" w:eastAsia="zh-CN"/>
              </w:rPr>
              <w:t xml:space="preserve"> del</w:t>
            </w:r>
            <w:r>
              <w:rPr>
                <w:rFonts w:ascii="Arial" w:hAnsi="Arial" w:cs="Arial"/>
                <w:sz w:val="18"/>
                <w:szCs w:val="18"/>
                <w:lang w:val="es-ES" w:eastAsia="zh-CN"/>
              </w:rPr>
              <w:t xml:space="preserve"> programa recoge las inversiones elegibles bajo esta definición.</w:t>
            </w:r>
          </w:p>
          <w:p w14:paraId="6DAD17F6" w14:textId="2EAF4B01" w:rsidR="00A057D3" w:rsidRPr="001F731F" w:rsidRDefault="00A057D3" w:rsidP="00503915">
            <w:pPr>
              <w:spacing w:after="0" w:line="240" w:lineRule="auto"/>
              <w:jc w:val="both"/>
              <w:rPr>
                <w:rFonts w:ascii="Arial" w:eastAsia="Times New Roman" w:hAnsi="Arial" w:cs="Arial"/>
                <w:color w:val="000000"/>
                <w:sz w:val="18"/>
                <w:szCs w:val="18"/>
                <w:lang w:val="es-ES_tradnl" w:eastAsia="es-ES"/>
              </w:rPr>
            </w:pPr>
            <w:r>
              <w:rPr>
                <w:rFonts w:ascii="Arial" w:hAnsi="Arial" w:cs="Arial"/>
                <w:sz w:val="18"/>
                <w:szCs w:val="18"/>
                <w:lang w:val="es-ES" w:eastAsia="zh-CN"/>
              </w:rPr>
              <w:t>Se espera que los montos otorgados bajo esta categoría se incrementen gradualmente a lo largo de la vida del programa.</w:t>
            </w:r>
          </w:p>
        </w:tc>
      </w:tr>
    </w:tbl>
    <w:p w14:paraId="47E1FC7E" w14:textId="7059D952" w:rsidR="00D67314" w:rsidRPr="00C41BB3" w:rsidRDefault="00146D4D" w:rsidP="00C41BB3">
      <w:pPr>
        <w:pStyle w:val="Paragraph"/>
        <w:numPr>
          <w:ilvl w:val="1"/>
          <w:numId w:val="5"/>
        </w:numPr>
        <w:ind w:left="720" w:hanging="720"/>
        <w:rPr>
          <w:rFonts w:ascii="Arial" w:hAnsi="Arial" w:cs="Arial"/>
          <w:sz w:val="22"/>
          <w:szCs w:val="22"/>
          <w:lang w:val="es-NI"/>
        </w:rPr>
      </w:pPr>
      <w:bookmarkStart w:id="14" w:name="_Toc352756754"/>
      <w:bookmarkStart w:id="15" w:name="_Toc38880733"/>
      <w:bookmarkStart w:id="16" w:name="_Toc40530257"/>
      <w:bookmarkEnd w:id="9"/>
      <w:r>
        <w:rPr>
          <w:rFonts w:ascii="Arial" w:hAnsi="Arial" w:cs="Arial"/>
          <w:sz w:val="22"/>
          <w:szCs w:val="22"/>
          <w:lang w:val="es-ES_tradnl"/>
        </w:rPr>
        <w:t>Dado que el</w:t>
      </w:r>
      <w:r w:rsidR="00023F8E" w:rsidRPr="00023F8E">
        <w:rPr>
          <w:rFonts w:ascii="Arial" w:hAnsi="Arial" w:cs="Arial"/>
          <w:sz w:val="22"/>
          <w:szCs w:val="22"/>
          <w:lang w:val="es-ES_tradnl"/>
        </w:rPr>
        <w:t xml:space="preserve"> programa contribuirá al </w:t>
      </w:r>
      <w:r w:rsidR="00023F8E" w:rsidRPr="00146D4D">
        <w:rPr>
          <w:rFonts w:ascii="Arial" w:hAnsi="Arial" w:cs="Arial"/>
          <w:sz w:val="22"/>
          <w:szCs w:val="22"/>
          <w:lang w:val="es-ES_tradnl"/>
        </w:rPr>
        <w:t>Marco de Resultados Corporativos (CRF) 2020-2023 (GN-2727-12), a través de los indicadores: (i) mujeres beneficiarias d</w:t>
      </w:r>
      <w:r w:rsidR="00023F8E" w:rsidRPr="00DE7724">
        <w:rPr>
          <w:rFonts w:ascii="Arial" w:hAnsi="Arial" w:cs="Arial"/>
          <w:sz w:val="22"/>
          <w:szCs w:val="22"/>
          <w:lang w:val="es-ES_tradnl"/>
        </w:rPr>
        <w:t>e iniciativas de empoderamiento económico</w:t>
      </w:r>
      <w:r>
        <w:rPr>
          <w:rFonts w:ascii="Arial" w:hAnsi="Arial" w:cs="Arial"/>
          <w:sz w:val="22"/>
          <w:szCs w:val="22"/>
          <w:lang w:val="es-ES_tradnl"/>
        </w:rPr>
        <w:t xml:space="preserve"> y</w:t>
      </w:r>
      <w:r w:rsidR="00023F8E" w:rsidRPr="00146D4D">
        <w:rPr>
          <w:rFonts w:ascii="Arial" w:hAnsi="Arial" w:cs="Arial"/>
          <w:sz w:val="22"/>
          <w:szCs w:val="22"/>
          <w:lang w:val="es-ES_tradnl"/>
        </w:rPr>
        <w:t xml:space="preserve"> (</w:t>
      </w:r>
      <w:proofErr w:type="spellStart"/>
      <w:r w:rsidR="00023F8E" w:rsidRPr="00146D4D">
        <w:rPr>
          <w:rFonts w:ascii="Arial" w:hAnsi="Arial" w:cs="Arial"/>
          <w:sz w:val="22"/>
          <w:szCs w:val="22"/>
          <w:lang w:val="es-ES_tradnl"/>
        </w:rPr>
        <w:t>ii</w:t>
      </w:r>
      <w:proofErr w:type="spellEnd"/>
      <w:r w:rsidR="00023F8E" w:rsidRPr="00146D4D">
        <w:rPr>
          <w:rFonts w:ascii="Arial" w:hAnsi="Arial" w:cs="Arial"/>
          <w:sz w:val="22"/>
          <w:szCs w:val="22"/>
          <w:lang w:val="es-ES_tradnl"/>
        </w:rPr>
        <w:t>) MIPYME financiadas</w:t>
      </w:r>
      <w:r>
        <w:rPr>
          <w:rFonts w:ascii="Arial" w:hAnsi="Arial" w:cs="Arial"/>
          <w:sz w:val="22"/>
          <w:szCs w:val="22"/>
          <w:lang w:val="es-ES_tradnl"/>
        </w:rPr>
        <w:t xml:space="preserve">; BANDESAL recolectará la información pertinente para </w:t>
      </w:r>
      <w:r w:rsidR="00FB555F">
        <w:rPr>
          <w:rFonts w:ascii="Arial" w:hAnsi="Arial" w:cs="Arial"/>
          <w:sz w:val="22"/>
          <w:szCs w:val="22"/>
          <w:lang w:val="es-ES_tradnl"/>
        </w:rPr>
        <w:t xml:space="preserve">hacer seguimiento a los mismos </w:t>
      </w:r>
      <w:r w:rsidR="00DE7724">
        <w:rPr>
          <w:rFonts w:ascii="Arial" w:hAnsi="Arial" w:cs="Arial"/>
          <w:sz w:val="22"/>
          <w:szCs w:val="22"/>
          <w:lang w:val="es-ES_tradnl"/>
        </w:rPr>
        <w:t>en conjunto con aquellos de</w:t>
      </w:r>
      <w:r w:rsidR="000561F0">
        <w:rPr>
          <w:rFonts w:ascii="Arial" w:hAnsi="Arial" w:cs="Arial"/>
          <w:sz w:val="22"/>
          <w:szCs w:val="22"/>
          <w:lang w:val="es-ES_tradnl"/>
        </w:rPr>
        <w:t>finidos dentro de</w:t>
      </w:r>
      <w:r w:rsidR="00DE7724">
        <w:rPr>
          <w:rFonts w:ascii="Arial" w:hAnsi="Arial" w:cs="Arial"/>
          <w:sz w:val="22"/>
          <w:szCs w:val="22"/>
          <w:lang w:val="es-ES_tradnl"/>
        </w:rPr>
        <w:t xml:space="preserve"> la Matriz de Resultados. </w:t>
      </w:r>
    </w:p>
    <w:p w14:paraId="4691B0F8" w14:textId="6B9B8248" w:rsidR="00145881" w:rsidRPr="001F731F" w:rsidRDefault="00145881" w:rsidP="00FF47E7">
      <w:pPr>
        <w:pStyle w:val="SecHeading"/>
        <w:tabs>
          <w:tab w:val="clear" w:pos="5400"/>
          <w:tab w:val="num" w:pos="1260"/>
        </w:tabs>
        <w:ind w:hanging="4680"/>
        <w:rPr>
          <w:rFonts w:ascii="Arial" w:hAnsi="Arial" w:cs="Arial"/>
          <w:color w:val="auto"/>
          <w:sz w:val="22"/>
          <w:szCs w:val="22"/>
        </w:rPr>
      </w:pPr>
      <w:r w:rsidRPr="001F731F">
        <w:rPr>
          <w:rFonts w:ascii="Arial" w:hAnsi="Arial" w:cs="Arial"/>
          <w:color w:val="auto"/>
          <w:sz w:val="22"/>
          <w:szCs w:val="22"/>
        </w:rPr>
        <w:t>Recolección de Información e Instrumentos</w:t>
      </w:r>
      <w:bookmarkEnd w:id="14"/>
      <w:bookmarkEnd w:id="15"/>
      <w:bookmarkEnd w:id="16"/>
    </w:p>
    <w:p w14:paraId="5E3EE88B" w14:textId="407F42DE" w:rsidR="00145881" w:rsidRPr="001F731F" w:rsidRDefault="00145881" w:rsidP="002E177E">
      <w:pPr>
        <w:pStyle w:val="Paragraph"/>
        <w:numPr>
          <w:ilvl w:val="1"/>
          <w:numId w:val="5"/>
        </w:numPr>
        <w:ind w:left="720" w:hanging="720"/>
        <w:rPr>
          <w:rFonts w:ascii="Arial" w:hAnsi="Arial" w:cs="Arial"/>
          <w:sz w:val="22"/>
          <w:szCs w:val="22"/>
          <w:lang w:val="es-ES_tradnl"/>
        </w:rPr>
      </w:pPr>
      <w:r>
        <w:rPr>
          <w:rFonts w:ascii="Arial" w:hAnsi="Arial" w:cs="Arial"/>
          <w:sz w:val="22"/>
          <w:szCs w:val="22"/>
          <w:lang w:val="es-ES_tradnl"/>
        </w:rPr>
        <w:t xml:space="preserve">El OE y el Banco </w:t>
      </w:r>
      <w:r w:rsidRPr="001F731F">
        <w:rPr>
          <w:rFonts w:ascii="Arial" w:hAnsi="Arial" w:cs="Arial"/>
          <w:sz w:val="22"/>
          <w:szCs w:val="22"/>
          <w:lang w:val="es-ES_tradnl"/>
        </w:rPr>
        <w:t xml:space="preserve">han acordado usar la Matriz de Resultados del programa recogida en este Plan de Monitoreo y Evaluación a los efectos de monitorear el progreso en su ejecución. Dicho monitoreo descansará en la información administrativa recolectada y mantenida durante la vida del </w:t>
      </w:r>
      <w:r>
        <w:rPr>
          <w:rFonts w:ascii="Arial" w:hAnsi="Arial" w:cs="Arial"/>
          <w:sz w:val="22"/>
          <w:szCs w:val="22"/>
          <w:lang w:val="es-ES_tradnl"/>
        </w:rPr>
        <w:t>programa</w:t>
      </w:r>
      <w:r w:rsidRPr="001F731F">
        <w:rPr>
          <w:rFonts w:ascii="Arial" w:hAnsi="Arial" w:cs="Arial"/>
          <w:sz w:val="22"/>
          <w:szCs w:val="22"/>
          <w:lang w:val="es-ES_tradnl"/>
        </w:rPr>
        <w:t xml:space="preserve"> por el OE</w:t>
      </w:r>
      <w:r>
        <w:rPr>
          <w:rFonts w:ascii="Arial" w:hAnsi="Arial" w:cs="Arial"/>
          <w:sz w:val="22"/>
          <w:szCs w:val="22"/>
          <w:lang w:val="es-ES_tradnl"/>
        </w:rPr>
        <w:t>.</w:t>
      </w:r>
      <w:r w:rsidRPr="001F731F">
        <w:rPr>
          <w:rFonts w:ascii="Arial" w:hAnsi="Arial" w:cs="Arial"/>
          <w:sz w:val="22"/>
          <w:szCs w:val="22"/>
          <w:lang w:val="es-ES_tradnl"/>
        </w:rPr>
        <w:t xml:space="preserve"> </w:t>
      </w:r>
      <w:r>
        <w:rPr>
          <w:rFonts w:ascii="Arial" w:hAnsi="Arial" w:cs="Arial"/>
          <w:sz w:val="22"/>
          <w:szCs w:val="22"/>
          <w:lang w:val="es-ES_tradnl"/>
        </w:rPr>
        <w:t>El OE m</w:t>
      </w:r>
      <w:r w:rsidRPr="001F731F">
        <w:rPr>
          <w:rFonts w:ascii="Arial" w:hAnsi="Arial" w:cs="Arial"/>
          <w:sz w:val="22"/>
          <w:szCs w:val="22"/>
          <w:lang w:val="es-ES_tradnl"/>
        </w:rPr>
        <w:t xml:space="preserve">antendrá un sistema de registros que podrá incluir información sobre las características del </w:t>
      </w:r>
      <w:r>
        <w:rPr>
          <w:rFonts w:ascii="Arial" w:hAnsi="Arial" w:cs="Arial"/>
          <w:sz w:val="22"/>
          <w:szCs w:val="22"/>
          <w:lang w:val="es-ES_tradnl"/>
        </w:rPr>
        <w:t>financiamiento y/o garantía</w:t>
      </w:r>
      <w:r w:rsidRPr="001F731F">
        <w:rPr>
          <w:rFonts w:ascii="Arial" w:hAnsi="Arial" w:cs="Arial"/>
          <w:sz w:val="22"/>
          <w:szCs w:val="22"/>
          <w:lang w:val="es-ES_tradnl"/>
        </w:rPr>
        <w:t xml:space="preserve"> otorgado a los prestatarios y/o destinatarios </w:t>
      </w:r>
      <w:r>
        <w:rPr>
          <w:rFonts w:ascii="Arial" w:hAnsi="Arial" w:cs="Arial"/>
          <w:sz w:val="22"/>
          <w:szCs w:val="22"/>
          <w:lang w:val="es-ES_tradnl"/>
        </w:rPr>
        <w:t>finales,</w:t>
      </w:r>
      <w:r w:rsidRPr="001F731F">
        <w:rPr>
          <w:rFonts w:ascii="Arial" w:hAnsi="Arial" w:cs="Arial"/>
          <w:sz w:val="22"/>
          <w:szCs w:val="22"/>
          <w:lang w:val="es-ES_tradnl"/>
        </w:rPr>
        <w:t xml:space="preserve"> como monto, tasa de interés, sector de actividad, destino de la inversión, plazos</w:t>
      </w:r>
      <w:r w:rsidR="0064785D">
        <w:rPr>
          <w:rFonts w:ascii="Arial" w:hAnsi="Arial" w:cs="Arial"/>
          <w:sz w:val="22"/>
          <w:szCs w:val="22"/>
          <w:lang w:val="es-ES_tradnl"/>
        </w:rPr>
        <w:t>. Adicionalmente, el OE recogerá los datos inicial -antes de recibir recursos del programa- y final -tras recibir los recursos del programa por última vez- de monto total de la cartera y cartera vencida para la cartera de financiamiento a MIPYME de las instituciones financieras de primer piso con las que se trabaje en el contexto de este programa.</w:t>
      </w:r>
    </w:p>
    <w:p w14:paraId="7FDBA724" w14:textId="5D3171A2" w:rsidR="00145881" w:rsidRPr="001F731F" w:rsidRDefault="00145881" w:rsidP="002E177E">
      <w:pPr>
        <w:pStyle w:val="Paragraph"/>
        <w:numPr>
          <w:ilvl w:val="1"/>
          <w:numId w:val="5"/>
        </w:numPr>
        <w:ind w:left="720" w:hanging="720"/>
        <w:rPr>
          <w:rFonts w:ascii="Arial" w:hAnsi="Arial" w:cs="Arial"/>
          <w:sz w:val="22"/>
          <w:szCs w:val="22"/>
          <w:lang w:val="es-ES_tradnl"/>
        </w:rPr>
      </w:pPr>
      <w:r w:rsidRPr="001F731F">
        <w:rPr>
          <w:rFonts w:ascii="Arial" w:hAnsi="Arial" w:cs="Arial"/>
          <w:sz w:val="22"/>
          <w:szCs w:val="22"/>
          <w:lang w:val="es-ES_tradnl"/>
        </w:rPr>
        <w:t xml:space="preserve">Los usuarios de los informes semestrales de seguimiento serán el organismo financiador del </w:t>
      </w:r>
      <w:r w:rsidR="004F75FD">
        <w:rPr>
          <w:rFonts w:ascii="Arial" w:hAnsi="Arial" w:cs="Arial"/>
          <w:sz w:val="22"/>
          <w:szCs w:val="22"/>
          <w:lang w:val="es-ES_tradnl"/>
        </w:rPr>
        <w:t>p</w:t>
      </w:r>
      <w:r w:rsidRPr="001F731F">
        <w:rPr>
          <w:rFonts w:ascii="Arial" w:hAnsi="Arial" w:cs="Arial"/>
          <w:sz w:val="22"/>
          <w:szCs w:val="22"/>
          <w:lang w:val="es-ES_tradnl"/>
        </w:rPr>
        <w:t xml:space="preserve">rograma (BID), más concretamente la División de Conectividad, Mercados y Finanzas (IFD/CMF), las instituciones colaboradoras en cada proyecto, y las auditorías que trabajen en la supervisión del Programa. </w:t>
      </w:r>
    </w:p>
    <w:p w14:paraId="28A81873" w14:textId="77777777" w:rsidR="00145881" w:rsidRPr="001F731F" w:rsidRDefault="00145881" w:rsidP="00145881">
      <w:pPr>
        <w:pStyle w:val="SecHeading"/>
        <w:tabs>
          <w:tab w:val="clear" w:pos="5400"/>
          <w:tab w:val="num" w:pos="1260"/>
        </w:tabs>
        <w:ind w:left="5398" w:hanging="4678"/>
        <w:rPr>
          <w:rFonts w:ascii="Arial" w:hAnsi="Arial" w:cs="Arial"/>
          <w:color w:val="auto"/>
          <w:sz w:val="22"/>
          <w:szCs w:val="22"/>
        </w:rPr>
      </w:pPr>
      <w:bookmarkStart w:id="17" w:name="_Toc352756755"/>
      <w:bookmarkStart w:id="18" w:name="_Toc38880734"/>
      <w:bookmarkStart w:id="19" w:name="_Toc40530258"/>
      <w:r w:rsidRPr="001F731F">
        <w:rPr>
          <w:rFonts w:ascii="Arial" w:hAnsi="Arial" w:cs="Arial"/>
          <w:color w:val="auto"/>
          <w:sz w:val="22"/>
          <w:szCs w:val="22"/>
        </w:rPr>
        <w:t xml:space="preserve">Presentación de </w:t>
      </w:r>
      <w:bookmarkEnd w:id="17"/>
      <w:r w:rsidRPr="001F731F">
        <w:rPr>
          <w:rFonts w:ascii="Arial" w:hAnsi="Arial" w:cs="Arial"/>
          <w:color w:val="auto"/>
          <w:sz w:val="22"/>
          <w:szCs w:val="22"/>
        </w:rPr>
        <w:t>Informes</w:t>
      </w:r>
      <w:bookmarkEnd w:id="18"/>
      <w:bookmarkEnd w:id="19"/>
      <w:r w:rsidRPr="001F731F">
        <w:rPr>
          <w:rFonts w:ascii="Arial" w:hAnsi="Arial" w:cs="Arial"/>
          <w:color w:val="auto"/>
          <w:sz w:val="22"/>
          <w:szCs w:val="22"/>
        </w:rPr>
        <w:t xml:space="preserve"> </w:t>
      </w:r>
    </w:p>
    <w:p w14:paraId="53BEBDBB" w14:textId="77777777" w:rsidR="00145881" w:rsidRPr="001F731F" w:rsidRDefault="00145881" w:rsidP="002E177E">
      <w:pPr>
        <w:pStyle w:val="Paragraph"/>
        <w:numPr>
          <w:ilvl w:val="1"/>
          <w:numId w:val="5"/>
        </w:numPr>
        <w:ind w:left="720" w:hanging="720"/>
        <w:rPr>
          <w:rFonts w:ascii="Arial" w:hAnsi="Arial" w:cs="Arial"/>
          <w:sz w:val="22"/>
          <w:szCs w:val="22"/>
          <w:lang w:val="es-ES_tradnl"/>
        </w:rPr>
      </w:pPr>
      <w:r w:rsidRPr="001F731F">
        <w:rPr>
          <w:rFonts w:ascii="Arial" w:hAnsi="Arial" w:cs="Arial"/>
          <w:sz w:val="22"/>
          <w:szCs w:val="22"/>
          <w:lang w:val="es-ES_tradnl"/>
        </w:rPr>
        <w:t xml:space="preserve">La ejecución del programa será monitoreada a través de los PMR. </w:t>
      </w:r>
      <w:r>
        <w:rPr>
          <w:rFonts w:ascii="Arial" w:hAnsi="Arial" w:cs="Arial"/>
          <w:sz w:val="22"/>
          <w:szCs w:val="22"/>
          <w:lang w:val="es-ES_tradnl"/>
        </w:rPr>
        <w:t xml:space="preserve">El OE en coordinación con el Banco </w:t>
      </w:r>
      <w:r w:rsidRPr="001F731F">
        <w:rPr>
          <w:rFonts w:ascii="Arial" w:hAnsi="Arial" w:cs="Arial"/>
          <w:sz w:val="22"/>
          <w:szCs w:val="22"/>
          <w:lang w:val="es-ES_tradnl"/>
        </w:rPr>
        <w:t>será responsable de entregar dichos informes al BID dentro de los plazos especificados en las condiciones contractuales (a más tardar 60 días después del fin de cada semestre). Estos informes incluyen: (i) Informes de Monitoreo semestrales; (</w:t>
      </w:r>
      <w:proofErr w:type="spellStart"/>
      <w:r w:rsidRPr="001F731F">
        <w:rPr>
          <w:rFonts w:ascii="Arial" w:hAnsi="Arial" w:cs="Arial"/>
          <w:sz w:val="22"/>
          <w:szCs w:val="22"/>
          <w:lang w:val="es-ES_tradnl"/>
        </w:rPr>
        <w:t>ii</w:t>
      </w:r>
      <w:proofErr w:type="spellEnd"/>
      <w:r w:rsidRPr="001F731F">
        <w:rPr>
          <w:rFonts w:ascii="Arial" w:hAnsi="Arial" w:cs="Arial"/>
          <w:sz w:val="22"/>
          <w:szCs w:val="22"/>
          <w:lang w:val="es-ES_tradnl"/>
        </w:rPr>
        <w:t>) el Informe de Evaluación Final; (</w:t>
      </w:r>
      <w:proofErr w:type="spellStart"/>
      <w:r w:rsidRPr="001F731F">
        <w:rPr>
          <w:rFonts w:ascii="Arial" w:hAnsi="Arial" w:cs="Arial"/>
          <w:sz w:val="22"/>
          <w:szCs w:val="22"/>
          <w:lang w:val="es-ES_tradnl"/>
        </w:rPr>
        <w:t>iii</w:t>
      </w:r>
      <w:proofErr w:type="spellEnd"/>
      <w:r w:rsidRPr="001F731F">
        <w:rPr>
          <w:rFonts w:ascii="Arial" w:hAnsi="Arial" w:cs="Arial"/>
          <w:sz w:val="22"/>
          <w:szCs w:val="22"/>
          <w:lang w:val="es-ES_tradnl"/>
        </w:rPr>
        <w:t>) Auditorías; y (</w:t>
      </w:r>
      <w:proofErr w:type="spellStart"/>
      <w:r w:rsidRPr="001F731F">
        <w:rPr>
          <w:rFonts w:ascii="Arial" w:hAnsi="Arial" w:cs="Arial"/>
          <w:sz w:val="22"/>
          <w:szCs w:val="22"/>
          <w:lang w:val="es-ES_tradnl"/>
        </w:rPr>
        <w:t>iv</w:t>
      </w:r>
      <w:proofErr w:type="spellEnd"/>
      <w:r w:rsidRPr="001F731F">
        <w:rPr>
          <w:rFonts w:ascii="Arial" w:hAnsi="Arial" w:cs="Arial"/>
          <w:sz w:val="22"/>
          <w:szCs w:val="22"/>
          <w:lang w:val="es-ES_tradnl"/>
        </w:rPr>
        <w:t>) Evaluaciones de Cumplimiento ESG.</w:t>
      </w:r>
    </w:p>
    <w:p w14:paraId="5781937C" w14:textId="77777777" w:rsidR="00145881" w:rsidRPr="001F731F" w:rsidRDefault="00145881" w:rsidP="002E177E">
      <w:pPr>
        <w:pStyle w:val="Paragraph"/>
        <w:numPr>
          <w:ilvl w:val="1"/>
          <w:numId w:val="5"/>
        </w:numPr>
        <w:ind w:left="720" w:hanging="720"/>
        <w:rPr>
          <w:rFonts w:ascii="Arial" w:hAnsi="Arial" w:cs="Arial"/>
          <w:sz w:val="22"/>
          <w:szCs w:val="22"/>
          <w:lang w:val="es-ES_tradnl"/>
        </w:rPr>
      </w:pPr>
      <w:r w:rsidRPr="001F731F">
        <w:rPr>
          <w:rFonts w:ascii="Arial" w:hAnsi="Arial" w:cs="Arial"/>
          <w:sz w:val="22"/>
          <w:szCs w:val="22"/>
          <w:lang w:val="es-ES_tradnl"/>
        </w:rPr>
        <w:lastRenderedPageBreak/>
        <w:t>Los informes de monitoreo semestral deberán incluir (i) el estado de la ejecución de las actividades del programa, sus productos y efectos directos conforme se vayan realizando, los problemas de ejecución y/o riesgos identificados, y las acciones propuestas para mitigarlos; así como (</w:t>
      </w:r>
      <w:proofErr w:type="spellStart"/>
      <w:r w:rsidRPr="001F731F">
        <w:rPr>
          <w:rFonts w:ascii="Arial" w:hAnsi="Arial" w:cs="Arial"/>
          <w:sz w:val="22"/>
          <w:szCs w:val="22"/>
          <w:lang w:val="es-ES_tradnl"/>
        </w:rPr>
        <w:t>ii</w:t>
      </w:r>
      <w:proofErr w:type="spellEnd"/>
      <w:r w:rsidRPr="001F731F">
        <w:rPr>
          <w:rFonts w:ascii="Arial" w:hAnsi="Arial" w:cs="Arial"/>
          <w:sz w:val="22"/>
          <w:szCs w:val="22"/>
          <w:lang w:val="es-ES_tradnl"/>
        </w:rPr>
        <w:t xml:space="preserve">) la consecución de los productos e hitos tal y como se establecen en la Matriz de Resultados. </w:t>
      </w:r>
    </w:p>
    <w:p w14:paraId="2103F31C" w14:textId="77777777" w:rsidR="00145881" w:rsidRPr="001F731F" w:rsidRDefault="00145881" w:rsidP="002E177E">
      <w:pPr>
        <w:pStyle w:val="Paragraph"/>
        <w:numPr>
          <w:ilvl w:val="1"/>
          <w:numId w:val="5"/>
        </w:numPr>
        <w:ind w:left="720" w:hanging="720"/>
        <w:rPr>
          <w:rFonts w:ascii="Arial" w:hAnsi="Arial" w:cs="Arial"/>
          <w:sz w:val="22"/>
          <w:szCs w:val="22"/>
          <w:lang w:val="es-ES_tradnl"/>
        </w:rPr>
      </w:pPr>
      <w:r w:rsidRPr="001F731F">
        <w:rPr>
          <w:rFonts w:ascii="Arial" w:hAnsi="Arial" w:cs="Arial"/>
          <w:sz w:val="22"/>
          <w:szCs w:val="22"/>
          <w:lang w:val="es-ES_tradnl"/>
        </w:rPr>
        <w:t>Por su parte, el informe de evaluación final deberá incluir el agregado de la información contenida en los informes de monitoreo semestrales, así como un análisis final de logros sobre los indicadores de producto y resultados y de los problemas de ejecución detectados durante la ejecución del programa y el efecto final de las acciones de mitigación que se implementaron. Se deberá incluir y documentar en el máximo de las posibilidades otros efectos imprevistos del programa. Además, deberá contener la información cualitativa que se considere relevante para entender el progreso de la ejecución del programa en términos de coordinación, efectos exógenos e implementación.</w:t>
      </w:r>
    </w:p>
    <w:p w14:paraId="2F9244B3" w14:textId="77777777" w:rsidR="00145881" w:rsidRPr="001F731F" w:rsidRDefault="00145881" w:rsidP="002E177E">
      <w:pPr>
        <w:pStyle w:val="Paragraph"/>
        <w:numPr>
          <w:ilvl w:val="1"/>
          <w:numId w:val="5"/>
        </w:numPr>
        <w:ind w:left="720" w:hanging="720"/>
        <w:rPr>
          <w:rFonts w:ascii="Arial" w:hAnsi="Arial" w:cs="Arial"/>
          <w:sz w:val="22"/>
          <w:szCs w:val="22"/>
          <w:lang w:val="es-ES_tradnl"/>
        </w:rPr>
      </w:pPr>
      <w:r w:rsidRPr="001F731F">
        <w:rPr>
          <w:rFonts w:ascii="Arial" w:hAnsi="Arial" w:cs="Arial"/>
          <w:sz w:val="22"/>
          <w:szCs w:val="22"/>
          <w:lang w:val="es-ES_tradnl"/>
        </w:rPr>
        <w:t>Las auditorías deberán ser completadas por auditores independiente aceptables y seleccionados según los procedimientos del BID, tal y como establecen las directrices previstas para este fin. Los estados financieros anuales auditados del programa se presentarán dentro de los 120 días siguientes al cierre de cada ejercicio económico, comenzando con el ejercicio en que se inicia la ejecución del programa. Los mismos estados financieros, pero referentes al cierre del programa, serán presentados dentro de los 120 días posteriores al último desembolso.</w:t>
      </w:r>
    </w:p>
    <w:p w14:paraId="19626477" w14:textId="77777777" w:rsidR="00145881" w:rsidRPr="001F731F" w:rsidRDefault="00145881" w:rsidP="002E177E">
      <w:pPr>
        <w:pStyle w:val="Paragraph"/>
        <w:numPr>
          <w:ilvl w:val="1"/>
          <w:numId w:val="5"/>
        </w:numPr>
        <w:ind w:left="720" w:hanging="720"/>
        <w:rPr>
          <w:rFonts w:ascii="Arial" w:hAnsi="Arial" w:cs="Arial"/>
          <w:sz w:val="22"/>
          <w:szCs w:val="22"/>
          <w:lang w:val="es-ES_tradnl"/>
        </w:rPr>
      </w:pPr>
      <w:r w:rsidRPr="001F731F">
        <w:rPr>
          <w:rFonts w:ascii="Arial" w:hAnsi="Arial" w:cs="Arial"/>
          <w:sz w:val="22"/>
          <w:szCs w:val="22"/>
          <w:lang w:val="es-ES_tradnl"/>
        </w:rPr>
        <w:t xml:space="preserve">Por último, los informes de evaluación de cumplimiento con las políticas de ESG del BID deberán reflejar el grado de cumplimiento de los requisitos sociales y medioambientales con el sustento necesario y suficiente para su comprobación.  </w:t>
      </w:r>
    </w:p>
    <w:p w14:paraId="6EB4F01C" w14:textId="77777777" w:rsidR="00145881" w:rsidRPr="001F731F" w:rsidRDefault="00145881" w:rsidP="00145881">
      <w:pPr>
        <w:pStyle w:val="SecHeading"/>
        <w:tabs>
          <w:tab w:val="clear" w:pos="5400"/>
          <w:tab w:val="num" w:pos="1260"/>
        </w:tabs>
        <w:ind w:hanging="4680"/>
      </w:pPr>
      <w:bookmarkStart w:id="20" w:name="_Toc38880735"/>
      <w:bookmarkStart w:id="21" w:name="_Toc40530259"/>
      <w:r w:rsidRPr="001F731F">
        <w:rPr>
          <w:rFonts w:ascii="Arial" w:hAnsi="Arial" w:cs="Arial"/>
          <w:sz w:val="22"/>
          <w:szCs w:val="22"/>
        </w:rPr>
        <w:t>Coordinación del Monitoreo, Plan de Trabajo y Presupuesto</w:t>
      </w:r>
      <w:bookmarkEnd w:id="20"/>
      <w:bookmarkEnd w:id="21"/>
      <w:r w:rsidRPr="001F731F">
        <w:rPr>
          <w:rFonts w:ascii="Arial" w:hAnsi="Arial" w:cs="Arial"/>
          <w:sz w:val="22"/>
          <w:szCs w:val="22"/>
        </w:rPr>
        <w:t xml:space="preserve"> </w:t>
      </w:r>
    </w:p>
    <w:p w14:paraId="5E8C8447" w14:textId="77777777" w:rsidR="001E2557" w:rsidRDefault="00145881" w:rsidP="001E2557">
      <w:pPr>
        <w:pStyle w:val="Paragraph"/>
        <w:numPr>
          <w:ilvl w:val="1"/>
          <w:numId w:val="5"/>
        </w:numPr>
        <w:ind w:left="720" w:hanging="720"/>
        <w:rPr>
          <w:rFonts w:ascii="Arial" w:hAnsi="Arial" w:cs="Arial"/>
          <w:sz w:val="22"/>
          <w:szCs w:val="22"/>
          <w:lang w:val="es-ES_tradnl"/>
        </w:rPr>
      </w:pPr>
      <w:bookmarkStart w:id="22" w:name="_Toc352755939"/>
      <w:bookmarkStart w:id="23" w:name="_Toc387738398"/>
      <w:r>
        <w:rPr>
          <w:rFonts w:ascii="Arial" w:hAnsi="Arial" w:cs="Arial"/>
          <w:sz w:val="22"/>
          <w:szCs w:val="22"/>
          <w:lang w:val="es-ES_tradnl"/>
        </w:rPr>
        <w:t>El OE</w:t>
      </w:r>
      <w:r w:rsidRPr="001F731F">
        <w:rPr>
          <w:rFonts w:ascii="Arial" w:hAnsi="Arial" w:cs="Arial"/>
          <w:sz w:val="22"/>
          <w:szCs w:val="22"/>
          <w:lang w:val="es-ES_tradnl"/>
        </w:rPr>
        <w:t xml:space="preserve"> será responsable de la supervisión y coordinación operacional y administrativa del programa. Sus funciones administrativas incluirán, entre otras: (i) la planificación de la ejecución del programa; (</w:t>
      </w:r>
      <w:proofErr w:type="spellStart"/>
      <w:r w:rsidRPr="001F731F">
        <w:rPr>
          <w:rFonts w:ascii="Arial" w:hAnsi="Arial" w:cs="Arial"/>
          <w:sz w:val="22"/>
          <w:szCs w:val="22"/>
          <w:lang w:val="es-ES_tradnl"/>
        </w:rPr>
        <w:t>ii</w:t>
      </w:r>
      <w:proofErr w:type="spellEnd"/>
      <w:r w:rsidRPr="001F731F">
        <w:rPr>
          <w:rFonts w:ascii="Arial" w:hAnsi="Arial" w:cs="Arial"/>
          <w:sz w:val="22"/>
          <w:szCs w:val="22"/>
          <w:lang w:val="es-ES_tradnl"/>
        </w:rPr>
        <w:t>) sus desembolsos; (</w:t>
      </w:r>
      <w:proofErr w:type="spellStart"/>
      <w:r w:rsidRPr="001F731F">
        <w:rPr>
          <w:rFonts w:ascii="Arial" w:hAnsi="Arial" w:cs="Arial"/>
          <w:sz w:val="22"/>
          <w:szCs w:val="22"/>
          <w:lang w:val="es-ES_tradnl"/>
        </w:rPr>
        <w:t>iii</w:t>
      </w:r>
      <w:proofErr w:type="spellEnd"/>
      <w:r w:rsidRPr="001F731F">
        <w:rPr>
          <w:rFonts w:ascii="Arial" w:hAnsi="Arial" w:cs="Arial"/>
          <w:sz w:val="22"/>
          <w:szCs w:val="22"/>
          <w:lang w:val="es-ES_tradnl"/>
        </w:rPr>
        <w:t>) sus controles internos; (</w:t>
      </w:r>
      <w:proofErr w:type="spellStart"/>
      <w:r w:rsidRPr="001F731F">
        <w:rPr>
          <w:rFonts w:ascii="Arial" w:hAnsi="Arial" w:cs="Arial"/>
          <w:sz w:val="22"/>
          <w:szCs w:val="22"/>
          <w:lang w:val="es-ES_tradnl"/>
        </w:rPr>
        <w:t>iv</w:t>
      </w:r>
      <w:proofErr w:type="spellEnd"/>
      <w:r w:rsidRPr="001F731F">
        <w:rPr>
          <w:rFonts w:ascii="Arial" w:hAnsi="Arial" w:cs="Arial"/>
          <w:sz w:val="22"/>
          <w:szCs w:val="22"/>
          <w:lang w:val="es-ES_tradnl"/>
        </w:rPr>
        <w:t>) su auditoria; (v) el mantenimiento y continua actualización de todas las informaciones necesarias para generar los indicadores de producto y resultados; y (vi) la generación de reportes periódicos sobre su desempeño.</w:t>
      </w:r>
      <w:bookmarkEnd w:id="22"/>
      <w:bookmarkEnd w:id="23"/>
      <w:r w:rsidR="001E2557">
        <w:rPr>
          <w:rFonts w:ascii="Arial" w:hAnsi="Arial" w:cs="Arial"/>
          <w:sz w:val="22"/>
          <w:szCs w:val="22"/>
          <w:lang w:val="es-ES_tradnl"/>
        </w:rPr>
        <w:t xml:space="preserve"> </w:t>
      </w:r>
    </w:p>
    <w:p w14:paraId="0E0F99BF" w14:textId="30063A00" w:rsidR="00145881" w:rsidRDefault="001E2557" w:rsidP="002E177E">
      <w:pPr>
        <w:pStyle w:val="Paragraph"/>
        <w:numPr>
          <w:ilvl w:val="1"/>
          <w:numId w:val="5"/>
        </w:numPr>
        <w:ind w:left="720" w:hanging="720"/>
        <w:rPr>
          <w:rFonts w:ascii="Arial" w:hAnsi="Arial" w:cs="Arial"/>
          <w:sz w:val="22"/>
          <w:szCs w:val="22"/>
          <w:lang w:val="es-ES_tradnl"/>
        </w:rPr>
      </w:pPr>
      <w:r w:rsidRPr="001E2557">
        <w:rPr>
          <w:rFonts w:ascii="Arial" w:hAnsi="Arial" w:cs="Arial"/>
          <w:sz w:val="22"/>
          <w:szCs w:val="22"/>
          <w:lang w:val="es-ES_tradnl"/>
        </w:rPr>
        <w:t>La Dirección de Gestión de Fondeo y Desarrollo de BANDESAL será responsable de coordinar los arreglos necesarios para la ejecución del programa. Entre las actividades a su cargo se encuentran: (i) preparación, implementación y coordinación de los planes anuales operativos; (</w:t>
      </w:r>
      <w:proofErr w:type="spellStart"/>
      <w:r w:rsidRPr="001E2557">
        <w:rPr>
          <w:rFonts w:ascii="Arial" w:hAnsi="Arial" w:cs="Arial"/>
          <w:sz w:val="22"/>
          <w:szCs w:val="22"/>
          <w:lang w:val="es-ES_tradnl"/>
        </w:rPr>
        <w:t>ii</w:t>
      </w:r>
      <w:proofErr w:type="spellEnd"/>
      <w:r w:rsidRPr="001E2557">
        <w:rPr>
          <w:rFonts w:ascii="Arial" w:hAnsi="Arial" w:cs="Arial"/>
          <w:sz w:val="22"/>
          <w:szCs w:val="22"/>
          <w:lang w:val="es-ES_tradnl"/>
        </w:rPr>
        <w:t>) preparación de presupuestos, contabilidad del programa, administración financiera, reportes y solicitudes de desembolsos; (</w:t>
      </w:r>
      <w:proofErr w:type="spellStart"/>
      <w:r w:rsidRPr="001E2557">
        <w:rPr>
          <w:rFonts w:ascii="Arial" w:hAnsi="Arial" w:cs="Arial"/>
          <w:sz w:val="22"/>
          <w:szCs w:val="22"/>
          <w:lang w:val="es-ES_tradnl"/>
        </w:rPr>
        <w:t>iii</w:t>
      </w:r>
      <w:proofErr w:type="spellEnd"/>
      <w:r w:rsidRPr="001E2557">
        <w:rPr>
          <w:rFonts w:ascii="Arial" w:hAnsi="Arial" w:cs="Arial"/>
          <w:sz w:val="22"/>
          <w:szCs w:val="22"/>
          <w:lang w:val="es-ES_tradnl"/>
        </w:rPr>
        <w:t>) preparación de reportes técnicos, de ejecución y financieros; (</w:t>
      </w:r>
      <w:proofErr w:type="spellStart"/>
      <w:r w:rsidRPr="001E2557">
        <w:rPr>
          <w:rFonts w:ascii="Arial" w:hAnsi="Arial" w:cs="Arial"/>
          <w:sz w:val="22"/>
          <w:szCs w:val="22"/>
          <w:lang w:val="es-ES_tradnl"/>
        </w:rPr>
        <w:t>iv</w:t>
      </w:r>
      <w:proofErr w:type="spellEnd"/>
      <w:r w:rsidRPr="001E2557">
        <w:rPr>
          <w:rFonts w:ascii="Arial" w:hAnsi="Arial" w:cs="Arial"/>
          <w:sz w:val="22"/>
          <w:szCs w:val="22"/>
          <w:lang w:val="es-ES_tradnl"/>
        </w:rPr>
        <w:t>) monitoreo y evaluación del programa; (v) evaluación del programa al final del período de ejecución; (vi) contratación del auditor externo e implementación de sus recomendaciones; y (</w:t>
      </w:r>
      <w:proofErr w:type="spellStart"/>
      <w:r w:rsidRPr="001E2557">
        <w:rPr>
          <w:rFonts w:ascii="Arial" w:hAnsi="Arial" w:cs="Arial"/>
          <w:sz w:val="22"/>
          <w:szCs w:val="22"/>
          <w:lang w:val="es-ES_tradnl"/>
        </w:rPr>
        <w:t>vii</w:t>
      </w:r>
      <w:proofErr w:type="spellEnd"/>
      <w:r w:rsidRPr="001E2557">
        <w:rPr>
          <w:rFonts w:ascii="Arial" w:hAnsi="Arial" w:cs="Arial"/>
          <w:sz w:val="22"/>
          <w:szCs w:val="22"/>
          <w:lang w:val="es-ES_tradnl"/>
        </w:rPr>
        <w:t xml:space="preserve">) punto de contacto del programa con el BID. Por tratarse de una CCLIP MM-II con organismo de enlace designado, </w:t>
      </w:r>
      <w:bookmarkStart w:id="24" w:name="_Hlk38385145"/>
      <w:r w:rsidRPr="001E2557">
        <w:rPr>
          <w:rFonts w:ascii="Arial" w:hAnsi="Arial" w:cs="Arial"/>
          <w:sz w:val="22"/>
          <w:szCs w:val="22"/>
          <w:lang w:val="es-ES_tradnl"/>
        </w:rPr>
        <w:t xml:space="preserve">BANDESAL enviará al Ministerio de Hacienda los informes semestrales de progreso, así como la evaluación final y el PCR, siguiendo los arreglos descritos en la sección “B. Resumen de los arreglos para el monitoreo de resultados” del documento principal. La información provista por BANDESAL servirá de insumo al Ministerio para hacer el seguimiento general al programa. El Ministerio podrá acordar con BANDESAL otro tipo de arreglos adicionales para verificar que el programa se ejecuta conforme a lo previsto a fin de alcanzar los objetivos multisectoriales de la </w:t>
      </w:r>
      <w:r w:rsidRPr="001E2557">
        <w:rPr>
          <w:rFonts w:ascii="Arial" w:hAnsi="Arial" w:cs="Arial"/>
          <w:sz w:val="22"/>
          <w:szCs w:val="22"/>
          <w:lang w:val="es-ES_tradnl"/>
        </w:rPr>
        <w:lastRenderedPageBreak/>
        <w:t>CCLIP.</w:t>
      </w:r>
      <w:bookmarkEnd w:id="24"/>
      <w:r>
        <w:rPr>
          <w:rFonts w:ascii="Arial" w:hAnsi="Arial" w:cs="Arial"/>
          <w:sz w:val="22"/>
          <w:szCs w:val="22"/>
          <w:lang w:val="es-ES_tradnl"/>
        </w:rPr>
        <w:t xml:space="preserve"> L</w:t>
      </w:r>
      <w:r w:rsidR="00145881" w:rsidRPr="001E2557">
        <w:rPr>
          <w:rFonts w:ascii="Arial" w:hAnsi="Arial" w:cs="Arial"/>
          <w:sz w:val="22"/>
          <w:szCs w:val="22"/>
          <w:lang w:val="es-ES_tradnl"/>
        </w:rPr>
        <w:t>os costos de Monitoreo serán cubiertos por el OE</w:t>
      </w:r>
      <w:r>
        <w:rPr>
          <w:rFonts w:ascii="Arial" w:hAnsi="Arial" w:cs="Arial"/>
          <w:sz w:val="22"/>
          <w:szCs w:val="22"/>
          <w:lang w:val="es-ES_tradnl"/>
        </w:rPr>
        <w:t>, siendo imputables los elegibles contra recursos de las CT antes mencionadas.</w:t>
      </w:r>
    </w:p>
    <w:p w14:paraId="79EBEE89" w14:textId="6B2AE41F" w:rsidR="0036714C" w:rsidRDefault="0036714C" w:rsidP="0036714C">
      <w:pPr>
        <w:pStyle w:val="Paragraph"/>
        <w:numPr>
          <w:ilvl w:val="0"/>
          <w:numId w:val="0"/>
        </w:numPr>
        <w:ind w:left="1476" w:hanging="1296"/>
        <w:rPr>
          <w:rFonts w:ascii="Arial" w:hAnsi="Arial" w:cs="Arial"/>
          <w:sz w:val="22"/>
          <w:szCs w:val="22"/>
          <w:lang w:val="es-ES_tradnl"/>
        </w:rPr>
      </w:pPr>
    </w:p>
    <w:p w14:paraId="677E57E5" w14:textId="74FED5EA" w:rsidR="0036714C" w:rsidRDefault="0036714C" w:rsidP="0036714C">
      <w:pPr>
        <w:pStyle w:val="Paragraph"/>
        <w:numPr>
          <w:ilvl w:val="0"/>
          <w:numId w:val="0"/>
        </w:numPr>
        <w:ind w:left="1476" w:hanging="1296"/>
        <w:rPr>
          <w:rFonts w:ascii="Arial" w:hAnsi="Arial" w:cs="Arial"/>
          <w:sz w:val="22"/>
          <w:szCs w:val="22"/>
          <w:lang w:val="es-ES_tradnl"/>
        </w:rPr>
      </w:pPr>
    </w:p>
    <w:p w14:paraId="6F615729" w14:textId="0459A221" w:rsidR="0036714C" w:rsidRDefault="0036714C" w:rsidP="0036714C">
      <w:pPr>
        <w:pStyle w:val="Paragraph"/>
        <w:numPr>
          <w:ilvl w:val="0"/>
          <w:numId w:val="0"/>
        </w:numPr>
        <w:ind w:left="1476" w:hanging="1296"/>
        <w:rPr>
          <w:rFonts w:ascii="Arial" w:hAnsi="Arial" w:cs="Arial"/>
          <w:sz w:val="22"/>
          <w:szCs w:val="22"/>
          <w:lang w:val="es-ES_tradnl"/>
        </w:rPr>
      </w:pPr>
    </w:p>
    <w:p w14:paraId="516F7B8C" w14:textId="77777777" w:rsidR="00BC5912" w:rsidRPr="00C54C81" w:rsidRDefault="00BC5912" w:rsidP="00C54C81">
      <w:pPr>
        <w:spacing w:before="120" w:after="120" w:line="240" w:lineRule="auto"/>
        <w:jc w:val="center"/>
        <w:rPr>
          <w:rFonts w:ascii="Arial" w:hAnsi="Arial"/>
          <w:b/>
          <w:sz w:val="18"/>
          <w:lang w:val="es-ES_tradnl"/>
        </w:rPr>
      </w:pPr>
    </w:p>
    <w:p w14:paraId="0789F787" w14:textId="4864787F" w:rsidR="00145881" w:rsidRPr="00FF47E7" w:rsidRDefault="00145881" w:rsidP="00145881">
      <w:pPr>
        <w:spacing w:before="120" w:after="120" w:line="240" w:lineRule="auto"/>
        <w:jc w:val="center"/>
        <w:rPr>
          <w:rFonts w:ascii="Arial" w:hAnsi="Arial" w:cs="Arial"/>
          <w:b/>
          <w:sz w:val="18"/>
          <w:szCs w:val="18"/>
          <w:lang w:val="es-ES_tradnl"/>
        </w:rPr>
      </w:pPr>
      <w:r w:rsidRPr="00FF47E7">
        <w:rPr>
          <w:rFonts w:ascii="Arial" w:hAnsi="Arial" w:cs="Arial"/>
          <w:b/>
          <w:sz w:val="18"/>
          <w:szCs w:val="18"/>
          <w:lang w:val="es-ES_tradnl"/>
        </w:rPr>
        <w:t>Cuadro 2.  Plan de Trabajo y Presupuesto de Monitoreo</w:t>
      </w:r>
    </w:p>
    <w:tbl>
      <w:tblPr>
        <w:tblW w:w="5000" w:type="pct"/>
        <w:jc w:val="center"/>
        <w:tblCellMar>
          <w:left w:w="70" w:type="dxa"/>
          <w:right w:w="70" w:type="dxa"/>
        </w:tblCellMar>
        <w:tblLook w:val="04A0" w:firstRow="1" w:lastRow="0" w:firstColumn="1" w:lastColumn="0" w:noHBand="0" w:noVBand="1"/>
      </w:tblPr>
      <w:tblGrid>
        <w:gridCol w:w="1310"/>
        <w:gridCol w:w="300"/>
        <w:gridCol w:w="303"/>
        <w:gridCol w:w="311"/>
        <w:gridCol w:w="303"/>
        <w:gridCol w:w="303"/>
        <w:gridCol w:w="304"/>
        <w:gridCol w:w="311"/>
        <w:gridCol w:w="304"/>
        <w:gridCol w:w="311"/>
        <w:gridCol w:w="313"/>
        <w:gridCol w:w="1883"/>
        <w:gridCol w:w="1382"/>
        <w:gridCol w:w="982"/>
      </w:tblGrid>
      <w:tr w:rsidR="00145881" w:rsidRPr="00FF47E7" w14:paraId="0C78EE78" w14:textId="77777777" w:rsidTr="002F348C">
        <w:trPr>
          <w:trHeight w:val="450"/>
          <w:jc w:val="center"/>
        </w:trPr>
        <w:tc>
          <w:tcPr>
            <w:tcW w:w="76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2E99FED" w14:textId="77777777" w:rsidR="00145881" w:rsidRPr="00FF47E7" w:rsidRDefault="00145881" w:rsidP="002F348C">
            <w:pPr>
              <w:spacing w:after="0" w:line="240" w:lineRule="auto"/>
              <w:rPr>
                <w:rFonts w:ascii="Arial" w:eastAsia="Times New Roman" w:hAnsi="Arial" w:cs="Arial"/>
                <w:b/>
                <w:bCs/>
                <w:color w:val="000000"/>
                <w:sz w:val="18"/>
                <w:szCs w:val="18"/>
                <w:lang w:val="es-ES_tradnl" w:eastAsia="es-ES"/>
              </w:rPr>
            </w:pPr>
            <w:r w:rsidRPr="00FF47E7">
              <w:rPr>
                <w:rFonts w:ascii="Arial" w:eastAsia="Times New Roman" w:hAnsi="Arial" w:cs="Arial"/>
                <w:b/>
                <w:bCs/>
                <w:color w:val="000000"/>
                <w:sz w:val="18"/>
                <w:szCs w:val="18"/>
                <w:lang w:val="es-ES_tradnl" w:eastAsia="es-ES"/>
              </w:rPr>
              <w:t xml:space="preserve">Actividades Claves de Monitoreo </w:t>
            </w:r>
          </w:p>
        </w:tc>
        <w:tc>
          <w:tcPr>
            <w:tcW w:w="351" w:type="pct"/>
            <w:gridSpan w:val="2"/>
            <w:tcBorders>
              <w:top w:val="single" w:sz="8" w:space="0" w:color="auto"/>
              <w:left w:val="nil"/>
              <w:bottom w:val="single" w:sz="8" w:space="0" w:color="auto"/>
              <w:right w:val="single" w:sz="8" w:space="0" w:color="000000"/>
            </w:tcBorders>
            <w:shd w:val="clear" w:color="auto" w:fill="auto"/>
            <w:vAlign w:val="center"/>
            <w:hideMark/>
          </w:tcPr>
          <w:p w14:paraId="67A9358A" w14:textId="77777777" w:rsidR="00145881" w:rsidRPr="00FF47E7" w:rsidRDefault="00145881" w:rsidP="002F348C">
            <w:pPr>
              <w:spacing w:after="0" w:line="240" w:lineRule="auto"/>
              <w:jc w:val="right"/>
              <w:rPr>
                <w:rFonts w:ascii="Arial" w:eastAsia="Times New Roman" w:hAnsi="Arial" w:cs="Arial"/>
                <w:b/>
                <w:bCs/>
                <w:color w:val="000000"/>
                <w:sz w:val="18"/>
                <w:szCs w:val="18"/>
                <w:lang w:val="es-ES_tradnl" w:eastAsia="es-ES"/>
              </w:rPr>
            </w:pPr>
            <w:r w:rsidRPr="00FF47E7">
              <w:rPr>
                <w:rFonts w:ascii="Arial" w:eastAsia="Times New Roman" w:hAnsi="Arial" w:cs="Arial"/>
                <w:b/>
                <w:bCs/>
                <w:color w:val="000000"/>
                <w:sz w:val="18"/>
                <w:szCs w:val="18"/>
                <w:lang w:val="es-ES_tradnl" w:eastAsia="es-ES"/>
              </w:rPr>
              <w:t>2020</w:t>
            </w:r>
          </w:p>
        </w:tc>
        <w:tc>
          <w:tcPr>
            <w:tcW w:w="354" w:type="pct"/>
            <w:gridSpan w:val="2"/>
            <w:tcBorders>
              <w:top w:val="single" w:sz="8" w:space="0" w:color="auto"/>
              <w:left w:val="nil"/>
              <w:bottom w:val="single" w:sz="8" w:space="0" w:color="auto"/>
              <w:right w:val="single" w:sz="8" w:space="0" w:color="000000"/>
            </w:tcBorders>
            <w:shd w:val="clear" w:color="auto" w:fill="auto"/>
            <w:vAlign w:val="center"/>
            <w:hideMark/>
          </w:tcPr>
          <w:p w14:paraId="6177E54B" w14:textId="77777777" w:rsidR="00145881" w:rsidRPr="00FF47E7" w:rsidRDefault="00145881" w:rsidP="002F348C">
            <w:pPr>
              <w:spacing w:after="0" w:line="240" w:lineRule="auto"/>
              <w:jc w:val="center"/>
              <w:rPr>
                <w:rFonts w:ascii="Arial" w:eastAsia="Times New Roman" w:hAnsi="Arial" w:cs="Arial"/>
                <w:b/>
                <w:bCs/>
                <w:color w:val="000000"/>
                <w:sz w:val="18"/>
                <w:szCs w:val="18"/>
                <w:lang w:val="es-ES_tradnl" w:eastAsia="es-ES"/>
              </w:rPr>
            </w:pPr>
            <w:r w:rsidRPr="00FF47E7">
              <w:rPr>
                <w:rFonts w:ascii="Arial" w:eastAsia="Times New Roman" w:hAnsi="Arial" w:cs="Arial"/>
                <w:b/>
                <w:bCs/>
                <w:color w:val="000000"/>
                <w:sz w:val="18"/>
                <w:szCs w:val="18"/>
                <w:lang w:val="es-ES_tradnl" w:eastAsia="es-ES"/>
              </w:rPr>
              <w:t>2021</w:t>
            </w:r>
          </w:p>
        </w:tc>
        <w:tc>
          <w:tcPr>
            <w:tcW w:w="354" w:type="pct"/>
            <w:gridSpan w:val="2"/>
            <w:tcBorders>
              <w:top w:val="single" w:sz="8" w:space="0" w:color="auto"/>
              <w:left w:val="nil"/>
              <w:bottom w:val="single" w:sz="8" w:space="0" w:color="auto"/>
              <w:right w:val="single" w:sz="8" w:space="0" w:color="000000"/>
            </w:tcBorders>
            <w:shd w:val="clear" w:color="auto" w:fill="auto"/>
            <w:vAlign w:val="center"/>
            <w:hideMark/>
          </w:tcPr>
          <w:p w14:paraId="4FA4593E" w14:textId="77777777" w:rsidR="00145881" w:rsidRPr="00FF47E7" w:rsidRDefault="00145881" w:rsidP="002F348C">
            <w:pPr>
              <w:spacing w:after="0" w:line="240" w:lineRule="auto"/>
              <w:jc w:val="center"/>
              <w:rPr>
                <w:rFonts w:ascii="Arial" w:eastAsia="Times New Roman" w:hAnsi="Arial" w:cs="Arial"/>
                <w:b/>
                <w:bCs/>
                <w:color w:val="000000"/>
                <w:sz w:val="18"/>
                <w:szCs w:val="18"/>
                <w:lang w:val="es-ES_tradnl" w:eastAsia="es-ES"/>
              </w:rPr>
            </w:pPr>
            <w:r w:rsidRPr="00FF47E7">
              <w:rPr>
                <w:rFonts w:ascii="Arial" w:eastAsia="Times New Roman" w:hAnsi="Arial" w:cs="Arial"/>
                <w:b/>
                <w:bCs/>
                <w:color w:val="000000"/>
                <w:sz w:val="18"/>
                <w:szCs w:val="18"/>
                <w:lang w:val="es-ES_tradnl" w:eastAsia="es-ES"/>
              </w:rPr>
              <w:t>2022</w:t>
            </w:r>
          </w:p>
        </w:tc>
        <w:tc>
          <w:tcPr>
            <w:tcW w:w="354" w:type="pct"/>
            <w:gridSpan w:val="2"/>
            <w:tcBorders>
              <w:top w:val="single" w:sz="8" w:space="0" w:color="auto"/>
              <w:left w:val="nil"/>
              <w:bottom w:val="single" w:sz="8" w:space="0" w:color="auto"/>
              <w:right w:val="single" w:sz="8" w:space="0" w:color="000000"/>
            </w:tcBorders>
            <w:shd w:val="clear" w:color="auto" w:fill="auto"/>
            <w:vAlign w:val="center"/>
            <w:hideMark/>
          </w:tcPr>
          <w:p w14:paraId="6F00880C" w14:textId="77777777" w:rsidR="00145881" w:rsidRPr="00FF47E7" w:rsidRDefault="00145881" w:rsidP="002F348C">
            <w:pPr>
              <w:spacing w:after="0" w:line="240" w:lineRule="auto"/>
              <w:jc w:val="center"/>
              <w:rPr>
                <w:rFonts w:ascii="Arial" w:eastAsia="Times New Roman" w:hAnsi="Arial" w:cs="Arial"/>
                <w:b/>
                <w:bCs/>
                <w:color w:val="000000"/>
                <w:sz w:val="18"/>
                <w:szCs w:val="18"/>
                <w:lang w:val="es-ES_tradnl" w:eastAsia="es-ES"/>
              </w:rPr>
            </w:pPr>
            <w:r w:rsidRPr="00FF47E7">
              <w:rPr>
                <w:rFonts w:ascii="Arial" w:eastAsia="Times New Roman" w:hAnsi="Arial" w:cs="Arial"/>
                <w:b/>
                <w:bCs/>
                <w:color w:val="000000"/>
                <w:sz w:val="18"/>
                <w:szCs w:val="18"/>
                <w:lang w:val="es-ES_tradnl" w:eastAsia="es-ES"/>
              </w:rPr>
              <w:t>2023</w:t>
            </w:r>
          </w:p>
        </w:tc>
        <w:tc>
          <w:tcPr>
            <w:tcW w:w="360" w:type="pct"/>
            <w:gridSpan w:val="2"/>
            <w:tcBorders>
              <w:top w:val="single" w:sz="8" w:space="0" w:color="auto"/>
              <w:left w:val="nil"/>
              <w:bottom w:val="single" w:sz="8" w:space="0" w:color="auto"/>
              <w:right w:val="single" w:sz="8" w:space="0" w:color="000000"/>
            </w:tcBorders>
            <w:shd w:val="clear" w:color="auto" w:fill="auto"/>
            <w:vAlign w:val="center"/>
            <w:hideMark/>
          </w:tcPr>
          <w:p w14:paraId="02701D1D" w14:textId="77777777" w:rsidR="00145881" w:rsidRPr="00FF47E7" w:rsidRDefault="00145881" w:rsidP="002F348C">
            <w:pPr>
              <w:spacing w:after="0" w:line="240" w:lineRule="auto"/>
              <w:jc w:val="center"/>
              <w:rPr>
                <w:rFonts w:ascii="Arial" w:eastAsia="Times New Roman" w:hAnsi="Arial" w:cs="Arial"/>
                <w:b/>
                <w:bCs/>
                <w:color w:val="000000"/>
                <w:sz w:val="18"/>
                <w:szCs w:val="18"/>
                <w:lang w:val="es-ES_tradnl" w:eastAsia="es-ES"/>
              </w:rPr>
            </w:pPr>
            <w:r w:rsidRPr="00FF47E7">
              <w:rPr>
                <w:rFonts w:ascii="Arial" w:eastAsia="Times New Roman" w:hAnsi="Arial" w:cs="Arial"/>
                <w:b/>
                <w:bCs/>
                <w:color w:val="000000"/>
                <w:sz w:val="18"/>
                <w:szCs w:val="18"/>
                <w:lang w:val="es-ES_tradnl" w:eastAsia="es-ES"/>
              </w:rPr>
              <w:t>2024</w:t>
            </w:r>
          </w:p>
        </w:tc>
        <w:tc>
          <w:tcPr>
            <w:tcW w:w="1093"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219929E" w14:textId="77777777" w:rsidR="00145881" w:rsidRPr="00FF47E7" w:rsidRDefault="00145881" w:rsidP="002F348C">
            <w:pPr>
              <w:spacing w:after="0" w:line="240" w:lineRule="auto"/>
              <w:jc w:val="center"/>
              <w:rPr>
                <w:rFonts w:ascii="Arial" w:eastAsia="Times New Roman" w:hAnsi="Arial" w:cs="Arial"/>
                <w:b/>
                <w:bCs/>
                <w:color w:val="000000"/>
                <w:sz w:val="18"/>
                <w:szCs w:val="18"/>
                <w:lang w:val="es-ES_tradnl" w:eastAsia="es-ES"/>
              </w:rPr>
            </w:pPr>
            <w:r w:rsidRPr="00FF47E7">
              <w:rPr>
                <w:rFonts w:ascii="Arial" w:eastAsia="Times New Roman" w:hAnsi="Arial" w:cs="Arial"/>
                <w:b/>
                <w:bCs/>
                <w:color w:val="000000"/>
                <w:sz w:val="18"/>
                <w:szCs w:val="18"/>
                <w:lang w:val="es-ES_tradnl" w:eastAsia="es-ES"/>
              </w:rPr>
              <w:t>Costo</w:t>
            </w:r>
          </w:p>
        </w:tc>
        <w:tc>
          <w:tcPr>
            <w:tcW w:w="802"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A1A69E7" w14:textId="77777777" w:rsidR="00145881" w:rsidRPr="00FF47E7" w:rsidRDefault="00145881" w:rsidP="002F348C">
            <w:pPr>
              <w:spacing w:after="0" w:line="240" w:lineRule="auto"/>
              <w:jc w:val="center"/>
              <w:rPr>
                <w:rFonts w:ascii="Arial" w:eastAsia="Times New Roman" w:hAnsi="Arial" w:cs="Arial"/>
                <w:b/>
                <w:bCs/>
                <w:color w:val="000000"/>
                <w:sz w:val="18"/>
                <w:szCs w:val="18"/>
                <w:lang w:val="es-ES_tradnl" w:eastAsia="es-ES"/>
              </w:rPr>
            </w:pPr>
            <w:r w:rsidRPr="00FF47E7">
              <w:rPr>
                <w:rFonts w:ascii="Arial" w:eastAsia="Times New Roman" w:hAnsi="Arial" w:cs="Arial"/>
                <w:b/>
                <w:bCs/>
                <w:color w:val="000000"/>
                <w:sz w:val="18"/>
                <w:szCs w:val="18"/>
                <w:lang w:val="es-ES_tradnl" w:eastAsia="es-ES"/>
              </w:rPr>
              <w:t>Responsable</w:t>
            </w:r>
          </w:p>
        </w:tc>
        <w:tc>
          <w:tcPr>
            <w:tcW w:w="570"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25D9DBA" w14:textId="77777777" w:rsidR="00145881" w:rsidRPr="00FF47E7" w:rsidRDefault="00145881" w:rsidP="002F348C">
            <w:pPr>
              <w:spacing w:after="0" w:line="240" w:lineRule="auto"/>
              <w:jc w:val="center"/>
              <w:rPr>
                <w:rFonts w:ascii="Arial" w:eastAsia="Times New Roman" w:hAnsi="Arial" w:cs="Arial"/>
                <w:b/>
                <w:bCs/>
                <w:color w:val="000000"/>
                <w:sz w:val="18"/>
                <w:szCs w:val="18"/>
                <w:lang w:val="es-ES_tradnl" w:eastAsia="es-ES"/>
              </w:rPr>
            </w:pPr>
            <w:r w:rsidRPr="00FF47E7">
              <w:rPr>
                <w:rFonts w:ascii="Arial" w:eastAsia="Times New Roman" w:hAnsi="Arial" w:cs="Arial"/>
                <w:b/>
                <w:bCs/>
                <w:color w:val="000000"/>
                <w:sz w:val="18"/>
                <w:szCs w:val="18"/>
                <w:lang w:val="es-ES_tradnl" w:eastAsia="es-ES"/>
              </w:rPr>
              <w:t>Fuente de fondeo</w:t>
            </w:r>
          </w:p>
        </w:tc>
      </w:tr>
      <w:tr w:rsidR="00145881" w:rsidRPr="00FF47E7" w14:paraId="7903EBC0" w14:textId="77777777" w:rsidTr="002F348C">
        <w:trPr>
          <w:trHeight w:val="315"/>
          <w:jc w:val="center"/>
        </w:trPr>
        <w:tc>
          <w:tcPr>
            <w:tcW w:w="761" w:type="pct"/>
            <w:vMerge/>
            <w:tcBorders>
              <w:top w:val="single" w:sz="8" w:space="0" w:color="auto"/>
              <w:left w:val="single" w:sz="8" w:space="0" w:color="auto"/>
              <w:bottom w:val="single" w:sz="8" w:space="0" w:color="000000"/>
              <w:right w:val="single" w:sz="8" w:space="0" w:color="auto"/>
            </w:tcBorders>
            <w:vAlign w:val="center"/>
            <w:hideMark/>
          </w:tcPr>
          <w:p w14:paraId="16613BDA" w14:textId="77777777" w:rsidR="00145881" w:rsidRPr="00FF47E7" w:rsidRDefault="00145881" w:rsidP="002F348C">
            <w:pPr>
              <w:spacing w:after="0" w:line="240" w:lineRule="auto"/>
              <w:rPr>
                <w:rFonts w:ascii="Arial" w:eastAsia="Times New Roman" w:hAnsi="Arial" w:cs="Arial"/>
                <w:b/>
                <w:bCs/>
                <w:color w:val="000000"/>
                <w:sz w:val="18"/>
                <w:szCs w:val="18"/>
                <w:lang w:val="es-ES_tradnl" w:eastAsia="es-ES"/>
              </w:rPr>
            </w:pPr>
          </w:p>
        </w:tc>
        <w:tc>
          <w:tcPr>
            <w:tcW w:w="175" w:type="pct"/>
            <w:tcBorders>
              <w:top w:val="nil"/>
              <w:left w:val="nil"/>
              <w:bottom w:val="single" w:sz="8" w:space="0" w:color="auto"/>
              <w:right w:val="single" w:sz="8" w:space="0" w:color="auto"/>
            </w:tcBorders>
            <w:shd w:val="clear" w:color="auto" w:fill="auto"/>
            <w:vAlign w:val="center"/>
            <w:hideMark/>
          </w:tcPr>
          <w:p w14:paraId="2B41CDE6" w14:textId="77777777" w:rsidR="00145881" w:rsidRPr="00FF47E7" w:rsidRDefault="00145881" w:rsidP="002F348C">
            <w:pPr>
              <w:spacing w:after="0" w:line="240" w:lineRule="auto"/>
              <w:jc w:val="center"/>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1</w:t>
            </w:r>
          </w:p>
        </w:tc>
        <w:tc>
          <w:tcPr>
            <w:tcW w:w="177" w:type="pct"/>
            <w:tcBorders>
              <w:top w:val="nil"/>
              <w:left w:val="nil"/>
              <w:bottom w:val="single" w:sz="8" w:space="0" w:color="auto"/>
              <w:right w:val="single" w:sz="8" w:space="0" w:color="auto"/>
            </w:tcBorders>
            <w:shd w:val="clear" w:color="auto" w:fill="auto"/>
            <w:vAlign w:val="center"/>
            <w:hideMark/>
          </w:tcPr>
          <w:p w14:paraId="1684B0C5" w14:textId="77777777" w:rsidR="00145881" w:rsidRPr="00FF47E7" w:rsidRDefault="00145881" w:rsidP="002F348C">
            <w:pPr>
              <w:spacing w:after="0" w:line="240" w:lineRule="auto"/>
              <w:jc w:val="center"/>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2</w:t>
            </w:r>
          </w:p>
        </w:tc>
        <w:tc>
          <w:tcPr>
            <w:tcW w:w="177" w:type="pct"/>
            <w:tcBorders>
              <w:top w:val="nil"/>
              <w:left w:val="nil"/>
              <w:bottom w:val="single" w:sz="8" w:space="0" w:color="auto"/>
              <w:right w:val="single" w:sz="8" w:space="0" w:color="auto"/>
            </w:tcBorders>
            <w:shd w:val="clear" w:color="auto" w:fill="auto"/>
            <w:vAlign w:val="center"/>
            <w:hideMark/>
          </w:tcPr>
          <w:p w14:paraId="7B7E4297" w14:textId="77777777" w:rsidR="00145881" w:rsidRPr="00FF47E7" w:rsidRDefault="00145881" w:rsidP="002F348C">
            <w:pPr>
              <w:spacing w:after="0" w:line="240" w:lineRule="auto"/>
              <w:jc w:val="center"/>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1</w:t>
            </w:r>
          </w:p>
        </w:tc>
        <w:tc>
          <w:tcPr>
            <w:tcW w:w="177" w:type="pct"/>
            <w:tcBorders>
              <w:top w:val="nil"/>
              <w:left w:val="nil"/>
              <w:bottom w:val="single" w:sz="8" w:space="0" w:color="auto"/>
              <w:right w:val="single" w:sz="8" w:space="0" w:color="auto"/>
            </w:tcBorders>
            <w:shd w:val="clear" w:color="auto" w:fill="auto"/>
            <w:vAlign w:val="center"/>
            <w:hideMark/>
          </w:tcPr>
          <w:p w14:paraId="35CD9092" w14:textId="77777777" w:rsidR="00145881" w:rsidRPr="00FF47E7" w:rsidRDefault="00145881" w:rsidP="002F348C">
            <w:pPr>
              <w:spacing w:after="0" w:line="240" w:lineRule="auto"/>
              <w:jc w:val="center"/>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2</w:t>
            </w:r>
          </w:p>
        </w:tc>
        <w:tc>
          <w:tcPr>
            <w:tcW w:w="177" w:type="pct"/>
            <w:tcBorders>
              <w:top w:val="nil"/>
              <w:left w:val="nil"/>
              <w:bottom w:val="single" w:sz="8" w:space="0" w:color="auto"/>
              <w:right w:val="single" w:sz="8" w:space="0" w:color="auto"/>
            </w:tcBorders>
            <w:shd w:val="clear" w:color="auto" w:fill="auto"/>
            <w:vAlign w:val="center"/>
            <w:hideMark/>
          </w:tcPr>
          <w:p w14:paraId="2A2FF24E" w14:textId="77777777" w:rsidR="00145881" w:rsidRPr="00FF47E7" w:rsidRDefault="00145881" w:rsidP="002F348C">
            <w:pPr>
              <w:spacing w:after="0" w:line="240" w:lineRule="auto"/>
              <w:jc w:val="center"/>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1</w:t>
            </w:r>
          </w:p>
        </w:tc>
        <w:tc>
          <w:tcPr>
            <w:tcW w:w="177" w:type="pct"/>
            <w:tcBorders>
              <w:top w:val="nil"/>
              <w:left w:val="nil"/>
              <w:bottom w:val="single" w:sz="8" w:space="0" w:color="auto"/>
              <w:right w:val="single" w:sz="8" w:space="0" w:color="auto"/>
            </w:tcBorders>
            <w:shd w:val="clear" w:color="auto" w:fill="auto"/>
            <w:vAlign w:val="center"/>
            <w:hideMark/>
          </w:tcPr>
          <w:p w14:paraId="0C6F55D5" w14:textId="77777777" w:rsidR="00145881" w:rsidRPr="00FF47E7" w:rsidRDefault="00145881" w:rsidP="002F348C">
            <w:pPr>
              <w:spacing w:after="0" w:line="240" w:lineRule="auto"/>
              <w:jc w:val="center"/>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2</w:t>
            </w:r>
          </w:p>
        </w:tc>
        <w:tc>
          <w:tcPr>
            <w:tcW w:w="177" w:type="pct"/>
            <w:tcBorders>
              <w:top w:val="nil"/>
              <w:left w:val="nil"/>
              <w:bottom w:val="single" w:sz="8" w:space="0" w:color="auto"/>
              <w:right w:val="single" w:sz="8" w:space="0" w:color="auto"/>
            </w:tcBorders>
            <w:shd w:val="clear" w:color="auto" w:fill="auto"/>
            <w:vAlign w:val="center"/>
            <w:hideMark/>
          </w:tcPr>
          <w:p w14:paraId="263C8866" w14:textId="77777777" w:rsidR="00145881" w:rsidRPr="00FF47E7" w:rsidRDefault="00145881" w:rsidP="002F348C">
            <w:pPr>
              <w:spacing w:after="0" w:line="240" w:lineRule="auto"/>
              <w:jc w:val="center"/>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1</w:t>
            </w:r>
          </w:p>
        </w:tc>
        <w:tc>
          <w:tcPr>
            <w:tcW w:w="177" w:type="pct"/>
            <w:tcBorders>
              <w:top w:val="nil"/>
              <w:left w:val="nil"/>
              <w:bottom w:val="single" w:sz="8" w:space="0" w:color="auto"/>
              <w:right w:val="single" w:sz="8" w:space="0" w:color="auto"/>
            </w:tcBorders>
            <w:shd w:val="clear" w:color="auto" w:fill="auto"/>
            <w:vAlign w:val="center"/>
            <w:hideMark/>
          </w:tcPr>
          <w:p w14:paraId="7B49777C" w14:textId="77777777" w:rsidR="00145881" w:rsidRPr="00FF47E7" w:rsidRDefault="00145881" w:rsidP="002F348C">
            <w:pPr>
              <w:spacing w:after="0" w:line="240" w:lineRule="auto"/>
              <w:jc w:val="center"/>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2</w:t>
            </w:r>
          </w:p>
        </w:tc>
        <w:tc>
          <w:tcPr>
            <w:tcW w:w="178" w:type="pct"/>
            <w:tcBorders>
              <w:top w:val="nil"/>
              <w:left w:val="nil"/>
              <w:bottom w:val="single" w:sz="8" w:space="0" w:color="auto"/>
              <w:right w:val="single" w:sz="8" w:space="0" w:color="auto"/>
            </w:tcBorders>
            <w:shd w:val="clear" w:color="auto" w:fill="auto"/>
            <w:vAlign w:val="center"/>
            <w:hideMark/>
          </w:tcPr>
          <w:p w14:paraId="4C79C65C" w14:textId="77777777" w:rsidR="00145881" w:rsidRPr="00FF47E7" w:rsidRDefault="00145881" w:rsidP="002F348C">
            <w:pPr>
              <w:spacing w:after="0" w:line="240" w:lineRule="auto"/>
              <w:jc w:val="center"/>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1</w:t>
            </w:r>
          </w:p>
        </w:tc>
        <w:tc>
          <w:tcPr>
            <w:tcW w:w="182" w:type="pct"/>
            <w:tcBorders>
              <w:top w:val="nil"/>
              <w:left w:val="nil"/>
              <w:bottom w:val="single" w:sz="8" w:space="0" w:color="auto"/>
              <w:right w:val="single" w:sz="8" w:space="0" w:color="auto"/>
            </w:tcBorders>
            <w:shd w:val="clear" w:color="auto" w:fill="auto"/>
            <w:vAlign w:val="center"/>
            <w:hideMark/>
          </w:tcPr>
          <w:p w14:paraId="76BB8A11" w14:textId="77777777" w:rsidR="00145881" w:rsidRPr="00FF47E7" w:rsidRDefault="00145881" w:rsidP="002F348C">
            <w:pPr>
              <w:spacing w:after="0" w:line="240" w:lineRule="auto"/>
              <w:jc w:val="center"/>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2</w:t>
            </w:r>
          </w:p>
        </w:tc>
        <w:tc>
          <w:tcPr>
            <w:tcW w:w="1093" w:type="pct"/>
            <w:vMerge/>
            <w:tcBorders>
              <w:top w:val="nil"/>
              <w:left w:val="nil"/>
              <w:bottom w:val="single" w:sz="8" w:space="0" w:color="auto"/>
              <w:right w:val="single" w:sz="8" w:space="0" w:color="auto"/>
            </w:tcBorders>
            <w:vAlign w:val="center"/>
            <w:hideMark/>
          </w:tcPr>
          <w:p w14:paraId="13AC956E" w14:textId="77777777" w:rsidR="00145881" w:rsidRPr="00FF47E7" w:rsidRDefault="00145881" w:rsidP="002F348C">
            <w:pPr>
              <w:spacing w:after="0" w:line="240" w:lineRule="auto"/>
              <w:rPr>
                <w:rFonts w:ascii="Arial" w:eastAsia="Times New Roman" w:hAnsi="Arial" w:cs="Arial"/>
                <w:b/>
                <w:bCs/>
                <w:color w:val="000000"/>
                <w:sz w:val="18"/>
                <w:szCs w:val="18"/>
                <w:lang w:val="es-ES_tradnl" w:eastAsia="es-ES"/>
              </w:rPr>
            </w:pPr>
          </w:p>
        </w:tc>
        <w:tc>
          <w:tcPr>
            <w:tcW w:w="802" w:type="pct"/>
            <w:vMerge/>
            <w:tcBorders>
              <w:top w:val="nil"/>
              <w:left w:val="nil"/>
              <w:bottom w:val="single" w:sz="8" w:space="0" w:color="auto"/>
              <w:right w:val="single" w:sz="8" w:space="0" w:color="auto"/>
            </w:tcBorders>
            <w:vAlign w:val="center"/>
            <w:hideMark/>
          </w:tcPr>
          <w:p w14:paraId="5EED5C20" w14:textId="77777777" w:rsidR="00145881" w:rsidRPr="00FF47E7" w:rsidRDefault="00145881" w:rsidP="002F348C">
            <w:pPr>
              <w:spacing w:after="0" w:line="240" w:lineRule="auto"/>
              <w:rPr>
                <w:rFonts w:ascii="Arial" w:eastAsia="Times New Roman" w:hAnsi="Arial" w:cs="Arial"/>
                <w:b/>
                <w:bCs/>
                <w:color w:val="000000"/>
                <w:sz w:val="18"/>
                <w:szCs w:val="18"/>
                <w:lang w:val="es-ES_tradnl" w:eastAsia="es-ES"/>
              </w:rPr>
            </w:pPr>
          </w:p>
        </w:tc>
        <w:tc>
          <w:tcPr>
            <w:tcW w:w="570" w:type="pct"/>
            <w:vMerge/>
            <w:tcBorders>
              <w:top w:val="nil"/>
              <w:left w:val="nil"/>
              <w:bottom w:val="single" w:sz="8" w:space="0" w:color="auto"/>
              <w:right w:val="single" w:sz="8" w:space="0" w:color="auto"/>
            </w:tcBorders>
            <w:vAlign w:val="center"/>
            <w:hideMark/>
          </w:tcPr>
          <w:p w14:paraId="52F4162F" w14:textId="77777777" w:rsidR="00145881" w:rsidRPr="00FF47E7" w:rsidRDefault="00145881" w:rsidP="002F348C">
            <w:pPr>
              <w:spacing w:after="0" w:line="240" w:lineRule="auto"/>
              <w:rPr>
                <w:rFonts w:ascii="Arial" w:eastAsia="Times New Roman" w:hAnsi="Arial" w:cs="Arial"/>
                <w:b/>
                <w:bCs/>
                <w:color w:val="000000"/>
                <w:sz w:val="18"/>
                <w:szCs w:val="18"/>
                <w:lang w:val="es-ES_tradnl" w:eastAsia="es-ES"/>
              </w:rPr>
            </w:pPr>
          </w:p>
        </w:tc>
      </w:tr>
      <w:tr w:rsidR="00512598" w:rsidRPr="00FF47E7" w14:paraId="6F45A99F" w14:textId="77777777" w:rsidTr="002F348C">
        <w:trPr>
          <w:trHeight w:hRule="exact" w:val="780"/>
          <w:jc w:val="center"/>
        </w:trPr>
        <w:tc>
          <w:tcPr>
            <w:tcW w:w="761" w:type="pct"/>
            <w:tcBorders>
              <w:top w:val="nil"/>
              <w:left w:val="single" w:sz="8" w:space="0" w:color="auto"/>
              <w:bottom w:val="single" w:sz="8" w:space="0" w:color="auto"/>
              <w:right w:val="single" w:sz="8" w:space="0" w:color="auto"/>
            </w:tcBorders>
            <w:shd w:val="clear" w:color="auto" w:fill="auto"/>
            <w:vAlign w:val="center"/>
            <w:hideMark/>
          </w:tcPr>
          <w:p w14:paraId="26782D6C"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Reportes de Monitoreo Semestrales</w:t>
            </w:r>
          </w:p>
        </w:tc>
        <w:tc>
          <w:tcPr>
            <w:tcW w:w="175" w:type="pct"/>
            <w:tcBorders>
              <w:top w:val="nil"/>
              <w:left w:val="nil"/>
              <w:bottom w:val="single" w:sz="8" w:space="0" w:color="auto"/>
              <w:right w:val="single" w:sz="8" w:space="0" w:color="auto"/>
            </w:tcBorders>
            <w:shd w:val="clear" w:color="auto" w:fill="auto"/>
            <w:vAlign w:val="center"/>
            <w:hideMark/>
          </w:tcPr>
          <w:p w14:paraId="6B7347B2"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 </w:t>
            </w:r>
          </w:p>
        </w:tc>
        <w:tc>
          <w:tcPr>
            <w:tcW w:w="177" w:type="pct"/>
            <w:tcBorders>
              <w:top w:val="nil"/>
              <w:left w:val="nil"/>
              <w:bottom w:val="single" w:sz="8" w:space="0" w:color="auto"/>
              <w:right w:val="single" w:sz="8" w:space="0" w:color="auto"/>
            </w:tcBorders>
            <w:shd w:val="clear" w:color="auto" w:fill="auto"/>
            <w:vAlign w:val="center"/>
            <w:hideMark/>
          </w:tcPr>
          <w:p w14:paraId="40927219"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X</w:t>
            </w:r>
          </w:p>
        </w:tc>
        <w:tc>
          <w:tcPr>
            <w:tcW w:w="177" w:type="pct"/>
            <w:tcBorders>
              <w:top w:val="nil"/>
              <w:left w:val="nil"/>
              <w:bottom w:val="single" w:sz="8" w:space="0" w:color="auto"/>
              <w:right w:val="single" w:sz="8" w:space="0" w:color="auto"/>
            </w:tcBorders>
            <w:shd w:val="clear" w:color="auto" w:fill="auto"/>
            <w:vAlign w:val="center"/>
            <w:hideMark/>
          </w:tcPr>
          <w:p w14:paraId="4D2FFB6E"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X</w:t>
            </w:r>
          </w:p>
        </w:tc>
        <w:tc>
          <w:tcPr>
            <w:tcW w:w="177" w:type="pct"/>
            <w:tcBorders>
              <w:top w:val="nil"/>
              <w:left w:val="nil"/>
              <w:bottom w:val="single" w:sz="8" w:space="0" w:color="auto"/>
              <w:right w:val="single" w:sz="8" w:space="0" w:color="auto"/>
            </w:tcBorders>
            <w:shd w:val="clear" w:color="auto" w:fill="auto"/>
            <w:vAlign w:val="center"/>
            <w:hideMark/>
          </w:tcPr>
          <w:p w14:paraId="44CD7657"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X</w:t>
            </w:r>
          </w:p>
        </w:tc>
        <w:tc>
          <w:tcPr>
            <w:tcW w:w="177" w:type="pct"/>
            <w:tcBorders>
              <w:top w:val="nil"/>
              <w:left w:val="nil"/>
              <w:bottom w:val="single" w:sz="8" w:space="0" w:color="auto"/>
              <w:right w:val="single" w:sz="8" w:space="0" w:color="auto"/>
            </w:tcBorders>
            <w:shd w:val="clear" w:color="auto" w:fill="auto"/>
            <w:vAlign w:val="center"/>
            <w:hideMark/>
          </w:tcPr>
          <w:p w14:paraId="1941B71B"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X</w:t>
            </w:r>
          </w:p>
        </w:tc>
        <w:tc>
          <w:tcPr>
            <w:tcW w:w="177" w:type="pct"/>
            <w:tcBorders>
              <w:top w:val="nil"/>
              <w:left w:val="nil"/>
              <w:bottom w:val="single" w:sz="8" w:space="0" w:color="auto"/>
              <w:right w:val="single" w:sz="8" w:space="0" w:color="auto"/>
            </w:tcBorders>
            <w:shd w:val="clear" w:color="auto" w:fill="auto"/>
            <w:vAlign w:val="center"/>
            <w:hideMark/>
          </w:tcPr>
          <w:p w14:paraId="091A55F0"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X</w:t>
            </w:r>
          </w:p>
        </w:tc>
        <w:tc>
          <w:tcPr>
            <w:tcW w:w="177" w:type="pct"/>
            <w:tcBorders>
              <w:top w:val="nil"/>
              <w:left w:val="nil"/>
              <w:bottom w:val="single" w:sz="8" w:space="0" w:color="auto"/>
              <w:right w:val="single" w:sz="8" w:space="0" w:color="auto"/>
            </w:tcBorders>
            <w:shd w:val="clear" w:color="auto" w:fill="auto"/>
            <w:vAlign w:val="center"/>
            <w:hideMark/>
          </w:tcPr>
          <w:p w14:paraId="525F8478"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X</w:t>
            </w:r>
          </w:p>
        </w:tc>
        <w:tc>
          <w:tcPr>
            <w:tcW w:w="177" w:type="pct"/>
            <w:tcBorders>
              <w:top w:val="nil"/>
              <w:left w:val="nil"/>
              <w:bottom w:val="single" w:sz="8" w:space="0" w:color="auto"/>
              <w:right w:val="single" w:sz="8" w:space="0" w:color="auto"/>
            </w:tcBorders>
            <w:shd w:val="clear" w:color="auto" w:fill="auto"/>
            <w:vAlign w:val="center"/>
            <w:hideMark/>
          </w:tcPr>
          <w:p w14:paraId="3569D6D9"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X</w:t>
            </w:r>
          </w:p>
        </w:tc>
        <w:tc>
          <w:tcPr>
            <w:tcW w:w="178" w:type="pct"/>
            <w:tcBorders>
              <w:top w:val="nil"/>
              <w:left w:val="nil"/>
              <w:bottom w:val="single" w:sz="8" w:space="0" w:color="auto"/>
              <w:right w:val="single" w:sz="8" w:space="0" w:color="auto"/>
            </w:tcBorders>
            <w:shd w:val="clear" w:color="auto" w:fill="auto"/>
            <w:vAlign w:val="center"/>
            <w:hideMark/>
          </w:tcPr>
          <w:p w14:paraId="386401D9"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X</w:t>
            </w:r>
          </w:p>
        </w:tc>
        <w:tc>
          <w:tcPr>
            <w:tcW w:w="182" w:type="pct"/>
            <w:tcBorders>
              <w:top w:val="nil"/>
              <w:left w:val="nil"/>
              <w:bottom w:val="single" w:sz="8" w:space="0" w:color="auto"/>
              <w:right w:val="single" w:sz="8" w:space="0" w:color="auto"/>
            </w:tcBorders>
            <w:shd w:val="clear" w:color="auto" w:fill="auto"/>
            <w:vAlign w:val="center"/>
            <w:hideMark/>
          </w:tcPr>
          <w:p w14:paraId="6FA7B274"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X</w:t>
            </w:r>
          </w:p>
        </w:tc>
        <w:tc>
          <w:tcPr>
            <w:tcW w:w="1093" w:type="pct"/>
            <w:tcBorders>
              <w:top w:val="single" w:sz="8" w:space="0" w:color="auto"/>
              <w:left w:val="nil"/>
              <w:bottom w:val="single" w:sz="8" w:space="0" w:color="auto"/>
              <w:right w:val="single" w:sz="8" w:space="0" w:color="000000"/>
            </w:tcBorders>
            <w:shd w:val="clear" w:color="auto" w:fill="auto"/>
            <w:vAlign w:val="center"/>
            <w:hideMark/>
          </w:tcPr>
          <w:p w14:paraId="0F75F711" w14:textId="5373611A"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US$2.700</w:t>
            </w:r>
          </w:p>
        </w:tc>
        <w:tc>
          <w:tcPr>
            <w:tcW w:w="802" w:type="pct"/>
            <w:tcBorders>
              <w:top w:val="single" w:sz="8" w:space="0" w:color="auto"/>
              <w:left w:val="nil"/>
              <w:bottom w:val="single" w:sz="8" w:space="0" w:color="auto"/>
              <w:right w:val="single" w:sz="8" w:space="0" w:color="000000"/>
            </w:tcBorders>
            <w:shd w:val="clear" w:color="auto" w:fill="auto"/>
            <w:vAlign w:val="center"/>
            <w:hideMark/>
          </w:tcPr>
          <w:p w14:paraId="3B940272" w14:textId="77777777" w:rsidR="00512598" w:rsidRPr="00FF47E7" w:rsidRDefault="00512598" w:rsidP="00512598">
            <w:pPr>
              <w:spacing w:after="0" w:line="240" w:lineRule="auto"/>
              <w:jc w:val="center"/>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OE</w:t>
            </w:r>
          </w:p>
        </w:tc>
        <w:tc>
          <w:tcPr>
            <w:tcW w:w="570" w:type="pct"/>
            <w:tcBorders>
              <w:top w:val="single" w:sz="8" w:space="0" w:color="auto"/>
              <w:left w:val="nil"/>
              <w:bottom w:val="single" w:sz="8" w:space="0" w:color="auto"/>
              <w:right w:val="single" w:sz="8" w:space="0" w:color="000000"/>
            </w:tcBorders>
            <w:shd w:val="clear" w:color="auto" w:fill="auto"/>
            <w:vAlign w:val="center"/>
          </w:tcPr>
          <w:p w14:paraId="382E9CE4" w14:textId="2427273F" w:rsidR="00512598" w:rsidRPr="00FF47E7" w:rsidRDefault="00512598" w:rsidP="00512598">
            <w:pPr>
              <w:spacing w:after="0" w:line="240" w:lineRule="auto"/>
              <w:jc w:val="center"/>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OE/BID</w:t>
            </w:r>
          </w:p>
        </w:tc>
      </w:tr>
      <w:tr w:rsidR="00512598" w:rsidRPr="00FF47E7" w14:paraId="42E6B30E" w14:textId="77777777" w:rsidTr="002F348C">
        <w:trPr>
          <w:trHeight w:hRule="exact" w:val="692"/>
          <w:jc w:val="center"/>
        </w:trPr>
        <w:tc>
          <w:tcPr>
            <w:tcW w:w="761" w:type="pct"/>
            <w:tcBorders>
              <w:top w:val="nil"/>
              <w:left w:val="single" w:sz="8" w:space="0" w:color="auto"/>
              <w:bottom w:val="single" w:sz="8" w:space="0" w:color="auto"/>
              <w:right w:val="single" w:sz="8" w:space="0" w:color="auto"/>
            </w:tcBorders>
            <w:shd w:val="clear" w:color="auto" w:fill="auto"/>
            <w:vAlign w:val="center"/>
            <w:hideMark/>
          </w:tcPr>
          <w:p w14:paraId="5E892DF3"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Reporte Final</w:t>
            </w:r>
          </w:p>
        </w:tc>
        <w:tc>
          <w:tcPr>
            <w:tcW w:w="175" w:type="pct"/>
            <w:tcBorders>
              <w:top w:val="nil"/>
              <w:left w:val="nil"/>
              <w:bottom w:val="single" w:sz="8" w:space="0" w:color="auto"/>
              <w:right w:val="single" w:sz="8" w:space="0" w:color="auto"/>
            </w:tcBorders>
            <w:shd w:val="clear" w:color="auto" w:fill="auto"/>
            <w:vAlign w:val="center"/>
            <w:hideMark/>
          </w:tcPr>
          <w:p w14:paraId="4FB4A06A"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 </w:t>
            </w:r>
          </w:p>
        </w:tc>
        <w:tc>
          <w:tcPr>
            <w:tcW w:w="177" w:type="pct"/>
            <w:tcBorders>
              <w:top w:val="nil"/>
              <w:left w:val="nil"/>
              <w:bottom w:val="single" w:sz="8" w:space="0" w:color="auto"/>
              <w:right w:val="single" w:sz="8" w:space="0" w:color="auto"/>
            </w:tcBorders>
            <w:shd w:val="clear" w:color="auto" w:fill="auto"/>
            <w:vAlign w:val="center"/>
            <w:hideMark/>
          </w:tcPr>
          <w:p w14:paraId="5F7AD3E1"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 </w:t>
            </w:r>
          </w:p>
        </w:tc>
        <w:tc>
          <w:tcPr>
            <w:tcW w:w="177" w:type="pct"/>
            <w:tcBorders>
              <w:top w:val="nil"/>
              <w:left w:val="nil"/>
              <w:bottom w:val="single" w:sz="8" w:space="0" w:color="auto"/>
              <w:right w:val="single" w:sz="8" w:space="0" w:color="auto"/>
            </w:tcBorders>
            <w:shd w:val="clear" w:color="auto" w:fill="auto"/>
            <w:vAlign w:val="center"/>
            <w:hideMark/>
          </w:tcPr>
          <w:p w14:paraId="061F429F"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 </w:t>
            </w:r>
          </w:p>
        </w:tc>
        <w:tc>
          <w:tcPr>
            <w:tcW w:w="177" w:type="pct"/>
            <w:tcBorders>
              <w:top w:val="nil"/>
              <w:left w:val="nil"/>
              <w:bottom w:val="single" w:sz="8" w:space="0" w:color="auto"/>
              <w:right w:val="single" w:sz="8" w:space="0" w:color="auto"/>
            </w:tcBorders>
            <w:shd w:val="clear" w:color="auto" w:fill="auto"/>
            <w:vAlign w:val="center"/>
            <w:hideMark/>
          </w:tcPr>
          <w:p w14:paraId="784B861B"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 </w:t>
            </w:r>
          </w:p>
        </w:tc>
        <w:tc>
          <w:tcPr>
            <w:tcW w:w="177" w:type="pct"/>
            <w:tcBorders>
              <w:top w:val="nil"/>
              <w:left w:val="nil"/>
              <w:bottom w:val="single" w:sz="8" w:space="0" w:color="auto"/>
              <w:right w:val="single" w:sz="8" w:space="0" w:color="auto"/>
            </w:tcBorders>
            <w:shd w:val="clear" w:color="auto" w:fill="auto"/>
            <w:vAlign w:val="center"/>
            <w:hideMark/>
          </w:tcPr>
          <w:p w14:paraId="0464AA6E"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 </w:t>
            </w:r>
          </w:p>
        </w:tc>
        <w:tc>
          <w:tcPr>
            <w:tcW w:w="177" w:type="pct"/>
            <w:tcBorders>
              <w:top w:val="nil"/>
              <w:left w:val="nil"/>
              <w:bottom w:val="single" w:sz="8" w:space="0" w:color="auto"/>
              <w:right w:val="single" w:sz="8" w:space="0" w:color="auto"/>
            </w:tcBorders>
            <w:shd w:val="clear" w:color="auto" w:fill="auto"/>
            <w:vAlign w:val="center"/>
            <w:hideMark/>
          </w:tcPr>
          <w:p w14:paraId="24EAF1BD"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 </w:t>
            </w:r>
          </w:p>
        </w:tc>
        <w:tc>
          <w:tcPr>
            <w:tcW w:w="177" w:type="pct"/>
            <w:tcBorders>
              <w:top w:val="nil"/>
              <w:left w:val="nil"/>
              <w:bottom w:val="single" w:sz="8" w:space="0" w:color="auto"/>
              <w:right w:val="single" w:sz="8" w:space="0" w:color="auto"/>
            </w:tcBorders>
            <w:shd w:val="clear" w:color="auto" w:fill="auto"/>
            <w:vAlign w:val="center"/>
            <w:hideMark/>
          </w:tcPr>
          <w:p w14:paraId="6448A6D7"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 </w:t>
            </w:r>
          </w:p>
        </w:tc>
        <w:tc>
          <w:tcPr>
            <w:tcW w:w="177" w:type="pct"/>
            <w:tcBorders>
              <w:top w:val="nil"/>
              <w:left w:val="nil"/>
              <w:bottom w:val="single" w:sz="8" w:space="0" w:color="auto"/>
              <w:right w:val="single" w:sz="8" w:space="0" w:color="auto"/>
            </w:tcBorders>
            <w:shd w:val="clear" w:color="auto" w:fill="auto"/>
            <w:vAlign w:val="center"/>
            <w:hideMark/>
          </w:tcPr>
          <w:p w14:paraId="52357560"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 </w:t>
            </w:r>
          </w:p>
        </w:tc>
        <w:tc>
          <w:tcPr>
            <w:tcW w:w="178" w:type="pct"/>
            <w:tcBorders>
              <w:top w:val="nil"/>
              <w:left w:val="nil"/>
              <w:bottom w:val="single" w:sz="8" w:space="0" w:color="auto"/>
              <w:right w:val="single" w:sz="8" w:space="0" w:color="auto"/>
            </w:tcBorders>
            <w:shd w:val="clear" w:color="auto" w:fill="auto"/>
            <w:vAlign w:val="center"/>
            <w:hideMark/>
          </w:tcPr>
          <w:p w14:paraId="67E4B399"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 </w:t>
            </w:r>
          </w:p>
        </w:tc>
        <w:tc>
          <w:tcPr>
            <w:tcW w:w="182" w:type="pct"/>
            <w:tcBorders>
              <w:top w:val="nil"/>
              <w:left w:val="nil"/>
              <w:bottom w:val="single" w:sz="8" w:space="0" w:color="auto"/>
              <w:right w:val="single" w:sz="8" w:space="0" w:color="auto"/>
            </w:tcBorders>
            <w:shd w:val="clear" w:color="auto" w:fill="auto"/>
            <w:vAlign w:val="center"/>
            <w:hideMark/>
          </w:tcPr>
          <w:p w14:paraId="4BCAD89C"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X</w:t>
            </w:r>
          </w:p>
        </w:tc>
        <w:tc>
          <w:tcPr>
            <w:tcW w:w="1093" w:type="pct"/>
            <w:tcBorders>
              <w:top w:val="single" w:sz="8" w:space="0" w:color="auto"/>
              <w:left w:val="nil"/>
              <w:bottom w:val="single" w:sz="8" w:space="0" w:color="auto"/>
              <w:right w:val="single" w:sz="8" w:space="0" w:color="000000"/>
            </w:tcBorders>
            <w:shd w:val="clear" w:color="auto" w:fill="auto"/>
            <w:vAlign w:val="center"/>
            <w:hideMark/>
          </w:tcPr>
          <w:p w14:paraId="3FE4C551" w14:textId="3E56447E"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US$5</w:t>
            </w:r>
            <w:r w:rsidR="00937B11" w:rsidRPr="00FF47E7">
              <w:rPr>
                <w:rFonts w:ascii="Arial" w:eastAsia="Times New Roman" w:hAnsi="Arial" w:cs="Arial"/>
                <w:color w:val="000000"/>
                <w:sz w:val="18"/>
                <w:szCs w:val="18"/>
                <w:lang w:val="es-ES_tradnl" w:eastAsia="es-ES"/>
              </w:rPr>
              <w:t>.0</w:t>
            </w:r>
            <w:r w:rsidRPr="00FF47E7">
              <w:rPr>
                <w:rFonts w:ascii="Arial" w:eastAsia="Times New Roman" w:hAnsi="Arial" w:cs="Arial"/>
                <w:color w:val="000000"/>
                <w:sz w:val="18"/>
                <w:szCs w:val="18"/>
                <w:lang w:val="es-ES_tradnl" w:eastAsia="es-ES"/>
              </w:rPr>
              <w:t>00</w:t>
            </w:r>
          </w:p>
        </w:tc>
        <w:tc>
          <w:tcPr>
            <w:tcW w:w="802" w:type="pct"/>
            <w:tcBorders>
              <w:top w:val="single" w:sz="8" w:space="0" w:color="auto"/>
              <w:left w:val="nil"/>
              <w:bottom w:val="single" w:sz="8" w:space="0" w:color="auto"/>
              <w:right w:val="single" w:sz="8" w:space="0" w:color="000000"/>
            </w:tcBorders>
            <w:shd w:val="clear" w:color="auto" w:fill="auto"/>
            <w:vAlign w:val="center"/>
            <w:hideMark/>
          </w:tcPr>
          <w:p w14:paraId="46729CCD" w14:textId="77777777" w:rsidR="00512598" w:rsidRPr="00FF47E7" w:rsidRDefault="00512598" w:rsidP="00512598">
            <w:pPr>
              <w:spacing w:after="0" w:line="240" w:lineRule="auto"/>
              <w:jc w:val="center"/>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OE</w:t>
            </w:r>
          </w:p>
        </w:tc>
        <w:tc>
          <w:tcPr>
            <w:tcW w:w="570" w:type="pct"/>
            <w:tcBorders>
              <w:top w:val="single" w:sz="8" w:space="0" w:color="auto"/>
              <w:left w:val="nil"/>
              <w:bottom w:val="single" w:sz="8" w:space="0" w:color="auto"/>
              <w:right w:val="single" w:sz="8" w:space="0" w:color="000000"/>
            </w:tcBorders>
            <w:shd w:val="clear" w:color="auto" w:fill="auto"/>
            <w:vAlign w:val="center"/>
          </w:tcPr>
          <w:p w14:paraId="35F63F49" w14:textId="2E225F84" w:rsidR="00512598" w:rsidRPr="00FF47E7" w:rsidRDefault="00512598" w:rsidP="00512598">
            <w:pPr>
              <w:spacing w:after="0" w:line="240" w:lineRule="auto"/>
              <w:jc w:val="center"/>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OE/BID</w:t>
            </w:r>
          </w:p>
        </w:tc>
      </w:tr>
      <w:tr w:rsidR="00512598" w:rsidRPr="00FF47E7" w14:paraId="133DB348" w14:textId="77777777" w:rsidTr="002F348C">
        <w:trPr>
          <w:trHeight w:hRule="exact" w:val="692"/>
          <w:jc w:val="center"/>
        </w:trPr>
        <w:tc>
          <w:tcPr>
            <w:tcW w:w="761" w:type="pct"/>
            <w:tcBorders>
              <w:top w:val="nil"/>
              <w:left w:val="single" w:sz="8" w:space="0" w:color="auto"/>
              <w:bottom w:val="single" w:sz="8" w:space="0" w:color="auto"/>
              <w:right w:val="single" w:sz="8" w:space="0" w:color="auto"/>
            </w:tcBorders>
            <w:shd w:val="clear" w:color="auto" w:fill="auto"/>
            <w:vAlign w:val="center"/>
          </w:tcPr>
          <w:p w14:paraId="276FEA44"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Informes de cumplimiento ESG</w:t>
            </w:r>
          </w:p>
        </w:tc>
        <w:tc>
          <w:tcPr>
            <w:tcW w:w="175" w:type="pct"/>
            <w:tcBorders>
              <w:top w:val="nil"/>
              <w:left w:val="nil"/>
              <w:bottom w:val="single" w:sz="8" w:space="0" w:color="auto"/>
              <w:right w:val="single" w:sz="8" w:space="0" w:color="auto"/>
            </w:tcBorders>
            <w:shd w:val="clear" w:color="auto" w:fill="auto"/>
            <w:vAlign w:val="center"/>
          </w:tcPr>
          <w:p w14:paraId="0B7B05CD"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p>
        </w:tc>
        <w:tc>
          <w:tcPr>
            <w:tcW w:w="177" w:type="pct"/>
            <w:tcBorders>
              <w:top w:val="nil"/>
              <w:left w:val="nil"/>
              <w:bottom w:val="single" w:sz="8" w:space="0" w:color="auto"/>
              <w:right w:val="single" w:sz="8" w:space="0" w:color="auto"/>
            </w:tcBorders>
            <w:shd w:val="clear" w:color="auto" w:fill="auto"/>
            <w:vAlign w:val="center"/>
          </w:tcPr>
          <w:p w14:paraId="099A4DD0"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p>
        </w:tc>
        <w:tc>
          <w:tcPr>
            <w:tcW w:w="177" w:type="pct"/>
            <w:tcBorders>
              <w:top w:val="nil"/>
              <w:left w:val="nil"/>
              <w:bottom w:val="single" w:sz="8" w:space="0" w:color="auto"/>
              <w:right w:val="single" w:sz="8" w:space="0" w:color="auto"/>
            </w:tcBorders>
            <w:shd w:val="clear" w:color="auto" w:fill="auto"/>
            <w:vAlign w:val="center"/>
          </w:tcPr>
          <w:p w14:paraId="7FA7CAD9"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X</w:t>
            </w:r>
          </w:p>
        </w:tc>
        <w:tc>
          <w:tcPr>
            <w:tcW w:w="177" w:type="pct"/>
            <w:tcBorders>
              <w:top w:val="nil"/>
              <w:left w:val="nil"/>
              <w:bottom w:val="single" w:sz="8" w:space="0" w:color="auto"/>
              <w:right w:val="single" w:sz="8" w:space="0" w:color="auto"/>
            </w:tcBorders>
            <w:shd w:val="clear" w:color="auto" w:fill="auto"/>
            <w:vAlign w:val="center"/>
          </w:tcPr>
          <w:p w14:paraId="631DE010"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X</w:t>
            </w:r>
          </w:p>
        </w:tc>
        <w:tc>
          <w:tcPr>
            <w:tcW w:w="177" w:type="pct"/>
            <w:tcBorders>
              <w:top w:val="nil"/>
              <w:left w:val="nil"/>
              <w:bottom w:val="single" w:sz="8" w:space="0" w:color="auto"/>
              <w:right w:val="single" w:sz="8" w:space="0" w:color="auto"/>
            </w:tcBorders>
            <w:shd w:val="clear" w:color="auto" w:fill="auto"/>
            <w:vAlign w:val="center"/>
          </w:tcPr>
          <w:p w14:paraId="0C29C21F"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X</w:t>
            </w:r>
          </w:p>
        </w:tc>
        <w:tc>
          <w:tcPr>
            <w:tcW w:w="177" w:type="pct"/>
            <w:tcBorders>
              <w:top w:val="nil"/>
              <w:left w:val="nil"/>
              <w:bottom w:val="single" w:sz="8" w:space="0" w:color="auto"/>
              <w:right w:val="single" w:sz="8" w:space="0" w:color="auto"/>
            </w:tcBorders>
            <w:shd w:val="clear" w:color="auto" w:fill="auto"/>
            <w:vAlign w:val="center"/>
          </w:tcPr>
          <w:p w14:paraId="3908DFDA"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X</w:t>
            </w:r>
          </w:p>
        </w:tc>
        <w:tc>
          <w:tcPr>
            <w:tcW w:w="177" w:type="pct"/>
            <w:tcBorders>
              <w:top w:val="nil"/>
              <w:left w:val="nil"/>
              <w:bottom w:val="single" w:sz="8" w:space="0" w:color="auto"/>
              <w:right w:val="single" w:sz="8" w:space="0" w:color="auto"/>
            </w:tcBorders>
            <w:shd w:val="clear" w:color="auto" w:fill="auto"/>
            <w:vAlign w:val="center"/>
          </w:tcPr>
          <w:p w14:paraId="248077B4"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X</w:t>
            </w:r>
          </w:p>
        </w:tc>
        <w:tc>
          <w:tcPr>
            <w:tcW w:w="177" w:type="pct"/>
            <w:tcBorders>
              <w:top w:val="nil"/>
              <w:left w:val="nil"/>
              <w:bottom w:val="single" w:sz="8" w:space="0" w:color="auto"/>
              <w:right w:val="single" w:sz="8" w:space="0" w:color="auto"/>
            </w:tcBorders>
            <w:shd w:val="clear" w:color="auto" w:fill="auto"/>
            <w:vAlign w:val="center"/>
          </w:tcPr>
          <w:p w14:paraId="6F7CEF22"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X</w:t>
            </w:r>
          </w:p>
        </w:tc>
        <w:tc>
          <w:tcPr>
            <w:tcW w:w="178" w:type="pct"/>
            <w:tcBorders>
              <w:top w:val="nil"/>
              <w:left w:val="nil"/>
              <w:bottom w:val="single" w:sz="8" w:space="0" w:color="auto"/>
              <w:right w:val="single" w:sz="8" w:space="0" w:color="auto"/>
            </w:tcBorders>
            <w:shd w:val="clear" w:color="auto" w:fill="auto"/>
            <w:vAlign w:val="center"/>
          </w:tcPr>
          <w:p w14:paraId="26EED4C7"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X</w:t>
            </w:r>
          </w:p>
        </w:tc>
        <w:tc>
          <w:tcPr>
            <w:tcW w:w="182" w:type="pct"/>
            <w:tcBorders>
              <w:top w:val="nil"/>
              <w:left w:val="nil"/>
              <w:bottom w:val="single" w:sz="8" w:space="0" w:color="auto"/>
              <w:right w:val="single" w:sz="8" w:space="0" w:color="auto"/>
            </w:tcBorders>
            <w:shd w:val="clear" w:color="auto" w:fill="auto"/>
            <w:vAlign w:val="center"/>
          </w:tcPr>
          <w:p w14:paraId="33659FA6"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X</w:t>
            </w:r>
          </w:p>
        </w:tc>
        <w:tc>
          <w:tcPr>
            <w:tcW w:w="1093" w:type="pct"/>
            <w:tcBorders>
              <w:top w:val="single" w:sz="8" w:space="0" w:color="auto"/>
              <w:left w:val="nil"/>
              <w:bottom w:val="single" w:sz="8" w:space="0" w:color="auto"/>
              <w:right w:val="single" w:sz="8" w:space="0" w:color="000000"/>
            </w:tcBorders>
            <w:shd w:val="clear" w:color="auto" w:fill="auto"/>
            <w:vAlign w:val="center"/>
          </w:tcPr>
          <w:p w14:paraId="5CAA7679" w14:textId="34662AC6"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US$4.500</w:t>
            </w:r>
          </w:p>
        </w:tc>
        <w:tc>
          <w:tcPr>
            <w:tcW w:w="802" w:type="pct"/>
            <w:tcBorders>
              <w:top w:val="single" w:sz="8" w:space="0" w:color="auto"/>
              <w:left w:val="nil"/>
              <w:bottom w:val="single" w:sz="8" w:space="0" w:color="auto"/>
              <w:right w:val="single" w:sz="8" w:space="0" w:color="000000"/>
            </w:tcBorders>
            <w:shd w:val="clear" w:color="auto" w:fill="auto"/>
            <w:vAlign w:val="center"/>
          </w:tcPr>
          <w:p w14:paraId="128FF1A0" w14:textId="77777777" w:rsidR="00512598" w:rsidRPr="00FF47E7" w:rsidRDefault="00512598" w:rsidP="00512598">
            <w:pPr>
              <w:spacing w:after="0" w:line="240" w:lineRule="auto"/>
              <w:jc w:val="center"/>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OE</w:t>
            </w:r>
          </w:p>
        </w:tc>
        <w:tc>
          <w:tcPr>
            <w:tcW w:w="570" w:type="pct"/>
            <w:tcBorders>
              <w:top w:val="single" w:sz="8" w:space="0" w:color="auto"/>
              <w:left w:val="nil"/>
              <w:bottom w:val="single" w:sz="8" w:space="0" w:color="auto"/>
              <w:right w:val="single" w:sz="8" w:space="0" w:color="000000"/>
            </w:tcBorders>
            <w:shd w:val="clear" w:color="auto" w:fill="auto"/>
            <w:vAlign w:val="center"/>
          </w:tcPr>
          <w:p w14:paraId="37354FA8" w14:textId="62E8BD76" w:rsidR="00512598" w:rsidRPr="00FF47E7" w:rsidRDefault="00512598" w:rsidP="00512598">
            <w:pPr>
              <w:spacing w:after="0" w:line="240" w:lineRule="auto"/>
              <w:jc w:val="center"/>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OE</w:t>
            </w:r>
          </w:p>
        </w:tc>
      </w:tr>
      <w:tr w:rsidR="00512598" w:rsidRPr="00FF47E7" w14:paraId="67B1C236" w14:textId="77777777" w:rsidTr="002F348C">
        <w:trPr>
          <w:trHeight w:val="901"/>
          <w:jc w:val="center"/>
        </w:trPr>
        <w:tc>
          <w:tcPr>
            <w:tcW w:w="761" w:type="pct"/>
            <w:tcBorders>
              <w:top w:val="nil"/>
              <w:left w:val="single" w:sz="8" w:space="0" w:color="auto"/>
              <w:bottom w:val="single" w:sz="8" w:space="0" w:color="000000"/>
              <w:right w:val="single" w:sz="8" w:space="0" w:color="auto"/>
            </w:tcBorders>
            <w:shd w:val="clear" w:color="auto" w:fill="auto"/>
            <w:vAlign w:val="center"/>
            <w:hideMark/>
          </w:tcPr>
          <w:p w14:paraId="41137D11"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Auditorias</w:t>
            </w:r>
          </w:p>
        </w:tc>
        <w:tc>
          <w:tcPr>
            <w:tcW w:w="175" w:type="pct"/>
            <w:tcBorders>
              <w:top w:val="nil"/>
              <w:left w:val="single" w:sz="8" w:space="0" w:color="auto"/>
              <w:bottom w:val="single" w:sz="8" w:space="0" w:color="000000"/>
              <w:right w:val="single" w:sz="8" w:space="0" w:color="auto"/>
            </w:tcBorders>
            <w:shd w:val="clear" w:color="auto" w:fill="auto"/>
            <w:vAlign w:val="center"/>
            <w:hideMark/>
          </w:tcPr>
          <w:p w14:paraId="23B1B996"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 </w:t>
            </w:r>
          </w:p>
        </w:tc>
        <w:tc>
          <w:tcPr>
            <w:tcW w:w="177" w:type="pct"/>
            <w:tcBorders>
              <w:top w:val="nil"/>
              <w:left w:val="single" w:sz="8" w:space="0" w:color="auto"/>
              <w:bottom w:val="single" w:sz="8" w:space="0" w:color="000000"/>
              <w:right w:val="single" w:sz="8" w:space="0" w:color="auto"/>
            </w:tcBorders>
            <w:shd w:val="clear" w:color="auto" w:fill="auto"/>
            <w:vAlign w:val="center"/>
            <w:hideMark/>
          </w:tcPr>
          <w:p w14:paraId="7429831C"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 </w:t>
            </w:r>
          </w:p>
        </w:tc>
        <w:tc>
          <w:tcPr>
            <w:tcW w:w="177" w:type="pct"/>
            <w:tcBorders>
              <w:top w:val="nil"/>
              <w:left w:val="single" w:sz="8" w:space="0" w:color="auto"/>
              <w:bottom w:val="single" w:sz="8" w:space="0" w:color="000000"/>
              <w:right w:val="single" w:sz="8" w:space="0" w:color="auto"/>
            </w:tcBorders>
            <w:shd w:val="clear" w:color="auto" w:fill="auto"/>
            <w:vAlign w:val="center"/>
            <w:hideMark/>
          </w:tcPr>
          <w:p w14:paraId="7797BE48"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 X</w:t>
            </w:r>
          </w:p>
        </w:tc>
        <w:tc>
          <w:tcPr>
            <w:tcW w:w="177" w:type="pct"/>
            <w:tcBorders>
              <w:top w:val="nil"/>
              <w:left w:val="single" w:sz="8" w:space="0" w:color="auto"/>
              <w:bottom w:val="single" w:sz="8" w:space="0" w:color="000000"/>
              <w:right w:val="single" w:sz="8" w:space="0" w:color="auto"/>
            </w:tcBorders>
            <w:shd w:val="clear" w:color="auto" w:fill="auto"/>
            <w:vAlign w:val="center"/>
            <w:hideMark/>
          </w:tcPr>
          <w:p w14:paraId="136BCCC4"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 </w:t>
            </w:r>
          </w:p>
        </w:tc>
        <w:tc>
          <w:tcPr>
            <w:tcW w:w="177" w:type="pct"/>
            <w:tcBorders>
              <w:top w:val="nil"/>
              <w:left w:val="single" w:sz="8" w:space="0" w:color="auto"/>
              <w:bottom w:val="single" w:sz="8" w:space="0" w:color="000000"/>
              <w:right w:val="single" w:sz="8" w:space="0" w:color="auto"/>
            </w:tcBorders>
            <w:shd w:val="clear" w:color="auto" w:fill="auto"/>
            <w:vAlign w:val="center"/>
            <w:hideMark/>
          </w:tcPr>
          <w:p w14:paraId="299B3161"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X</w:t>
            </w:r>
          </w:p>
        </w:tc>
        <w:tc>
          <w:tcPr>
            <w:tcW w:w="177" w:type="pct"/>
            <w:tcBorders>
              <w:top w:val="nil"/>
              <w:left w:val="single" w:sz="8" w:space="0" w:color="auto"/>
              <w:bottom w:val="single" w:sz="8" w:space="0" w:color="000000"/>
              <w:right w:val="single" w:sz="8" w:space="0" w:color="auto"/>
            </w:tcBorders>
            <w:shd w:val="clear" w:color="auto" w:fill="auto"/>
            <w:vAlign w:val="center"/>
            <w:hideMark/>
          </w:tcPr>
          <w:p w14:paraId="41C2163A"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 </w:t>
            </w:r>
          </w:p>
        </w:tc>
        <w:tc>
          <w:tcPr>
            <w:tcW w:w="177" w:type="pct"/>
            <w:tcBorders>
              <w:top w:val="nil"/>
              <w:left w:val="single" w:sz="8" w:space="0" w:color="auto"/>
              <w:bottom w:val="single" w:sz="8" w:space="0" w:color="000000"/>
              <w:right w:val="single" w:sz="8" w:space="0" w:color="auto"/>
            </w:tcBorders>
            <w:shd w:val="clear" w:color="auto" w:fill="auto"/>
            <w:vAlign w:val="center"/>
            <w:hideMark/>
          </w:tcPr>
          <w:p w14:paraId="4DDB8D8E"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X </w:t>
            </w:r>
          </w:p>
        </w:tc>
        <w:tc>
          <w:tcPr>
            <w:tcW w:w="177" w:type="pct"/>
            <w:tcBorders>
              <w:top w:val="nil"/>
              <w:left w:val="single" w:sz="8" w:space="0" w:color="auto"/>
              <w:bottom w:val="single" w:sz="8" w:space="0" w:color="000000"/>
              <w:right w:val="single" w:sz="8" w:space="0" w:color="auto"/>
            </w:tcBorders>
            <w:shd w:val="clear" w:color="auto" w:fill="auto"/>
            <w:vAlign w:val="center"/>
            <w:hideMark/>
          </w:tcPr>
          <w:p w14:paraId="7AD25C4B"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 </w:t>
            </w:r>
          </w:p>
        </w:tc>
        <w:tc>
          <w:tcPr>
            <w:tcW w:w="178" w:type="pct"/>
            <w:tcBorders>
              <w:top w:val="nil"/>
              <w:left w:val="single" w:sz="8" w:space="0" w:color="auto"/>
              <w:bottom w:val="single" w:sz="8" w:space="0" w:color="000000"/>
              <w:right w:val="single" w:sz="8" w:space="0" w:color="auto"/>
            </w:tcBorders>
            <w:shd w:val="clear" w:color="auto" w:fill="auto"/>
            <w:vAlign w:val="center"/>
            <w:hideMark/>
          </w:tcPr>
          <w:p w14:paraId="732BB609"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X </w:t>
            </w:r>
          </w:p>
        </w:tc>
        <w:tc>
          <w:tcPr>
            <w:tcW w:w="182" w:type="pct"/>
            <w:tcBorders>
              <w:top w:val="nil"/>
              <w:left w:val="single" w:sz="8" w:space="0" w:color="auto"/>
              <w:bottom w:val="single" w:sz="8" w:space="0" w:color="000000"/>
              <w:right w:val="single" w:sz="8" w:space="0" w:color="auto"/>
            </w:tcBorders>
            <w:shd w:val="clear" w:color="auto" w:fill="auto"/>
            <w:vAlign w:val="center"/>
            <w:hideMark/>
          </w:tcPr>
          <w:p w14:paraId="6EF35CCB"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X</w:t>
            </w:r>
          </w:p>
        </w:tc>
        <w:tc>
          <w:tcPr>
            <w:tcW w:w="1093" w:type="pct"/>
            <w:tcBorders>
              <w:top w:val="single" w:sz="8" w:space="0" w:color="auto"/>
              <w:left w:val="nil"/>
              <w:right w:val="single" w:sz="8" w:space="0" w:color="000000"/>
            </w:tcBorders>
            <w:shd w:val="clear" w:color="auto" w:fill="auto"/>
            <w:vAlign w:val="center"/>
            <w:hideMark/>
          </w:tcPr>
          <w:p w14:paraId="093BDCBF"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Indicar (Estimado US$20.000/auditoría)</w:t>
            </w:r>
          </w:p>
        </w:tc>
        <w:tc>
          <w:tcPr>
            <w:tcW w:w="802" w:type="pct"/>
            <w:tcBorders>
              <w:top w:val="single" w:sz="8" w:space="0" w:color="auto"/>
              <w:left w:val="single" w:sz="8" w:space="0" w:color="auto"/>
              <w:bottom w:val="single" w:sz="8" w:space="0" w:color="000000"/>
              <w:right w:val="single" w:sz="8" w:space="0" w:color="000000"/>
            </w:tcBorders>
            <w:shd w:val="clear" w:color="auto" w:fill="auto"/>
            <w:vAlign w:val="center"/>
            <w:hideMark/>
          </w:tcPr>
          <w:p w14:paraId="58904EBF" w14:textId="77777777" w:rsidR="00512598" w:rsidRPr="00FF47E7" w:rsidRDefault="00512598" w:rsidP="00512598">
            <w:pPr>
              <w:spacing w:after="0" w:line="240" w:lineRule="auto"/>
              <w:jc w:val="center"/>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OE</w:t>
            </w:r>
          </w:p>
        </w:tc>
        <w:tc>
          <w:tcPr>
            <w:tcW w:w="570" w:type="pct"/>
            <w:tcBorders>
              <w:top w:val="single" w:sz="8" w:space="0" w:color="auto"/>
              <w:left w:val="single" w:sz="8" w:space="0" w:color="auto"/>
              <w:bottom w:val="single" w:sz="8" w:space="0" w:color="000000"/>
              <w:right w:val="single" w:sz="8" w:space="0" w:color="000000"/>
            </w:tcBorders>
            <w:shd w:val="clear" w:color="auto" w:fill="auto"/>
            <w:vAlign w:val="center"/>
          </w:tcPr>
          <w:p w14:paraId="3329DA8B" w14:textId="5D170A3B" w:rsidR="00512598" w:rsidRPr="00FF47E7" w:rsidRDefault="00512598" w:rsidP="00512598">
            <w:pPr>
              <w:spacing w:after="0" w:line="240" w:lineRule="auto"/>
              <w:jc w:val="center"/>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OE</w:t>
            </w:r>
          </w:p>
        </w:tc>
      </w:tr>
      <w:tr w:rsidR="00512598" w:rsidRPr="00FF47E7" w14:paraId="1DAC7BFA" w14:textId="77777777" w:rsidTr="002F348C">
        <w:trPr>
          <w:trHeight w:val="469"/>
          <w:jc w:val="center"/>
        </w:trPr>
        <w:tc>
          <w:tcPr>
            <w:tcW w:w="2535" w:type="pct"/>
            <w:gridSpan w:val="11"/>
            <w:tcBorders>
              <w:top w:val="single" w:sz="8" w:space="0" w:color="auto"/>
              <w:left w:val="single" w:sz="8" w:space="0" w:color="auto"/>
              <w:bottom w:val="single" w:sz="8" w:space="0" w:color="000000"/>
              <w:right w:val="single" w:sz="8" w:space="0" w:color="000000"/>
            </w:tcBorders>
            <w:shd w:val="clear" w:color="auto" w:fill="auto"/>
            <w:vAlign w:val="center"/>
            <w:hideMark/>
          </w:tcPr>
          <w:p w14:paraId="297488E8" w14:textId="77777777" w:rsidR="00512598" w:rsidRPr="00FF47E7" w:rsidRDefault="00512598"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Costo Total</w:t>
            </w:r>
          </w:p>
        </w:tc>
        <w:tc>
          <w:tcPr>
            <w:tcW w:w="1093" w:type="pct"/>
            <w:tcBorders>
              <w:top w:val="single" w:sz="8" w:space="0" w:color="auto"/>
              <w:left w:val="single" w:sz="8" w:space="0" w:color="auto"/>
              <w:bottom w:val="single" w:sz="8" w:space="0" w:color="000000"/>
              <w:right w:val="single" w:sz="8" w:space="0" w:color="000000"/>
            </w:tcBorders>
            <w:shd w:val="clear" w:color="auto" w:fill="auto"/>
            <w:vAlign w:val="center"/>
            <w:hideMark/>
          </w:tcPr>
          <w:p w14:paraId="76B4E659" w14:textId="48353796" w:rsidR="00512598" w:rsidRPr="00FF47E7" w:rsidRDefault="00937B11" w:rsidP="00512598">
            <w:pPr>
              <w:spacing w:after="0" w:line="240" w:lineRule="auto"/>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US$112.200</w:t>
            </w:r>
          </w:p>
        </w:tc>
        <w:tc>
          <w:tcPr>
            <w:tcW w:w="802" w:type="pct"/>
            <w:tcBorders>
              <w:top w:val="single" w:sz="8" w:space="0" w:color="auto"/>
              <w:left w:val="single" w:sz="8" w:space="0" w:color="auto"/>
              <w:bottom w:val="single" w:sz="8" w:space="0" w:color="000000"/>
              <w:right w:val="single" w:sz="8" w:space="0" w:color="000000"/>
            </w:tcBorders>
            <w:shd w:val="clear" w:color="auto" w:fill="auto"/>
            <w:vAlign w:val="center"/>
            <w:hideMark/>
          </w:tcPr>
          <w:p w14:paraId="14F5DBC5" w14:textId="77777777" w:rsidR="00512598" w:rsidRPr="00FF47E7" w:rsidRDefault="00512598" w:rsidP="00512598">
            <w:pPr>
              <w:spacing w:after="0" w:line="240" w:lineRule="auto"/>
              <w:jc w:val="center"/>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OE</w:t>
            </w:r>
          </w:p>
        </w:tc>
        <w:tc>
          <w:tcPr>
            <w:tcW w:w="570" w:type="pct"/>
            <w:tcBorders>
              <w:top w:val="single" w:sz="8" w:space="0" w:color="auto"/>
              <w:left w:val="single" w:sz="8" w:space="0" w:color="auto"/>
              <w:bottom w:val="single" w:sz="8" w:space="0" w:color="000000"/>
              <w:right w:val="single" w:sz="8" w:space="0" w:color="000000"/>
            </w:tcBorders>
            <w:shd w:val="clear" w:color="auto" w:fill="auto"/>
            <w:vAlign w:val="center"/>
          </w:tcPr>
          <w:p w14:paraId="36FCDCB9" w14:textId="15EF1E53" w:rsidR="00512598" w:rsidRPr="00FF47E7" w:rsidRDefault="00512598" w:rsidP="00512598">
            <w:pPr>
              <w:spacing w:after="0" w:line="240" w:lineRule="auto"/>
              <w:jc w:val="center"/>
              <w:rPr>
                <w:rFonts w:ascii="Arial" w:eastAsia="Times New Roman" w:hAnsi="Arial" w:cs="Arial"/>
                <w:color w:val="000000"/>
                <w:sz w:val="18"/>
                <w:szCs w:val="18"/>
                <w:lang w:val="es-ES_tradnl" w:eastAsia="es-ES"/>
              </w:rPr>
            </w:pPr>
            <w:r w:rsidRPr="00FF47E7">
              <w:rPr>
                <w:rFonts w:ascii="Arial" w:eastAsia="Times New Roman" w:hAnsi="Arial" w:cs="Arial"/>
                <w:color w:val="000000"/>
                <w:sz w:val="18"/>
                <w:szCs w:val="18"/>
                <w:lang w:val="es-ES_tradnl" w:eastAsia="es-ES"/>
              </w:rPr>
              <w:t>OE/BID</w:t>
            </w:r>
          </w:p>
        </w:tc>
      </w:tr>
    </w:tbl>
    <w:p w14:paraId="58BD33C7" w14:textId="77777777" w:rsidR="00145881" w:rsidRPr="001F731F" w:rsidRDefault="00145881" w:rsidP="00145881">
      <w:pPr>
        <w:pStyle w:val="Chapter"/>
        <w:ind w:firstLine="289"/>
        <w:rPr>
          <w:rFonts w:ascii="Arial" w:hAnsi="Arial" w:cs="Arial"/>
          <w:sz w:val="22"/>
          <w:szCs w:val="22"/>
          <w:lang w:val="es-ES_tradnl"/>
        </w:rPr>
      </w:pPr>
      <w:bookmarkStart w:id="25" w:name="_Toc346643520"/>
      <w:bookmarkStart w:id="26" w:name="_Toc352755941"/>
      <w:bookmarkStart w:id="27" w:name="_Toc352756757"/>
      <w:bookmarkStart w:id="28" w:name="_Toc38880736"/>
      <w:bookmarkStart w:id="29" w:name="_Toc40530260"/>
      <w:r w:rsidRPr="001F731F">
        <w:rPr>
          <w:rFonts w:ascii="Arial" w:hAnsi="Arial" w:cs="Arial"/>
          <w:sz w:val="22"/>
          <w:szCs w:val="22"/>
          <w:lang w:val="es-ES_tradnl"/>
        </w:rPr>
        <w:t>Evaluación</w:t>
      </w:r>
      <w:bookmarkEnd w:id="25"/>
      <w:bookmarkEnd w:id="26"/>
      <w:bookmarkEnd w:id="27"/>
      <w:bookmarkEnd w:id="28"/>
      <w:bookmarkEnd w:id="29"/>
    </w:p>
    <w:p w14:paraId="6D783E85" w14:textId="7BC70AE6" w:rsidR="00145881" w:rsidRPr="00522B95" w:rsidRDefault="00145881" w:rsidP="002E177E">
      <w:pPr>
        <w:pStyle w:val="Paragraph"/>
        <w:numPr>
          <w:ilvl w:val="1"/>
          <w:numId w:val="6"/>
        </w:numPr>
        <w:ind w:left="720" w:hanging="720"/>
        <w:rPr>
          <w:rFonts w:ascii="Arial" w:hAnsi="Arial" w:cs="Arial"/>
          <w:b/>
          <w:bCs/>
          <w:sz w:val="22"/>
          <w:szCs w:val="22"/>
          <w:lang w:val="es-ES_tradnl"/>
        </w:rPr>
      </w:pPr>
      <w:r w:rsidRPr="001F731F">
        <w:rPr>
          <w:rFonts w:ascii="Arial" w:hAnsi="Arial" w:cs="Arial"/>
          <w:b/>
          <w:bCs/>
          <w:sz w:val="22"/>
          <w:szCs w:val="22"/>
          <w:lang w:val="es-ES_tradnl"/>
        </w:rPr>
        <w:t>Justificación de la metodología</w:t>
      </w:r>
      <w:r>
        <w:rPr>
          <w:rFonts w:ascii="Arial" w:hAnsi="Arial" w:cs="Arial"/>
          <w:b/>
          <w:bCs/>
          <w:sz w:val="22"/>
          <w:szCs w:val="22"/>
          <w:lang w:val="es-ES_tradnl"/>
        </w:rPr>
        <w:t xml:space="preserve">. </w:t>
      </w:r>
      <w:r w:rsidR="00B56125" w:rsidRPr="00B56125">
        <w:rPr>
          <w:rFonts w:ascii="Arial" w:hAnsi="Arial" w:cs="Arial"/>
          <w:sz w:val="22"/>
          <w:szCs w:val="22"/>
          <w:lang w:val="es-ES"/>
        </w:rPr>
        <w:t>La estrategia de evaluación de los resultados del programa seguirá varios enfoques: (i) la realización de una evaluación reflexiva, antes y después del programa, que muestre el alcance de los resultados e impactos; (</w:t>
      </w:r>
      <w:proofErr w:type="spellStart"/>
      <w:r w:rsidR="00B56125" w:rsidRPr="00B56125">
        <w:rPr>
          <w:rFonts w:ascii="Arial" w:hAnsi="Arial" w:cs="Arial"/>
          <w:sz w:val="22"/>
          <w:szCs w:val="22"/>
          <w:lang w:val="es-ES"/>
        </w:rPr>
        <w:t>ii</w:t>
      </w:r>
      <w:proofErr w:type="spellEnd"/>
      <w:r w:rsidR="00B56125" w:rsidRPr="00B56125">
        <w:rPr>
          <w:rFonts w:ascii="Arial" w:hAnsi="Arial" w:cs="Arial"/>
          <w:sz w:val="22"/>
          <w:szCs w:val="22"/>
          <w:lang w:val="es-ES"/>
        </w:rPr>
        <w:t xml:space="preserve">) la realización de un análisis costo beneficio ex post de los flujos de beneficios y costos derivados del programa, siguiendo una estrategia similar a la realizada para el análisis costo beneficio ex ante. Se contempla la elaboración de una evaluación de impacto </w:t>
      </w:r>
      <w:proofErr w:type="spellStart"/>
      <w:r w:rsidR="00B56125" w:rsidRPr="00B56125">
        <w:rPr>
          <w:rFonts w:ascii="Arial" w:hAnsi="Arial" w:cs="Arial"/>
          <w:sz w:val="22"/>
          <w:szCs w:val="22"/>
          <w:lang w:val="es-ES"/>
        </w:rPr>
        <w:t>cuasi-experimental</w:t>
      </w:r>
      <w:proofErr w:type="spellEnd"/>
      <w:r w:rsidR="00B56125" w:rsidRPr="00B56125">
        <w:rPr>
          <w:rFonts w:ascii="Arial" w:hAnsi="Arial" w:cs="Arial"/>
          <w:sz w:val="22"/>
          <w:szCs w:val="22"/>
          <w:lang w:val="es-ES"/>
        </w:rPr>
        <w:t xml:space="preserve"> de diferencias-en-diferencias, tomando como grupo de tratamiento MIPYME beneficiadas del programa, y como grupo de control MIPYME de elegibles pero no apoyados con el programa. Esta evaluación </w:t>
      </w:r>
      <w:r w:rsidR="00D406FF" w:rsidRPr="009841D0">
        <w:rPr>
          <w:rFonts w:ascii="Arial" w:hAnsi="Arial" w:cs="Arial"/>
          <w:sz w:val="22"/>
          <w:szCs w:val="22"/>
          <w:lang w:val="es-BO"/>
        </w:rPr>
        <w:t>será la primera de su tipo</w:t>
      </w:r>
      <w:r w:rsidR="00D406FF" w:rsidRPr="00C54C81">
        <w:rPr>
          <w:rFonts w:ascii="Arial" w:hAnsi="Arial"/>
          <w:sz w:val="22"/>
          <w:lang w:val="es-BO"/>
        </w:rPr>
        <w:t xml:space="preserve"> en </w:t>
      </w:r>
      <w:r w:rsidR="00D406FF" w:rsidRPr="009841D0">
        <w:rPr>
          <w:rFonts w:ascii="Arial" w:hAnsi="Arial" w:cs="Arial"/>
          <w:sz w:val="22"/>
          <w:szCs w:val="22"/>
          <w:lang w:val="es-BO"/>
        </w:rPr>
        <w:t>el país y se impulsará desde</w:t>
      </w:r>
      <w:r w:rsidR="00D406FF" w:rsidRPr="00C54C81">
        <w:rPr>
          <w:rFonts w:ascii="Arial" w:hAnsi="Arial"/>
          <w:sz w:val="22"/>
          <w:lang w:val="es-BO"/>
        </w:rPr>
        <w:t xml:space="preserve"> </w:t>
      </w:r>
      <w:r w:rsidR="00B56125" w:rsidRPr="00B56125">
        <w:rPr>
          <w:rFonts w:ascii="Arial" w:hAnsi="Arial" w:cs="Arial"/>
          <w:sz w:val="22"/>
          <w:szCs w:val="22"/>
          <w:lang w:val="es-ES"/>
        </w:rPr>
        <w:t xml:space="preserve">un grupo de trabajo conformado entre BANDESAL, la </w:t>
      </w:r>
      <w:r w:rsidR="00B56125">
        <w:rPr>
          <w:rFonts w:ascii="Arial" w:hAnsi="Arial" w:cs="Arial"/>
          <w:sz w:val="22"/>
          <w:szCs w:val="22"/>
          <w:lang w:val="es-ES"/>
        </w:rPr>
        <w:t>SSF</w:t>
      </w:r>
      <w:r w:rsidR="00B56125" w:rsidRPr="00B56125">
        <w:rPr>
          <w:rFonts w:ascii="Arial" w:hAnsi="Arial" w:cs="Arial"/>
          <w:sz w:val="22"/>
          <w:szCs w:val="22"/>
          <w:lang w:val="es-ES"/>
        </w:rPr>
        <w:t xml:space="preserve"> y una de las IFI más relevantes para la colocación de recursos de este programa</w:t>
      </w:r>
      <w:r w:rsidR="00D406FF">
        <w:rPr>
          <w:rFonts w:ascii="Arial" w:hAnsi="Arial" w:cs="Arial"/>
          <w:sz w:val="22"/>
          <w:szCs w:val="22"/>
          <w:lang w:val="es-ES"/>
        </w:rPr>
        <w:t xml:space="preserve">. </w:t>
      </w:r>
      <w:r w:rsidR="00D406FF" w:rsidRPr="009841D0">
        <w:rPr>
          <w:rFonts w:ascii="Arial" w:hAnsi="Arial" w:cs="Arial"/>
          <w:sz w:val="22"/>
          <w:szCs w:val="22"/>
          <w:lang w:val="es-BO"/>
        </w:rPr>
        <w:t>Los resultados servirán para entender la contribución del financiamiento a las MIPYME</w:t>
      </w:r>
      <w:r w:rsidR="00D406FF">
        <w:rPr>
          <w:rFonts w:ascii="Arial" w:hAnsi="Arial" w:cs="Arial"/>
          <w:sz w:val="22"/>
          <w:szCs w:val="22"/>
          <w:lang w:val="es-BO"/>
        </w:rPr>
        <w:t xml:space="preserve"> en un momento de recuperación económica</w:t>
      </w:r>
      <w:r w:rsidR="00D406FF" w:rsidRPr="00C54C81">
        <w:rPr>
          <w:rFonts w:ascii="Arial" w:hAnsi="Arial"/>
          <w:sz w:val="22"/>
          <w:lang w:val="es-BO"/>
        </w:rPr>
        <w:t xml:space="preserve"> y </w:t>
      </w:r>
      <w:r w:rsidR="00B56125" w:rsidRPr="00B56125">
        <w:rPr>
          <w:rFonts w:ascii="Arial" w:hAnsi="Arial" w:cs="Arial"/>
          <w:sz w:val="22"/>
          <w:szCs w:val="22"/>
          <w:lang w:val="es-ES"/>
        </w:rPr>
        <w:t>responder las cuestiones sobre su supervivencia, la evolución de sus ingresos por ventas y el nivel de empleo.</w:t>
      </w:r>
    </w:p>
    <w:p w14:paraId="4C62FEEC" w14:textId="77777777" w:rsidR="00F0462E" w:rsidRDefault="00145881" w:rsidP="00F0462E">
      <w:pPr>
        <w:pStyle w:val="Paragraph"/>
        <w:numPr>
          <w:ilvl w:val="1"/>
          <w:numId w:val="6"/>
        </w:numPr>
        <w:ind w:left="720" w:hanging="720"/>
        <w:rPr>
          <w:rFonts w:ascii="Arial" w:hAnsi="Arial" w:cs="Arial"/>
          <w:b/>
          <w:bCs/>
          <w:sz w:val="22"/>
          <w:szCs w:val="22"/>
          <w:lang w:val="es-ES_tradnl"/>
        </w:rPr>
      </w:pPr>
      <w:r w:rsidRPr="006158AA">
        <w:rPr>
          <w:rFonts w:ascii="Arial" w:hAnsi="Arial" w:cs="Arial"/>
          <w:b/>
          <w:bCs/>
          <w:sz w:val="22"/>
          <w:szCs w:val="22"/>
          <w:lang w:val="es-ES_tradnl"/>
        </w:rPr>
        <w:t>Conocimiento previo</w:t>
      </w:r>
      <w:r>
        <w:rPr>
          <w:rFonts w:ascii="Arial" w:hAnsi="Arial" w:cs="Arial"/>
          <w:sz w:val="22"/>
          <w:szCs w:val="22"/>
          <w:lang w:val="es-ES_tradnl"/>
        </w:rPr>
        <w:t xml:space="preserve">. </w:t>
      </w:r>
      <w:r w:rsidRPr="000E4BA5">
        <w:rPr>
          <w:rFonts w:ascii="Arial" w:eastAsia="Arial" w:hAnsi="Arial" w:cs="Arial"/>
          <w:sz w:val="22"/>
          <w:szCs w:val="22"/>
          <w:lang w:val="es-ES"/>
        </w:rPr>
        <w:t xml:space="preserve">El Banco cuenta con amplia experiencia en diseño de programas de préstamo con garantía soberana dirigidos a mejorar el acceso a financiamiento de las MIPYME a través de intermediarios financieros. Estos programas se han implementado tanto en ciclos económicos expansivos, donde el apoyo se centra en el acceso a financiamiento de largo plazo para inversiones </w:t>
      </w:r>
      <w:r w:rsidRPr="000E4BA5">
        <w:rPr>
          <w:rFonts w:ascii="Arial" w:eastAsia="Arial" w:hAnsi="Arial" w:cs="Arial"/>
          <w:sz w:val="22"/>
          <w:szCs w:val="22"/>
          <w:lang w:val="es-ES"/>
        </w:rPr>
        <w:lastRenderedPageBreak/>
        <w:t>productivas, como en ciclos económicos recesivos, donde el apoyo se focaliza en que las MIPYME no pierdan acceso a liquidez para continuar con su actividad económica. En la última crisis financiera que afrontó la región en 2007, el Banco jugó un rol contra cíclico aumentando el monto y los mecanismos para atender la falta de acceso a crédito que sufrían las MIPYME de la región. Por ejemplo, en 2008 y 2009 se aprobaron programas de liquidez para la sostenibilidad del crecimiento económico con el fin de restablecer el acceso de sectores productivos a financiamiento de capital trabajo y comercio exterior, permitiendo compensar parcial y temporalmente las insuficiencias en los flujos de financiamiento a las MIPYME que trajo consigo la crisis financiera internacional. Con el mismo objetivo de estimular la oferta de crédito dirigida a financiar sectores productivos, en el periodo posterior a la crisis (2009-2013) se aprobaron líneas de crédito contingente para suministro de liquidez al sistema financiero, programas globales de crédito multisectorial y, mayoritariamente, programas específicos de financiamiento productivo a MIPYME</w:t>
      </w:r>
      <w:r>
        <w:rPr>
          <w:rFonts w:ascii="Arial" w:eastAsia="Arial" w:hAnsi="Arial" w:cs="Arial"/>
          <w:sz w:val="22"/>
          <w:szCs w:val="22"/>
          <w:lang w:val="es-ES"/>
        </w:rPr>
        <w:t xml:space="preserve">. Como ejemplo de los resultados obtenidos por esos programas, </w:t>
      </w:r>
      <w:r w:rsidRPr="008D577A">
        <w:rPr>
          <w:rFonts w:ascii="Arial" w:eastAsia="Arial" w:hAnsi="Arial" w:cs="Arial"/>
          <w:sz w:val="22"/>
          <w:szCs w:val="22"/>
          <w:lang w:val="es-ES"/>
        </w:rPr>
        <w:t>un estudio del Banco en Colombia sobre un programa de financiamiento a la PYME estructurado a través de Bancóldex</w:t>
      </w:r>
      <w:r>
        <w:rPr>
          <w:rFonts w:ascii="Arial" w:eastAsia="Arial" w:hAnsi="Arial" w:cs="Arial"/>
          <w:sz w:val="22"/>
          <w:szCs w:val="22"/>
          <w:lang w:val="es-ES"/>
        </w:rPr>
        <w:t xml:space="preserve"> (</w:t>
      </w:r>
      <w:r w:rsidRPr="008D577A">
        <w:rPr>
          <w:rFonts w:ascii="Arial" w:eastAsia="Arial" w:hAnsi="Arial" w:cs="Arial"/>
          <w:sz w:val="22"/>
          <w:szCs w:val="22"/>
          <w:lang w:val="es-ES"/>
        </w:rPr>
        <w:t>Banco público de segundo piso</w:t>
      </w:r>
      <w:r>
        <w:rPr>
          <w:rFonts w:ascii="Arial" w:eastAsia="Arial" w:hAnsi="Arial" w:cs="Arial"/>
          <w:sz w:val="22"/>
          <w:szCs w:val="22"/>
          <w:lang w:val="es-ES"/>
        </w:rPr>
        <w:t>)</w:t>
      </w:r>
      <w:r w:rsidRPr="008D577A">
        <w:rPr>
          <w:rFonts w:ascii="Arial" w:eastAsia="Arial" w:hAnsi="Arial" w:cs="Arial"/>
          <w:sz w:val="22"/>
          <w:szCs w:val="22"/>
          <w:lang w:val="es-ES"/>
        </w:rPr>
        <w:t>, encontró efectos positivos significativos del crédito en incrementos de producción (24%), empleo (11%) e inversiones (70%) durante los cuatro años al primer préstamo del BID</w:t>
      </w:r>
      <w:r>
        <w:rPr>
          <w:rStyle w:val="FootnoteReference"/>
          <w:rFonts w:ascii="Arial" w:eastAsia="Arial" w:hAnsi="Arial" w:cs="Arial"/>
          <w:sz w:val="22"/>
          <w:szCs w:val="22"/>
        </w:rPr>
        <w:footnoteReference w:id="43"/>
      </w:r>
      <w:r>
        <w:rPr>
          <w:rFonts w:ascii="Arial" w:hAnsi="Arial" w:cs="Arial"/>
          <w:sz w:val="22"/>
          <w:szCs w:val="22"/>
          <w:lang w:val="es-ES_tradnl"/>
        </w:rPr>
        <w:t>. Además, e</w:t>
      </w:r>
      <w:r w:rsidRPr="00A11FC0">
        <w:rPr>
          <w:rFonts w:ascii="Arial" w:eastAsia="Arial" w:hAnsi="Arial" w:cs="Arial"/>
          <w:sz w:val="22"/>
          <w:szCs w:val="22"/>
          <w:lang w:val="es-ES"/>
        </w:rPr>
        <w:t>l Banco cuenta con una extensa experiencia en diseño e implementación de políticas de financiamiento a la MIPYME con un enfoque especial en determinados sectores o cadenas de valor</w:t>
      </w:r>
      <w:r>
        <w:rPr>
          <w:rFonts w:ascii="Arial" w:eastAsia="Arial" w:hAnsi="Arial" w:cs="Arial"/>
          <w:sz w:val="22"/>
          <w:szCs w:val="22"/>
          <w:lang w:val="es-ES"/>
        </w:rPr>
        <w:t>, generando una gran diversidad de productos de conocimiento</w:t>
      </w:r>
      <w:r>
        <w:rPr>
          <w:rStyle w:val="FootnoteReference"/>
          <w:rFonts w:ascii="Arial" w:eastAsia="Arial" w:hAnsi="Arial" w:cs="Arial"/>
          <w:sz w:val="22"/>
          <w:szCs w:val="22"/>
        </w:rPr>
        <w:footnoteReference w:id="44"/>
      </w:r>
      <w:r w:rsidR="00126C4F">
        <w:rPr>
          <w:rFonts w:ascii="Arial" w:eastAsia="Arial" w:hAnsi="Arial" w:cs="Arial"/>
          <w:sz w:val="22"/>
          <w:szCs w:val="22"/>
          <w:lang w:val="es-ES"/>
        </w:rPr>
        <w:t>.</w:t>
      </w:r>
    </w:p>
    <w:p w14:paraId="5B40AC08" w14:textId="446E1DB8" w:rsidR="00D65264" w:rsidRPr="00D65264" w:rsidRDefault="009A0F07" w:rsidP="00D65264">
      <w:pPr>
        <w:pStyle w:val="Paragraph"/>
        <w:numPr>
          <w:ilvl w:val="1"/>
          <w:numId w:val="6"/>
        </w:numPr>
        <w:ind w:left="720" w:hanging="720"/>
        <w:rPr>
          <w:rFonts w:ascii="Arial" w:hAnsi="Arial" w:cs="Arial"/>
          <w:b/>
          <w:bCs/>
          <w:sz w:val="22"/>
          <w:szCs w:val="22"/>
          <w:lang w:val="es-ES_tradnl"/>
        </w:rPr>
      </w:pPr>
      <w:r w:rsidRPr="00D65264">
        <w:rPr>
          <w:rFonts w:ascii="Arial" w:eastAsia="Arial" w:hAnsi="Arial" w:cs="Arial"/>
          <w:sz w:val="22"/>
          <w:szCs w:val="22"/>
          <w:lang w:val="es-ES"/>
        </w:rPr>
        <w:t xml:space="preserve">En El Salvador, la </w:t>
      </w:r>
      <w:r w:rsidRPr="00D65264">
        <w:rPr>
          <w:rFonts w:ascii="Arial" w:hAnsi="Arial" w:cs="Arial"/>
          <w:sz w:val="22"/>
          <w:szCs w:val="22"/>
          <w:lang w:val="es-ES"/>
        </w:rPr>
        <w:t xml:space="preserve">fuente de experiencia y lecciones aprendidas más importante es el préstamo </w:t>
      </w:r>
      <w:r w:rsidR="00130E9E" w:rsidRPr="00D65264">
        <w:rPr>
          <w:rFonts w:ascii="Arial" w:hAnsi="Arial" w:cs="Arial"/>
          <w:sz w:val="22"/>
          <w:szCs w:val="22"/>
          <w:lang w:val="es-ES"/>
        </w:rPr>
        <w:t>3271/OC-ES</w:t>
      </w:r>
      <w:r w:rsidRPr="00D65264">
        <w:rPr>
          <w:rFonts w:ascii="Arial" w:hAnsi="Arial" w:cs="Arial"/>
          <w:sz w:val="22"/>
          <w:szCs w:val="22"/>
          <w:lang w:val="es-ES"/>
        </w:rPr>
        <w:t>, aprobado en 2014 por US$100 millones, y ejecutado por BANDESAL entre 2015 y 2018, con el objetivo de apoyar el incremento de la productividad de las MIPYME a través de un mayor acceso al crédito de mediano y largo plazo para financiar proyectos de inversión y reconversión productiva</w:t>
      </w:r>
      <w:r w:rsidRPr="00D65264">
        <w:rPr>
          <w:rStyle w:val="FootnoteReference"/>
          <w:rFonts w:ascii="Arial" w:eastAsia="Arial" w:hAnsi="Arial" w:cs="Arial"/>
          <w:sz w:val="22"/>
          <w:szCs w:val="22"/>
        </w:rPr>
        <w:footnoteReference w:id="45"/>
      </w:r>
      <w:r w:rsidR="00565050" w:rsidRPr="00D65264">
        <w:rPr>
          <w:rFonts w:ascii="Arial" w:hAnsi="Arial" w:cs="Arial"/>
          <w:sz w:val="22"/>
          <w:szCs w:val="22"/>
          <w:lang w:val="es-ES"/>
        </w:rPr>
        <w:t>.</w:t>
      </w:r>
      <w:r w:rsidRPr="00D65264">
        <w:rPr>
          <w:rFonts w:ascii="Arial" w:hAnsi="Arial" w:cs="Arial"/>
          <w:sz w:val="22"/>
          <w:szCs w:val="22"/>
          <w:lang w:val="es-ES"/>
        </w:rPr>
        <w:t xml:space="preserve"> El programa fue altamente exitoso porque aline</w:t>
      </w:r>
      <w:r w:rsidR="00B60EE9" w:rsidRPr="00D65264">
        <w:rPr>
          <w:rFonts w:ascii="Arial" w:hAnsi="Arial" w:cs="Arial"/>
          <w:sz w:val="22"/>
          <w:szCs w:val="22"/>
          <w:lang w:val="es-ES"/>
        </w:rPr>
        <w:t>ó</w:t>
      </w:r>
      <w:r w:rsidRPr="00D65264">
        <w:rPr>
          <w:rFonts w:ascii="Arial" w:hAnsi="Arial" w:cs="Arial"/>
          <w:sz w:val="22"/>
          <w:szCs w:val="22"/>
          <w:lang w:val="es-ES"/>
        </w:rPr>
        <w:t xml:space="preserve"> los objetivos de BANDESAL con los del Gobierno de El Salvador en un ciclo económico caracterizado por la ausencia de fuentes de fondeo dirigidos a la MIPYME. El programa superó ampliamente todos los indicadores originales en un tiempo menor al previsto, y llegó a beneficiar a 4.846 MIPYME (80% micros, 17% pequeñas y 2% medianas) a través de una red de 26 IFI de primer piso que colocaron subpréstamos promedio de US$25 mil a 5 años plazo</w:t>
      </w:r>
      <w:r w:rsidRPr="00D65264">
        <w:rPr>
          <w:rStyle w:val="FootnoteReference"/>
          <w:rFonts w:ascii="Arial" w:hAnsi="Arial" w:cs="Arial"/>
          <w:sz w:val="22"/>
          <w:szCs w:val="22"/>
        </w:rPr>
        <w:footnoteReference w:id="46"/>
      </w:r>
      <w:r w:rsidRPr="00D65264">
        <w:rPr>
          <w:rFonts w:ascii="Arial" w:hAnsi="Arial" w:cs="Arial"/>
          <w:sz w:val="22"/>
          <w:szCs w:val="22"/>
          <w:lang w:val="es-ES"/>
        </w:rPr>
        <w:t xml:space="preserve">. El análisis de impacto aplicado al </w:t>
      </w:r>
      <w:r w:rsidRPr="00D65264">
        <w:rPr>
          <w:rFonts w:ascii="Arial" w:hAnsi="Arial" w:cs="Arial"/>
          <w:sz w:val="22"/>
          <w:szCs w:val="22"/>
          <w:lang w:val="es-ES"/>
        </w:rPr>
        <w:lastRenderedPageBreak/>
        <w:t>programa concluyó que quienes se beneficiaban de subpréstamos financiados por BANDESAL aumentaban posteriormente su perfil como clientes del sistema financiero dado que sistemáticamente lograban nuevos subpréstamos productivos por mayores montos y conservando además su calidad crediticia en el tiempo (</w:t>
      </w:r>
      <w:hyperlink r:id="rId21" w:history="1">
        <w:r w:rsidRPr="00D65264">
          <w:rPr>
            <w:rStyle w:val="Hyperlink"/>
            <w:rFonts w:ascii="Arial" w:hAnsi="Arial" w:cs="Arial"/>
            <w:sz w:val="22"/>
            <w:szCs w:val="22"/>
            <w:lang w:val="es-ES"/>
          </w:rPr>
          <w:t>EEO#</w:t>
        </w:r>
        <w:r w:rsidR="004C43B1" w:rsidRPr="00D65264">
          <w:rPr>
            <w:rStyle w:val="Hyperlink"/>
            <w:rFonts w:ascii="Arial" w:hAnsi="Arial" w:cs="Arial"/>
            <w:sz w:val="22"/>
            <w:szCs w:val="22"/>
            <w:lang w:val="es-ES"/>
          </w:rPr>
          <w:t>7</w:t>
        </w:r>
      </w:hyperlink>
      <w:r w:rsidRPr="00D65264">
        <w:rPr>
          <w:rFonts w:ascii="Arial" w:hAnsi="Arial" w:cs="Arial"/>
          <w:sz w:val="22"/>
          <w:szCs w:val="22"/>
          <w:lang w:val="es-ES"/>
        </w:rPr>
        <w:t xml:space="preserve">). </w:t>
      </w:r>
      <w:r w:rsidR="004B2ADD" w:rsidRPr="00D65264">
        <w:rPr>
          <w:rFonts w:ascii="Arial" w:hAnsi="Arial" w:cs="Arial"/>
          <w:sz w:val="22"/>
          <w:szCs w:val="22"/>
          <w:lang w:val="es-ES"/>
        </w:rPr>
        <w:t>El</w:t>
      </w:r>
      <w:r w:rsidRPr="00D65264">
        <w:rPr>
          <w:rFonts w:ascii="Arial" w:hAnsi="Arial" w:cs="Arial"/>
          <w:sz w:val="22"/>
          <w:szCs w:val="22"/>
          <w:lang w:val="es-ES"/>
        </w:rPr>
        <w:t xml:space="preserve"> PCR </w:t>
      </w:r>
      <w:r w:rsidR="00455F4A" w:rsidRPr="00D65264">
        <w:rPr>
          <w:rFonts w:ascii="Arial" w:hAnsi="Arial" w:cs="Arial"/>
          <w:sz w:val="22"/>
          <w:szCs w:val="22"/>
          <w:lang w:val="es-ES"/>
        </w:rPr>
        <w:t>identificó lecciones que se están aplicando en el presente programa, como son: (i) la importancia de considerar también el financiamiento al capital de trabajo como parte del financiamiento a BANDESAL, dado que el capital de trabajo tiene relevancia en la cartera de financiamiento productivo de BANDESAL</w:t>
      </w:r>
      <w:r w:rsidR="00966075" w:rsidRPr="00D65264">
        <w:rPr>
          <w:rStyle w:val="FootnoteReference"/>
          <w:rFonts w:ascii="Arial" w:hAnsi="Arial" w:cs="Arial"/>
          <w:sz w:val="22"/>
          <w:szCs w:val="22"/>
        </w:rPr>
        <w:footnoteReference w:id="47"/>
      </w:r>
      <w:r w:rsidR="00455F4A" w:rsidRPr="00D65264">
        <w:rPr>
          <w:rFonts w:ascii="Arial" w:hAnsi="Arial" w:cs="Arial"/>
          <w:sz w:val="22"/>
          <w:szCs w:val="22"/>
          <w:lang w:val="es-ES"/>
        </w:rPr>
        <w:t>, y que existe evidencia internacional de la contribución del capital de trabajo a las actividades productivas</w:t>
      </w:r>
      <w:r w:rsidR="00966075" w:rsidRPr="00D65264">
        <w:rPr>
          <w:rStyle w:val="FootnoteReference"/>
          <w:rFonts w:ascii="Arial" w:hAnsi="Arial" w:cs="Arial"/>
          <w:sz w:val="22"/>
          <w:szCs w:val="22"/>
        </w:rPr>
        <w:footnoteReference w:id="48"/>
      </w:r>
      <w:r w:rsidR="00455F4A" w:rsidRPr="00D65264">
        <w:rPr>
          <w:rFonts w:ascii="Arial" w:hAnsi="Arial" w:cs="Arial"/>
          <w:sz w:val="22"/>
          <w:szCs w:val="22"/>
          <w:lang w:val="es-ES"/>
        </w:rPr>
        <w:t>; y (</w:t>
      </w:r>
      <w:proofErr w:type="spellStart"/>
      <w:r w:rsidR="00455F4A" w:rsidRPr="00D65264">
        <w:rPr>
          <w:rFonts w:ascii="Arial" w:hAnsi="Arial" w:cs="Arial"/>
          <w:sz w:val="22"/>
          <w:szCs w:val="22"/>
          <w:lang w:val="es-ES"/>
        </w:rPr>
        <w:t>ii</w:t>
      </w:r>
      <w:proofErr w:type="spellEnd"/>
      <w:r w:rsidR="00455F4A" w:rsidRPr="00D65264">
        <w:rPr>
          <w:rFonts w:ascii="Arial" w:hAnsi="Arial" w:cs="Arial"/>
          <w:sz w:val="22"/>
          <w:szCs w:val="22"/>
          <w:lang w:val="es-ES"/>
        </w:rPr>
        <w:t>) el preparar oportunamente los sistemas monitoreo, así como capturar tempranamente la información de los beneficiarios finales sobre empleo, ventas, ingresos, etc., para realizar una evaluación de impacto del programa robusta.  A nivel internacional, la fuente de lecciones se deriva de la crisis financiera que inició en 2007. El Banco jugó un rol contra cíclico al aprobar en 2008 y 2009 programas de liquidez para la sostenibilidad del crecimiento económico con el fin de restablecer el acceso al crédito. Con el mismo objetivo de estimular la oferta de crédito dirigida a financiar sectores productivos, en el periodo posterior a la crisis (2009-2013) se aprobaron líneas de crédito contingente para suministro de liquidez al sistema financiero, programas globales de crédito multisectorial y, mayoritariamente, programas específicos de financiamiento productivo a MIPYME.</w:t>
      </w:r>
      <w:r w:rsidR="00D65264" w:rsidRPr="00D65264">
        <w:rPr>
          <w:rFonts w:ascii="Arial" w:hAnsi="Arial" w:cs="Arial"/>
          <w:sz w:val="22"/>
          <w:szCs w:val="22"/>
          <w:lang w:val="es-ES"/>
        </w:rPr>
        <w:t xml:space="preserve"> (</w:t>
      </w:r>
      <w:hyperlink r:id="rId22" w:history="1">
        <w:r w:rsidR="00D65264" w:rsidRPr="00D65264">
          <w:rPr>
            <w:rStyle w:val="Hyperlink"/>
            <w:rFonts w:ascii="Arial" w:hAnsi="Arial" w:cs="Arial"/>
            <w:sz w:val="22"/>
            <w:szCs w:val="22"/>
            <w:lang w:val="es-ES"/>
          </w:rPr>
          <w:t>EEO#8</w:t>
        </w:r>
      </w:hyperlink>
      <w:r w:rsidR="00D65264" w:rsidRPr="00D65264">
        <w:rPr>
          <w:rFonts w:ascii="Arial" w:hAnsi="Arial" w:cs="Arial"/>
          <w:sz w:val="22"/>
          <w:szCs w:val="22"/>
          <w:lang w:val="es-ES"/>
        </w:rPr>
        <w:t xml:space="preserve">). </w:t>
      </w:r>
    </w:p>
    <w:p w14:paraId="4D556F53" w14:textId="77777777" w:rsidR="00145881" w:rsidRDefault="00145881" w:rsidP="00145881">
      <w:pPr>
        <w:pStyle w:val="Paragraph"/>
        <w:numPr>
          <w:ilvl w:val="0"/>
          <w:numId w:val="0"/>
        </w:numPr>
        <w:spacing w:before="240"/>
        <w:ind w:left="720"/>
        <w:rPr>
          <w:rFonts w:ascii="Arial" w:hAnsi="Arial" w:cs="Arial"/>
          <w:b/>
          <w:bCs/>
          <w:sz w:val="22"/>
          <w:szCs w:val="22"/>
          <w:u w:val="single"/>
          <w:lang w:val="es-ES_tradnl"/>
        </w:rPr>
      </w:pPr>
      <w:r>
        <w:rPr>
          <w:rFonts w:ascii="Arial" w:hAnsi="Arial" w:cs="Arial"/>
          <w:b/>
          <w:bCs/>
          <w:sz w:val="22"/>
          <w:szCs w:val="22"/>
          <w:u w:val="single"/>
          <w:lang w:val="es-ES_tradnl"/>
        </w:rPr>
        <w:t>Evaluación reflexiva</w:t>
      </w:r>
    </w:p>
    <w:p w14:paraId="619C9DAA" w14:textId="77777777" w:rsidR="00145881" w:rsidRPr="004714E0" w:rsidRDefault="00145881" w:rsidP="002E177E">
      <w:pPr>
        <w:pStyle w:val="Paragraph"/>
        <w:numPr>
          <w:ilvl w:val="1"/>
          <w:numId w:val="6"/>
        </w:numPr>
        <w:ind w:left="720" w:hanging="720"/>
        <w:rPr>
          <w:rFonts w:ascii="Arial" w:hAnsi="Arial" w:cs="Arial"/>
          <w:sz w:val="22"/>
          <w:szCs w:val="22"/>
          <w:lang w:val="es-ES_tradnl"/>
        </w:rPr>
      </w:pPr>
      <w:r>
        <w:rPr>
          <w:rFonts w:ascii="Arial" w:hAnsi="Arial" w:cs="Arial"/>
          <w:b/>
          <w:sz w:val="22"/>
          <w:szCs w:val="22"/>
          <w:lang w:val="es-ES_tradnl"/>
        </w:rPr>
        <w:t xml:space="preserve">Justificación de la metodología. </w:t>
      </w:r>
      <w:r>
        <w:rPr>
          <w:rFonts w:ascii="Arial" w:hAnsi="Arial" w:cs="Arial"/>
          <w:bCs/>
          <w:sz w:val="22"/>
          <w:szCs w:val="22"/>
          <w:lang w:val="es-ES_tradnl"/>
        </w:rPr>
        <w:t xml:space="preserve">Le metodología reflexiva busca conocer los efectos de una intervención sobre variables determinadas de interés. En el caso que nos ocupa, se trataría de medir los ingresos por ventas y el empleo en las MIPYME beneficiarias del programa antes y después del programa, adjudicando las variaciones observadas a dicha intervención. Esta metodología, sin embargo, no puede aislar completamente efectos externos a la intervención que pueden influir sobre las variables de interés, dificultando la atribución de los cambios observados a intervención concreta. </w:t>
      </w:r>
    </w:p>
    <w:p w14:paraId="50596CC8" w14:textId="4AF72E61" w:rsidR="00145881" w:rsidRDefault="00847F32" w:rsidP="002E177E">
      <w:pPr>
        <w:pStyle w:val="Paragraph"/>
        <w:numPr>
          <w:ilvl w:val="1"/>
          <w:numId w:val="6"/>
        </w:numPr>
        <w:ind w:left="720" w:hanging="720"/>
        <w:rPr>
          <w:rFonts w:ascii="Arial" w:hAnsi="Arial" w:cs="Arial"/>
          <w:bCs/>
          <w:sz w:val="22"/>
          <w:szCs w:val="22"/>
          <w:lang w:val="es-ES_tradnl"/>
        </w:rPr>
      </w:pPr>
      <w:r>
        <w:rPr>
          <w:rFonts w:ascii="Arial" w:hAnsi="Arial" w:cs="Arial"/>
          <w:b/>
          <w:bCs/>
          <w:sz w:val="22"/>
          <w:szCs w:val="22"/>
          <w:lang w:val="es-ES_tradnl"/>
        </w:rPr>
        <w:t>Preguntas</w:t>
      </w:r>
      <w:r w:rsidR="00145881" w:rsidRPr="001F731F">
        <w:rPr>
          <w:rFonts w:ascii="Arial" w:hAnsi="Arial" w:cs="Arial"/>
          <w:b/>
          <w:bCs/>
          <w:sz w:val="22"/>
          <w:szCs w:val="22"/>
          <w:lang w:val="es-ES_tradnl"/>
        </w:rPr>
        <w:t xml:space="preserve"> de </w:t>
      </w:r>
      <w:r>
        <w:rPr>
          <w:rFonts w:ascii="Arial" w:hAnsi="Arial" w:cs="Arial"/>
          <w:b/>
          <w:bCs/>
          <w:sz w:val="22"/>
          <w:szCs w:val="22"/>
          <w:lang w:val="es-ES_tradnl"/>
        </w:rPr>
        <w:t>evaluación</w:t>
      </w:r>
      <w:r w:rsidR="00145881" w:rsidRPr="00503915">
        <w:rPr>
          <w:rFonts w:ascii="Arial" w:hAnsi="Arial"/>
          <w:b/>
          <w:sz w:val="22"/>
          <w:lang w:val="es-ES_tradnl"/>
        </w:rPr>
        <w:t>.</w:t>
      </w:r>
      <w:r w:rsidR="00145881" w:rsidRPr="001F731F">
        <w:rPr>
          <w:rFonts w:ascii="Arial" w:hAnsi="Arial" w:cs="Arial"/>
          <w:bCs/>
          <w:sz w:val="22"/>
          <w:szCs w:val="22"/>
          <w:lang w:val="es-ES_tradnl"/>
        </w:rPr>
        <w:t xml:space="preserve"> </w:t>
      </w:r>
      <w:r w:rsidR="00145881">
        <w:rPr>
          <w:rFonts w:ascii="Arial" w:hAnsi="Arial" w:cs="Arial"/>
          <w:bCs/>
          <w:sz w:val="22"/>
          <w:szCs w:val="22"/>
          <w:lang w:val="es-ES_tradnl"/>
        </w:rPr>
        <w:t>La evaluación propuesta busca mostrar el alcance de los resultados e impactos del programa. Las preguntas de evaluación son por tanto las siguientes (i) cuál ha sido el impacto de la intervención sobre los ingresos por ventas de las MIPYME en los sectores apoyados por el programa; (</w:t>
      </w:r>
      <w:proofErr w:type="spellStart"/>
      <w:r w:rsidR="00145881">
        <w:rPr>
          <w:rFonts w:ascii="Arial" w:hAnsi="Arial" w:cs="Arial"/>
          <w:bCs/>
          <w:sz w:val="22"/>
          <w:szCs w:val="22"/>
          <w:lang w:val="es-ES_tradnl"/>
        </w:rPr>
        <w:t>ii</w:t>
      </w:r>
      <w:proofErr w:type="spellEnd"/>
      <w:r w:rsidR="009A0F07">
        <w:rPr>
          <w:rFonts w:ascii="Arial" w:hAnsi="Arial" w:cs="Arial"/>
          <w:bCs/>
          <w:sz w:val="22"/>
          <w:szCs w:val="22"/>
          <w:lang w:val="es-ES_tradnl"/>
        </w:rPr>
        <w:t>)</w:t>
      </w:r>
      <w:r w:rsidR="009A0F07" w:rsidRPr="009A0F07">
        <w:rPr>
          <w:lang w:val="es-ES"/>
        </w:rPr>
        <w:t xml:space="preserve"> </w:t>
      </w:r>
      <w:r w:rsidR="009A0F07" w:rsidRPr="009A0F07">
        <w:rPr>
          <w:rFonts w:ascii="Arial" w:hAnsi="Arial" w:cs="Arial"/>
          <w:bCs/>
          <w:sz w:val="22"/>
          <w:szCs w:val="22"/>
          <w:lang w:val="es-ES_tradnl"/>
        </w:rPr>
        <w:t>cuál ha sido el impacto del programa sobre el porcentaje de empleo en MIPYME frente el empleo total en el país</w:t>
      </w:r>
      <w:r w:rsidR="00633683">
        <w:rPr>
          <w:rFonts w:ascii="Arial" w:hAnsi="Arial" w:cs="Arial"/>
          <w:bCs/>
          <w:sz w:val="22"/>
          <w:szCs w:val="22"/>
          <w:lang w:val="es-ES_tradnl"/>
        </w:rPr>
        <w:t xml:space="preserve">. </w:t>
      </w:r>
    </w:p>
    <w:p w14:paraId="0378382C" w14:textId="03A8E960" w:rsidR="001A3553" w:rsidRDefault="00145881" w:rsidP="002E177E">
      <w:pPr>
        <w:pStyle w:val="Paragraph"/>
        <w:numPr>
          <w:ilvl w:val="1"/>
          <w:numId w:val="6"/>
        </w:numPr>
        <w:ind w:left="720" w:hanging="720"/>
        <w:rPr>
          <w:rFonts w:ascii="Arial" w:hAnsi="Arial" w:cs="Arial"/>
          <w:sz w:val="22"/>
          <w:szCs w:val="22"/>
          <w:lang w:val="es-ES_tradnl"/>
        </w:rPr>
      </w:pPr>
      <w:r w:rsidRPr="001F731F">
        <w:rPr>
          <w:rFonts w:ascii="Arial" w:hAnsi="Arial" w:cs="Arial"/>
          <w:b/>
          <w:bCs/>
          <w:sz w:val="22"/>
          <w:szCs w:val="22"/>
          <w:lang w:val="es-ES_tradnl"/>
        </w:rPr>
        <w:t>Fuentes de datos.</w:t>
      </w:r>
      <w:r w:rsidRPr="001F731F">
        <w:rPr>
          <w:rFonts w:ascii="Arial" w:hAnsi="Arial" w:cs="Arial"/>
          <w:sz w:val="22"/>
          <w:szCs w:val="22"/>
          <w:lang w:val="es-ES_tradnl"/>
        </w:rPr>
        <w:t xml:space="preserve"> </w:t>
      </w:r>
      <w:r>
        <w:rPr>
          <w:rFonts w:ascii="Arial" w:hAnsi="Arial" w:cs="Arial"/>
          <w:sz w:val="22"/>
          <w:szCs w:val="22"/>
          <w:lang w:val="es-ES_tradnl"/>
        </w:rPr>
        <w:t>Para la realización del ejercicio propuesto son centrales los indicadores de impacto del programa, recogidos en el Cuadro 1 de este documento, y que serán objeto del monitoreo propio del programa.</w:t>
      </w:r>
      <w:r w:rsidRPr="001F731F">
        <w:rPr>
          <w:rFonts w:ascii="Arial" w:hAnsi="Arial" w:cs="Arial"/>
          <w:sz w:val="22"/>
          <w:szCs w:val="22"/>
          <w:lang w:val="es-ES_tradnl"/>
        </w:rPr>
        <w:t xml:space="preserve"> </w:t>
      </w:r>
      <w:r>
        <w:rPr>
          <w:rFonts w:ascii="Arial" w:hAnsi="Arial" w:cs="Arial"/>
          <w:sz w:val="22"/>
          <w:szCs w:val="22"/>
          <w:lang w:val="es-ES_tradnl"/>
        </w:rPr>
        <w:t>Además, se buscará complementar la información anterior con series de datos de fuentes secundarias, tales como</w:t>
      </w:r>
      <w:r w:rsidR="009A0F07">
        <w:rPr>
          <w:rFonts w:ascii="Arial" w:hAnsi="Arial" w:cs="Arial"/>
          <w:sz w:val="22"/>
          <w:szCs w:val="22"/>
          <w:lang w:val="es-ES_tradnl"/>
        </w:rPr>
        <w:t xml:space="preserve"> las bases de datos de la SSF y, con </w:t>
      </w:r>
      <w:r w:rsidR="00CB2487">
        <w:rPr>
          <w:rFonts w:ascii="Arial" w:hAnsi="Arial" w:cs="Arial"/>
          <w:sz w:val="22"/>
          <w:szCs w:val="22"/>
          <w:lang w:val="es-ES_tradnl"/>
        </w:rPr>
        <w:t xml:space="preserve">importante relevancia </w:t>
      </w:r>
      <w:r w:rsidR="00CB2487">
        <w:rPr>
          <w:rFonts w:ascii="Arial" w:hAnsi="Arial" w:cs="Arial"/>
          <w:sz w:val="22"/>
          <w:szCs w:val="22"/>
          <w:lang w:val="es-ES_tradnl"/>
        </w:rPr>
        <w:lastRenderedPageBreak/>
        <w:t>para la riqueza de la evaluación, información administrativa de una de las IFI relevantes en la distribución del crédito en este programa</w:t>
      </w:r>
      <w:r w:rsidR="00CB2487">
        <w:rPr>
          <w:rStyle w:val="FootnoteReference"/>
          <w:rFonts w:ascii="Arial" w:hAnsi="Arial" w:cs="Arial"/>
          <w:sz w:val="22"/>
          <w:szCs w:val="22"/>
          <w:lang w:val="es-ES_tradnl"/>
        </w:rPr>
        <w:footnoteReference w:id="49"/>
      </w:r>
      <w:r w:rsidR="00565050">
        <w:rPr>
          <w:rFonts w:ascii="Arial" w:hAnsi="Arial" w:cs="Arial"/>
          <w:sz w:val="22"/>
          <w:szCs w:val="22"/>
          <w:lang w:val="es-ES_tradnl"/>
        </w:rPr>
        <w:t>.</w:t>
      </w:r>
    </w:p>
    <w:p w14:paraId="020DB55C" w14:textId="77777777" w:rsidR="00266DE0" w:rsidRDefault="00266DE0" w:rsidP="00266DE0">
      <w:pPr>
        <w:pStyle w:val="Paragraph"/>
        <w:numPr>
          <w:ilvl w:val="0"/>
          <w:numId w:val="0"/>
        </w:numPr>
        <w:ind w:left="1476" w:hanging="1296"/>
        <w:rPr>
          <w:rFonts w:ascii="Arial" w:hAnsi="Arial" w:cs="Arial"/>
          <w:sz w:val="22"/>
          <w:szCs w:val="22"/>
          <w:lang w:val="es-ES_tradnl"/>
        </w:rPr>
      </w:pPr>
    </w:p>
    <w:p w14:paraId="03EB8E64" w14:textId="77777777" w:rsidR="00145881" w:rsidRPr="001F731F" w:rsidRDefault="00145881" w:rsidP="000478D8">
      <w:pPr>
        <w:pStyle w:val="Paragraph"/>
        <w:numPr>
          <w:ilvl w:val="0"/>
          <w:numId w:val="0"/>
        </w:numPr>
        <w:ind w:left="1476" w:hanging="1296"/>
        <w:rPr>
          <w:rFonts w:ascii="Arial" w:hAnsi="Arial" w:cs="Arial"/>
          <w:b/>
          <w:bCs/>
          <w:sz w:val="22"/>
          <w:szCs w:val="22"/>
          <w:u w:val="single"/>
          <w:lang w:val="es-ES_tradnl"/>
        </w:rPr>
      </w:pPr>
      <w:r w:rsidRPr="001F731F">
        <w:rPr>
          <w:rFonts w:ascii="Arial" w:hAnsi="Arial" w:cs="Arial"/>
          <w:b/>
          <w:bCs/>
          <w:sz w:val="22"/>
          <w:szCs w:val="22"/>
          <w:u w:val="single"/>
          <w:lang w:val="es-ES_tradnl"/>
        </w:rPr>
        <w:t xml:space="preserve">Análisis costo-beneficio </w:t>
      </w:r>
      <w:proofErr w:type="spellStart"/>
      <w:r w:rsidRPr="001F731F">
        <w:rPr>
          <w:rFonts w:ascii="Arial" w:hAnsi="Arial" w:cs="Arial"/>
          <w:b/>
          <w:bCs/>
          <w:sz w:val="22"/>
          <w:szCs w:val="22"/>
          <w:u w:val="single"/>
          <w:lang w:val="es-ES_tradnl"/>
        </w:rPr>
        <w:t>ex-post</w:t>
      </w:r>
      <w:proofErr w:type="spellEnd"/>
      <w:r w:rsidRPr="001F731F">
        <w:rPr>
          <w:rFonts w:ascii="Arial" w:hAnsi="Arial" w:cs="Arial"/>
          <w:b/>
          <w:bCs/>
          <w:sz w:val="22"/>
          <w:szCs w:val="22"/>
          <w:u w:val="single"/>
          <w:lang w:val="es-ES_tradnl"/>
        </w:rPr>
        <w:t>:</w:t>
      </w:r>
    </w:p>
    <w:p w14:paraId="29B1D9CD" w14:textId="77777777" w:rsidR="009B33A3" w:rsidRPr="009B33A3" w:rsidRDefault="009B33A3" w:rsidP="002E177E">
      <w:pPr>
        <w:pStyle w:val="Paragraph"/>
        <w:numPr>
          <w:ilvl w:val="1"/>
          <w:numId w:val="6"/>
        </w:numPr>
        <w:ind w:left="720" w:hanging="720"/>
        <w:rPr>
          <w:rFonts w:ascii="Arial" w:hAnsi="Arial" w:cs="Arial"/>
          <w:b/>
          <w:bCs/>
          <w:sz w:val="22"/>
          <w:szCs w:val="22"/>
          <w:lang w:val="es-ES_tradnl"/>
        </w:rPr>
      </w:pPr>
      <w:r>
        <w:rPr>
          <w:rFonts w:ascii="Arial" w:hAnsi="Arial" w:cs="Arial"/>
          <w:sz w:val="22"/>
          <w:szCs w:val="22"/>
          <w:lang w:val="es-ES_tradnl"/>
        </w:rPr>
        <w:t>E</w:t>
      </w:r>
      <w:r w:rsidR="00145881" w:rsidRPr="005E7AF2">
        <w:rPr>
          <w:rFonts w:ascii="Arial" w:hAnsi="Arial" w:cs="Arial"/>
          <w:sz w:val="22"/>
          <w:szCs w:val="22"/>
          <w:lang w:val="es-ES_tradnl"/>
        </w:rPr>
        <w:t>l anexo de Análisis Económico</w:t>
      </w:r>
      <w:r>
        <w:rPr>
          <w:rFonts w:ascii="Arial" w:hAnsi="Arial" w:cs="Arial"/>
          <w:sz w:val="22"/>
          <w:szCs w:val="22"/>
          <w:lang w:val="es-ES_tradnl"/>
        </w:rPr>
        <w:t xml:space="preserve"> recogía</w:t>
      </w:r>
      <w:r w:rsidR="00145881" w:rsidRPr="005E7AF2">
        <w:rPr>
          <w:rFonts w:ascii="Arial" w:hAnsi="Arial" w:cs="Arial"/>
          <w:sz w:val="22"/>
          <w:szCs w:val="22"/>
          <w:lang w:val="es-ES_tradnl"/>
        </w:rPr>
        <w:t xml:space="preserve"> un ejercicio de análisis costo beneficio </w:t>
      </w:r>
      <w:proofErr w:type="spellStart"/>
      <w:r w:rsidR="00145881" w:rsidRPr="005E7AF2">
        <w:rPr>
          <w:rFonts w:ascii="Arial" w:hAnsi="Arial" w:cs="Arial"/>
          <w:sz w:val="22"/>
          <w:szCs w:val="22"/>
          <w:lang w:val="es-ES_tradnl"/>
        </w:rPr>
        <w:t>ex-ante</w:t>
      </w:r>
      <w:proofErr w:type="spellEnd"/>
      <w:r w:rsidR="00145881" w:rsidRPr="005E7AF2">
        <w:rPr>
          <w:rFonts w:ascii="Arial" w:hAnsi="Arial" w:cs="Arial"/>
          <w:sz w:val="22"/>
          <w:szCs w:val="22"/>
          <w:lang w:val="es-ES_tradnl"/>
        </w:rPr>
        <w:t xml:space="preserve"> de los flujos de costos y beneficios </w:t>
      </w:r>
      <w:r w:rsidR="00145881" w:rsidRPr="005E7AF2">
        <w:rPr>
          <w:rFonts w:ascii="Arial" w:hAnsi="Arial" w:cs="Arial"/>
          <w:bCs/>
          <w:sz w:val="22"/>
          <w:szCs w:val="22"/>
          <w:lang w:val="es-ES_tradnl"/>
        </w:rPr>
        <w:t xml:space="preserve">asociados a </w:t>
      </w:r>
      <w:r w:rsidR="00145881">
        <w:rPr>
          <w:rFonts w:ascii="Arial" w:hAnsi="Arial" w:cs="Arial"/>
          <w:bCs/>
          <w:sz w:val="22"/>
          <w:szCs w:val="22"/>
          <w:lang w:val="es-ES_tradnl"/>
        </w:rPr>
        <w:t xml:space="preserve">la supervivencia de las empresas apoyadas en términos de ingresos por ventas y empleo. </w:t>
      </w:r>
      <w:r>
        <w:rPr>
          <w:rFonts w:ascii="Arial" w:hAnsi="Arial" w:cs="Arial"/>
          <w:bCs/>
          <w:sz w:val="22"/>
          <w:szCs w:val="22"/>
          <w:lang w:val="es-ES_tradnl"/>
        </w:rPr>
        <w:t xml:space="preserve">Se propone, sumado a lo anterior, la realización de un análisis costo-beneficio </w:t>
      </w:r>
      <w:proofErr w:type="spellStart"/>
      <w:r>
        <w:rPr>
          <w:rFonts w:ascii="Arial" w:hAnsi="Arial" w:cs="Arial"/>
          <w:bCs/>
          <w:sz w:val="22"/>
          <w:szCs w:val="22"/>
          <w:lang w:val="es-ES_tradnl"/>
        </w:rPr>
        <w:t>ex-post</w:t>
      </w:r>
      <w:proofErr w:type="spellEnd"/>
      <w:r>
        <w:rPr>
          <w:rFonts w:ascii="Arial" w:hAnsi="Arial" w:cs="Arial"/>
          <w:bCs/>
          <w:sz w:val="22"/>
          <w:szCs w:val="22"/>
          <w:lang w:val="es-ES_tradnl"/>
        </w:rPr>
        <w:t>.</w:t>
      </w:r>
    </w:p>
    <w:p w14:paraId="7EC23E62" w14:textId="03B7FF63" w:rsidR="00145881" w:rsidRPr="005E7AF2" w:rsidRDefault="00145881" w:rsidP="002E177E">
      <w:pPr>
        <w:pStyle w:val="Paragraph"/>
        <w:numPr>
          <w:ilvl w:val="1"/>
          <w:numId w:val="6"/>
        </w:numPr>
        <w:ind w:left="720" w:hanging="720"/>
        <w:rPr>
          <w:rFonts w:ascii="Arial" w:hAnsi="Arial" w:cs="Arial"/>
          <w:b/>
          <w:bCs/>
          <w:sz w:val="22"/>
          <w:szCs w:val="22"/>
          <w:lang w:val="es-ES_tradnl"/>
        </w:rPr>
      </w:pPr>
      <w:r w:rsidRPr="005E7AF2">
        <w:rPr>
          <w:rFonts w:ascii="Arial" w:hAnsi="Arial" w:cs="Arial"/>
          <w:bCs/>
          <w:sz w:val="22"/>
          <w:szCs w:val="22"/>
          <w:lang w:val="es-ES_tradnl"/>
        </w:rPr>
        <w:t xml:space="preserve">Como en el caso </w:t>
      </w:r>
      <w:proofErr w:type="spellStart"/>
      <w:r w:rsidRPr="005E7AF2">
        <w:rPr>
          <w:rFonts w:ascii="Arial" w:hAnsi="Arial" w:cs="Arial"/>
          <w:bCs/>
          <w:sz w:val="22"/>
          <w:szCs w:val="22"/>
          <w:lang w:val="es-ES_tradnl"/>
        </w:rPr>
        <w:t>ex-ante</w:t>
      </w:r>
      <w:proofErr w:type="spellEnd"/>
      <w:r w:rsidRPr="005E7AF2">
        <w:rPr>
          <w:rFonts w:ascii="Arial" w:hAnsi="Arial" w:cs="Arial"/>
          <w:bCs/>
          <w:sz w:val="22"/>
          <w:szCs w:val="22"/>
          <w:lang w:val="es-ES_tradnl"/>
        </w:rPr>
        <w:t xml:space="preserve">, la intervención se valorará para un periodo de </w:t>
      </w:r>
      <w:r w:rsidR="009B33A3">
        <w:rPr>
          <w:rFonts w:ascii="Arial" w:hAnsi="Arial" w:cs="Arial"/>
          <w:sz w:val="22"/>
          <w:szCs w:val="22"/>
          <w:lang w:val="es-ES_tradnl"/>
        </w:rPr>
        <w:t>10</w:t>
      </w:r>
      <w:r w:rsidRPr="005E7AF2">
        <w:rPr>
          <w:rFonts w:ascii="Arial" w:hAnsi="Arial" w:cs="Arial"/>
          <w:bCs/>
          <w:sz w:val="22"/>
          <w:szCs w:val="22"/>
          <w:lang w:val="es-ES_tradnl"/>
        </w:rPr>
        <w:t xml:space="preserve"> años, descontado toda intervención al 12%. </w:t>
      </w:r>
    </w:p>
    <w:p w14:paraId="7CE02E4F" w14:textId="77777777" w:rsidR="00145881" w:rsidRPr="001F731F" w:rsidRDefault="00145881" w:rsidP="00145881">
      <w:pPr>
        <w:pStyle w:val="Paragraph"/>
        <w:numPr>
          <w:ilvl w:val="0"/>
          <w:numId w:val="3"/>
        </w:numPr>
        <w:spacing w:afterLines="80" w:after="192"/>
        <w:ind w:left="1260" w:hanging="450"/>
        <w:rPr>
          <w:rFonts w:ascii="Arial" w:hAnsi="Arial" w:cs="Arial"/>
          <w:sz w:val="22"/>
          <w:szCs w:val="24"/>
          <w:lang w:val="es-ES_tradnl"/>
        </w:rPr>
      </w:pPr>
      <w:r w:rsidRPr="001F731F">
        <w:rPr>
          <w:rFonts w:ascii="Arial" w:hAnsi="Arial" w:cs="Arial"/>
          <w:sz w:val="22"/>
          <w:szCs w:val="24"/>
          <w:lang w:val="es-ES_tradnl"/>
        </w:rPr>
        <w:t>Ingresos</w:t>
      </w:r>
      <w:r>
        <w:rPr>
          <w:rFonts w:ascii="Arial" w:hAnsi="Arial" w:cs="Arial"/>
          <w:sz w:val="22"/>
          <w:szCs w:val="24"/>
          <w:lang w:val="es-ES_tradnl"/>
        </w:rPr>
        <w:t xml:space="preserve">. El flujo de beneficios o ingresos del programa puede desagregarse en dos componentes. Por un lado, se considerará la pérdida evitada de ingresos por ventas gracias al programa y en comparación con el escenario contrafactual sin intervención. Además, se considerarán dentro de este flujo los </w:t>
      </w:r>
      <w:r w:rsidRPr="00252E49">
        <w:rPr>
          <w:rFonts w:ascii="Arial" w:hAnsi="Arial" w:cs="Arial"/>
          <w:sz w:val="22"/>
          <w:szCs w:val="24"/>
          <w:lang w:val="es-ES_tradnl"/>
        </w:rPr>
        <w:t>beneficios económicos derivados de la preservación del empleo como consecuencia de la supervivencia de las firmas.</w:t>
      </w:r>
    </w:p>
    <w:p w14:paraId="3F5D7E84" w14:textId="77777777" w:rsidR="00145881" w:rsidRPr="001F731F" w:rsidRDefault="00145881" w:rsidP="00145881">
      <w:pPr>
        <w:pStyle w:val="Paragraph"/>
        <w:numPr>
          <w:ilvl w:val="0"/>
          <w:numId w:val="3"/>
        </w:numPr>
        <w:spacing w:afterLines="80" w:after="192"/>
        <w:ind w:left="1260" w:hanging="450"/>
        <w:rPr>
          <w:rFonts w:ascii="Arial" w:hAnsi="Arial" w:cs="Arial"/>
          <w:sz w:val="22"/>
          <w:szCs w:val="24"/>
          <w:lang w:val="es-ES_tradnl"/>
        </w:rPr>
      </w:pPr>
      <w:r w:rsidRPr="001F731F">
        <w:rPr>
          <w:rFonts w:ascii="Arial" w:hAnsi="Arial" w:cs="Arial"/>
          <w:sz w:val="22"/>
          <w:szCs w:val="24"/>
          <w:lang w:val="es-ES_tradnl"/>
        </w:rPr>
        <w:t xml:space="preserve">Egresos por costos de </w:t>
      </w:r>
      <w:r>
        <w:rPr>
          <w:rFonts w:ascii="Arial" w:hAnsi="Arial" w:cs="Arial"/>
          <w:sz w:val="22"/>
          <w:szCs w:val="24"/>
          <w:lang w:val="es-ES_tradnl"/>
        </w:rPr>
        <w:t xml:space="preserve">la intervención. </w:t>
      </w:r>
      <w:r w:rsidRPr="00117CEA">
        <w:rPr>
          <w:rFonts w:ascii="Arial" w:hAnsi="Arial" w:cs="Arial"/>
          <w:sz w:val="22"/>
          <w:szCs w:val="22"/>
          <w:lang w:val="es-PE"/>
        </w:rPr>
        <w:t xml:space="preserve">Por simplicidad y disponibilidad de datos, los costos de la intervención serán tomados como iguales al monto total de la inversión </w:t>
      </w:r>
      <w:r>
        <w:rPr>
          <w:rFonts w:ascii="Arial" w:hAnsi="Arial" w:cs="Arial"/>
          <w:sz w:val="22"/>
          <w:szCs w:val="22"/>
          <w:lang w:val="es-PE"/>
        </w:rPr>
        <w:t>actualmente realizados</w:t>
      </w:r>
      <w:r w:rsidRPr="00117CEA">
        <w:rPr>
          <w:rFonts w:ascii="Arial" w:hAnsi="Arial" w:cs="Arial"/>
          <w:sz w:val="22"/>
          <w:szCs w:val="22"/>
          <w:lang w:val="es-PE"/>
        </w:rPr>
        <w:t xml:space="preserve"> en la presente operación. [En caso de que la información estuviera disponible, se considerará también los costos operativos de las MIPYME a</w:t>
      </w:r>
      <w:r>
        <w:rPr>
          <w:rFonts w:ascii="Arial" w:hAnsi="Arial" w:cs="Arial"/>
          <w:sz w:val="22"/>
          <w:szCs w:val="22"/>
          <w:lang w:val="es-PE"/>
        </w:rPr>
        <w:t>poyadas</w:t>
      </w:r>
      <w:r w:rsidRPr="00117CEA">
        <w:rPr>
          <w:rFonts w:ascii="Arial" w:hAnsi="Arial" w:cs="Arial"/>
          <w:sz w:val="22"/>
          <w:szCs w:val="22"/>
          <w:lang w:val="es-PE"/>
        </w:rPr>
        <w:t>]</w:t>
      </w:r>
      <w:r w:rsidRPr="001F731F">
        <w:rPr>
          <w:rFonts w:ascii="Arial" w:hAnsi="Arial" w:cs="Arial"/>
          <w:sz w:val="22"/>
          <w:szCs w:val="24"/>
          <w:lang w:val="es-ES_tradnl"/>
        </w:rPr>
        <w:t>.</w:t>
      </w:r>
    </w:p>
    <w:p w14:paraId="00CB6480" w14:textId="2DAAEB65" w:rsidR="00145881" w:rsidRPr="001F731F" w:rsidRDefault="00145881" w:rsidP="002E177E">
      <w:pPr>
        <w:pStyle w:val="Paragraph"/>
        <w:numPr>
          <w:ilvl w:val="1"/>
          <w:numId w:val="6"/>
        </w:numPr>
        <w:ind w:left="720" w:hanging="720"/>
        <w:rPr>
          <w:rFonts w:ascii="Arial" w:hAnsi="Arial" w:cs="Arial"/>
          <w:bCs/>
          <w:sz w:val="22"/>
          <w:szCs w:val="22"/>
          <w:lang w:val="es-ES_tradnl"/>
        </w:rPr>
      </w:pPr>
      <w:r w:rsidRPr="001F731F">
        <w:rPr>
          <w:rFonts w:ascii="Arial" w:hAnsi="Arial" w:cs="Arial"/>
          <w:bCs/>
          <w:sz w:val="22"/>
          <w:szCs w:val="22"/>
          <w:lang w:val="es-ES_tradnl"/>
        </w:rPr>
        <w:t xml:space="preserve">Se reevaluarán también los supuestos </w:t>
      </w:r>
      <w:r>
        <w:rPr>
          <w:rFonts w:ascii="Arial" w:hAnsi="Arial" w:cs="Arial"/>
          <w:sz w:val="22"/>
          <w:szCs w:val="24"/>
          <w:lang w:val="es-ES_tradnl"/>
        </w:rPr>
        <w:t xml:space="preserve">sobre los que se realizaba el ejercicio </w:t>
      </w:r>
      <w:proofErr w:type="spellStart"/>
      <w:r>
        <w:rPr>
          <w:rFonts w:ascii="Arial" w:hAnsi="Arial" w:cs="Arial"/>
          <w:sz w:val="22"/>
          <w:szCs w:val="24"/>
          <w:lang w:val="es-ES_tradnl"/>
        </w:rPr>
        <w:t>ex</w:t>
      </w:r>
      <w:r w:rsidR="006A6616">
        <w:rPr>
          <w:rFonts w:ascii="Arial" w:hAnsi="Arial" w:cs="Arial"/>
          <w:sz w:val="22"/>
          <w:szCs w:val="24"/>
          <w:lang w:val="es-ES_tradnl"/>
        </w:rPr>
        <w:noBreakHyphen/>
      </w:r>
      <w:r>
        <w:rPr>
          <w:rFonts w:ascii="Arial" w:hAnsi="Arial" w:cs="Arial"/>
          <w:sz w:val="22"/>
          <w:szCs w:val="24"/>
          <w:lang w:val="es-ES_tradnl"/>
        </w:rPr>
        <w:t>ante</w:t>
      </w:r>
      <w:proofErr w:type="spellEnd"/>
      <w:r>
        <w:rPr>
          <w:rFonts w:ascii="Arial" w:hAnsi="Arial" w:cs="Arial"/>
          <w:bCs/>
          <w:sz w:val="22"/>
          <w:szCs w:val="22"/>
          <w:lang w:val="es-ES_tradnl"/>
        </w:rPr>
        <w:t xml:space="preserve">. </w:t>
      </w:r>
      <w:r w:rsidRPr="001F731F">
        <w:rPr>
          <w:rFonts w:ascii="Arial" w:hAnsi="Arial" w:cs="Arial"/>
          <w:bCs/>
          <w:sz w:val="22"/>
          <w:szCs w:val="22"/>
          <w:lang w:val="es-ES_tradnl"/>
        </w:rPr>
        <w:t xml:space="preserve">El Cuadro 3 a continuación refleja los supuestos a validar durante el ejercicio </w:t>
      </w:r>
      <w:proofErr w:type="spellStart"/>
      <w:r w:rsidRPr="001F731F">
        <w:rPr>
          <w:rFonts w:ascii="Arial" w:hAnsi="Arial" w:cs="Arial"/>
          <w:bCs/>
          <w:sz w:val="22"/>
          <w:szCs w:val="22"/>
          <w:lang w:val="es-ES_tradnl"/>
        </w:rPr>
        <w:t>ex-post</w:t>
      </w:r>
      <w:proofErr w:type="spellEnd"/>
      <w:r w:rsidRPr="001F731F">
        <w:rPr>
          <w:rFonts w:ascii="Arial" w:hAnsi="Arial" w:cs="Arial"/>
          <w:bCs/>
          <w:sz w:val="22"/>
          <w:szCs w:val="22"/>
          <w:lang w:val="es-ES_tradnl"/>
        </w:rPr>
        <w:t>.</w:t>
      </w:r>
    </w:p>
    <w:p w14:paraId="15DB2E1C" w14:textId="77777777" w:rsidR="00145881" w:rsidRPr="001F731F" w:rsidRDefault="00145881" w:rsidP="00145881">
      <w:pPr>
        <w:spacing w:before="240" w:after="120" w:line="240" w:lineRule="auto"/>
        <w:jc w:val="center"/>
        <w:rPr>
          <w:rFonts w:ascii="Arial" w:hAnsi="Arial" w:cs="Arial"/>
          <w:b/>
          <w:sz w:val="20"/>
          <w:lang w:val="es-ES_tradnl"/>
        </w:rPr>
      </w:pPr>
      <w:r w:rsidRPr="001F731F">
        <w:rPr>
          <w:rFonts w:ascii="Arial" w:hAnsi="Arial" w:cs="Arial"/>
          <w:b/>
          <w:sz w:val="20"/>
          <w:lang w:val="es-ES_tradnl"/>
        </w:rPr>
        <w:t xml:space="preserve">Cuadro 3.  Supuestos a verificar en la evaluación </w:t>
      </w:r>
      <w:proofErr w:type="spellStart"/>
      <w:r w:rsidRPr="001F731F">
        <w:rPr>
          <w:rFonts w:ascii="Arial" w:hAnsi="Arial" w:cs="Arial"/>
          <w:b/>
          <w:sz w:val="20"/>
          <w:lang w:val="es-ES_tradnl"/>
        </w:rPr>
        <w:t>ex-post</w:t>
      </w:r>
      <w:proofErr w:type="spellEnd"/>
    </w:p>
    <w:tbl>
      <w:tblPr>
        <w:tblStyle w:val="TableGrid"/>
        <w:tblW w:w="0" w:type="auto"/>
        <w:jc w:val="center"/>
        <w:tblLook w:val="04A0" w:firstRow="1" w:lastRow="0" w:firstColumn="1" w:lastColumn="0" w:noHBand="0" w:noVBand="1"/>
      </w:tblPr>
      <w:tblGrid>
        <w:gridCol w:w="4495"/>
      </w:tblGrid>
      <w:tr w:rsidR="00145881" w:rsidRPr="00015230" w14:paraId="42701D25" w14:textId="77777777" w:rsidTr="002F348C">
        <w:trPr>
          <w:trHeight w:hRule="exact" w:val="432"/>
          <w:jc w:val="center"/>
        </w:trPr>
        <w:tc>
          <w:tcPr>
            <w:tcW w:w="4495" w:type="dxa"/>
            <w:vAlign w:val="center"/>
          </w:tcPr>
          <w:p w14:paraId="1484B713" w14:textId="77777777" w:rsidR="00145881" w:rsidRPr="003F1317" w:rsidRDefault="00145881" w:rsidP="002F348C">
            <w:pPr>
              <w:spacing w:before="120" w:after="120" w:line="240" w:lineRule="auto"/>
              <w:rPr>
                <w:rFonts w:ascii="Arial" w:hAnsi="Arial" w:cs="Arial"/>
                <w:bCs/>
                <w:sz w:val="20"/>
                <w:szCs w:val="20"/>
                <w:lang w:val="es-ES_tradnl"/>
              </w:rPr>
            </w:pPr>
            <w:r w:rsidRPr="003F1317">
              <w:rPr>
                <w:rFonts w:ascii="Arial" w:hAnsi="Arial" w:cs="Arial"/>
                <w:bCs/>
                <w:sz w:val="20"/>
                <w:szCs w:val="20"/>
                <w:lang w:val="es-ES_tradnl"/>
              </w:rPr>
              <w:t>Probabilidad de supervivencia de las MIPYME</w:t>
            </w:r>
          </w:p>
        </w:tc>
      </w:tr>
      <w:tr w:rsidR="00145881" w:rsidRPr="003F1317" w14:paraId="3E831E4F" w14:textId="77777777" w:rsidTr="002F348C">
        <w:trPr>
          <w:trHeight w:hRule="exact" w:val="432"/>
          <w:jc w:val="center"/>
        </w:trPr>
        <w:tc>
          <w:tcPr>
            <w:tcW w:w="4495" w:type="dxa"/>
            <w:vAlign w:val="center"/>
          </w:tcPr>
          <w:p w14:paraId="621AF057" w14:textId="77777777" w:rsidR="00145881" w:rsidRPr="003F1317" w:rsidRDefault="00145881" w:rsidP="002F348C">
            <w:pPr>
              <w:spacing w:before="120" w:after="120" w:line="240" w:lineRule="auto"/>
              <w:rPr>
                <w:rFonts w:ascii="Arial" w:hAnsi="Arial" w:cs="Arial"/>
                <w:bCs/>
                <w:sz w:val="20"/>
                <w:szCs w:val="20"/>
                <w:lang w:val="es-ES_tradnl"/>
              </w:rPr>
            </w:pPr>
            <w:r w:rsidRPr="003F1317">
              <w:rPr>
                <w:rFonts w:ascii="Arial" w:hAnsi="Arial" w:cs="Arial"/>
                <w:bCs/>
                <w:sz w:val="20"/>
                <w:szCs w:val="20"/>
                <w:lang w:val="es-ES_tradnl"/>
              </w:rPr>
              <w:t>Evolución de las ventas</w:t>
            </w:r>
          </w:p>
        </w:tc>
      </w:tr>
      <w:tr w:rsidR="00145881" w:rsidRPr="003F1317" w14:paraId="6209F587" w14:textId="77777777" w:rsidTr="002F348C">
        <w:trPr>
          <w:trHeight w:hRule="exact" w:val="432"/>
          <w:jc w:val="center"/>
        </w:trPr>
        <w:tc>
          <w:tcPr>
            <w:tcW w:w="4495" w:type="dxa"/>
            <w:vAlign w:val="center"/>
          </w:tcPr>
          <w:p w14:paraId="472E9B55" w14:textId="77777777" w:rsidR="00145881" w:rsidRPr="003F1317" w:rsidRDefault="00145881" w:rsidP="002F348C">
            <w:pPr>
              <w:spacing w:before="120" w:after="120" w:line="240" w:lineRule="auto"/>
              <w:rPr>
                <w:rFonts w:ascii="Arial" w:hAnsi="Arial" w:cs="Arial"/>
                <w:bCs/>
                <w:sz w:val="20"/>
                <w:szCs w:val="20"/>
                <w:lang w:val="es-ES_tradnl"/>
              </w:rPr>
            </w:pPr>
            <w:r w:rsidRPr="003F1317">
              <w:rPr>
                <w:rFonts w:ascii="Arial" w:hAnsi="Arial" w:cs="Arial"/>
                <w:bCs/>
                <w:sz w:val="20"/>
                <w:szCs w:val="20"/>
                <w:lang w:val="es-ES_tradnl"/>
              </w:rPr>
              <w:t>Evolución del empleo</w:t>
            </w:r>
          </w:p>
        </w:tc>
      </w:tr>
      <w:tr w:rsidR="00145881" w:rsidRPr="003F1317" w14:paraId="7E840945" w14:textId="77777777" w:rsidTr="002F348C">
        <w:trPr>
          <w:trHeight w:hRule="exact" w:val="432"/>
          <w:jc w:val="center"/>
        </w:trPr>
        <w:tc>
          <w:tcPr>
            <w:tcW w:w="4495" w:type="dxa"/>
            <w:vAlign w:val="center"/>
          </w:tcPr>
          <w:p w14:paraId="331D1A3B" w14:textId="77777777" w:rsidR="00145881" w:rsidRPr="003F1317" w:rsidRDefault="00145881" w:rsidP="002F348C">
            <w:pPr>
              <w:spacing w:before="120" w:after="120" w:line="240" w:lineRule="auto"/>
              <w:rPr>
                <w:rFonts w:ascii="Arial" w:hAnsi="Arial" w:cs="Arial"/>
                <w:bCs/>
                <w:sz w:val="20"/>
                <w:szCs w:val="20"/>
                <w:lang w:val="es-ES_tradnl"/>
              </w:rPr>
            </w:pPr>
            <w:r w:rsidRPr="003F1317">
              <w:rPr>
                <w:rFonts w:ascii="Arial" w:hAnsi="Arial" w:cs="Arial"/>
                <w:bCs/>
                <w:sz w:val="20"/>
                <w:szCs w:val="20"/>
                <w:lang w:val="es-ES_tradnl"/>
              </w:rPr>
              <w:t>Valor del empleo</w:t>
            </w:r>
          </w:p>
        </w:tc>
      </w:tr>
      <w:tr w:rsidR="00145881" w:rsidRPr="003F1317" w14:paraId="6F6764D9" w14:textId="77777777" w:rsidTr="002F348C">
        <w:trPr>
          <w:trHeight w:hRule="exact" w:val="432"/>
          <w:jc w:val="center"/>
        </w:trPr>
        <w:tc>
          <w:tcPr>
            <w:tcW w:w="4495" w:type="dxa"/>
            <w:vAlign w:val="center"/>
          </w:tcPr>
          <w:p w14:paraId="2A6492FB" w14:textId="77777777" w:rsidR="00145881" w:rsidRPr="003F1317" w:rsidRDefault="00145881" w:rsidP="002F348C">
            <w:pPr>
              <w:spacing w:before="120" w:after="120" w:line="240" w:lineRule="auto"/>
              <w:rPr>
                <w:rFonts w:ascii="Arial" w:hAnsi="Arial" w:cs="Arial"/>
                <w:bCs/>
                <w:sz w:val="20"/>
                <w:szCs w:val="20"/>
                <w:lang w:val="es-ES_tradnl"/>
              </w:rPr>
            </w:pPr>
            <w:r w:rsidRPr="003F1317">
              <w:rPr>
                <w:rFonts w:ascii="Arial" w:hAnsi="Arial" w:cs="Arial"/>
                <w:bCs/>
                <w:sz w:val="20"/>
                <w:szCs w:val="20"/>
                <w:lang w:val="es-ES_tradnl"/>
              </w:rPr>
              <w:t>Monto del financiamiento promedio</w:t>
            </w:r>
          </w:p>
        </w:tc>
      </w:tr>
      <w:tr w:rsidR="00145881" w:rsidRPr="003F1317" w14:paraId="2268C1D9" w14:textId="77777777" w:rsidTr="002F348C">
        <w:trPr>
          <w:trHeight w:hRule="exact" w:val="432"/>
          <w:jc w:val="center"/>
        </w:trPr>
        <w:tc>
          <w:tcPr>
            <w:tcW w:w="4495" w:type="dxa"/>
            <w:vAlign w:val="center"/>
          </w:tcPr>
          <w:p w14:paraId="6C94C57A" w14:textId="77777777" w:rsidR="00145881" w:rsidRPr="003F1317" w:rsidRDefault="00145881" w:rsidP="002F348C">
            <w:pPr>
              <w:spacing w:before="120" w:after="120" w:line="240" w:lineRule="auto"/>
              <w:rPr>
                <w:rFonts w:ascii="Arial" w:hAnsi="Arial" w:cs="Arial"/>
                <w:bCs/>
                <w:sz w:val="20"/>
                <w:szCs w:val="20"/>
                <w:lang w:val="es-ES_tradnl"/>
              </w:rPr>
            </w:pPr>
            <w:r w:rsidRPr="003F1317">
              <w:rPr>
                <w:rFonts w:ascii="Arial" w:hAnsi="Arial" w:cs="Arial"/>
                <w:bCs/>
                <w:sz w:val="20"/>
                <w:szCs w:val="20"/>
                <w:lang w:val="es-ES_tradnl"/>
              </w:rPr>
              <w:t>Número de MIPYME beneficiarias</w:t>
            </w:r>
          </w:p>
        </w:tc>
      </w:tr>
    </w:tbl>
    <w:p w14:paraId="27E1644C" w14:textId="07BB2AC4" w:rsidR="00145881" w:rsidRPr="001F731F" w:rsidRDefault="00145881" w:rsidP="002E177E">
      <w:pPr>
        <w:pStyle w:val="Paragraph"/>
        <w:numPr>
          <w:ilvl w:val="1"/>
          <w:numId w:val="6"/>
        </w:numPr>
        <w:spacing w:before="240"/>
        <w:ind w:left="720" w:hanging="720"/>
        <w:rPr>
          <w:rFonts w:ascii="Arial" w:hAnsi="Arial" w:cs="Arial"/>
          <w:bCs/>
          <w:sz w:val="22"/>
          <w:szCs w:val="22"/>
          <w:lang w:val="es-ES_tradnl"/>
        </w:rPr>
      </w:pPr>
      <w:r w:rsidRPr="001F731F">
        <w:rPr>
          <w:rFonts w:ascii="Arial" w:hAnsi="Arial" w:cs="Arial"/>
          <w:b/>
          <w:bCs/>
          <w:sz w:val="22"/>
          <w:szCs w:val="22"/>
          <w:lang w:val="es-ES_tradnl"/>
        </w:rPr>
        <w:t>Interpretación de los resultados</w:t>
      </w:r>
      <w:r w:rsidR="00847F32">
        <w:rPr>
          <w:rFonts w:ascii="Arial" w:hAnsi="Arial" w:cs="Arial"/>
          <w:b/>
          <w:bCs/>
          <w:sz w:val="22"/>
          <w:szCs w:val="22"/>
          <w:lang w:val="es-ES_tradnl"/>
        </w:rPr>
        <w:t xml:space="preserve"> y preguntas de evaluación</w:t>
      </w:r>
      <w:r w:rsidRPr="001F731F">
        <w:rPr>
          <w:rFonts w:ascii="Arial" w:hAnsi="Arial" w:cs="Arial"/>
          <w:bCs/>
          <w:sz w:val="22"/>
          <w:szCs w:val="22"/>
          <w:lang w:val="es-ES_tradnl"/>
        </w:rPr>
        <w:t xml:space="preserve">. El análisis </w:t>
      </w:r>
      <w:proofErr w:type="spellStart"/>
      <w:r w:rsidRPr="001F731F">
        <w:rPr>
          <w:rFonts w:ascii="Arial" w:hAnsi="Arial" w:cs="Arial"/>
          <w:bCs/>
          <w:sz w:val="22"/>
          <w:szCs w:val="22"/>
          <w:lang w:val="es-ES_tradnl"/>
        </w:rPr>
        <w:t>ex-post</w:t>
      </w:r>
      <w:proofErr w:type="spellEnd"/>
      <w:r w:rsidRPr="001F731F">
        <w:rPr>
          <w:rFonts w:ascii="Arial" w:hAnsi="Arial" w:cs="Arial"/>
          <w:bCs/>
          <w:sz w:val="22"/>
          <w:szCs w:val="22"/>
          <w:lang w:val="es-ES_tradnl"/>
        </w:rPr>
        <w:t xml:space="preserve"> propuesto es una reevaluación del análisis costo-beneficio </w:t>
      </w:r>
      <w:proofErr w:type="spellStart"/>
      <w:r w:rsidRPr="001F731F">
        <w:rPr>
          <w:rFonts w:ascii="Arial" w:hAnsi="Arial" w:cs="Arial"/>
          <w:bCs/>
          <w:sz w:val="22"/>
          <w:szCs w:val="22"/>
          <w:lang w:val="es-ES_tradnl"/>
        </w:rPr>
        <w:t>ex-ante</w:t>
      </w:r>
      <w:proofErr w:type="spellEnd"/>
      <w:r w:rsidRPr="001F731F">
        <w:rPr>
          <w:rFonts w:ascii="Arial" w:hAnsi="Arial" w:cs="Arial"/>
          <w:bCs/>
          <w:sz w:val="22"/>
          <w:szCs w:val="22"/>
          <w:lang w:val="es-ES_tradnl"/>
        </w:rPr>
        <w:t xml:space="preserve">, reevaluando </w:t>
      </w:r>
      <w:r w:rsidRPr="001F731F">
        <w:rPr>
          <w:rFonts w:ascii="Arial" w:hAnsi="Arial" w:cs="Arial"/>
          <w:bCs/>
          <w:sz w:val="22"/>
          <w:szCs w:val="22"/>
          <w:lang w:val="es-ES_tradnl"/>
        </w:rPr>
        <w:lastRenderedPageBreak/>
        <w:t xml:space="preserve">los supuestos sobre de los flujos de costes y </w:t>
      </w:r>
      <w:r w:rsidRPr="00043C4A">
        <w:rPr>
          <w:rFonts w:ascii="Arial" w:hAnsi="Arial" w:cs="Arial"/>
          <w:sz w:val="22"/>
          <w:szCs w:val="22"/>
          <w:lang w:val="es-ES_tradnl"/>
        </w:rPr>
        <w:t>beneficios</w:t>
      </w:r>
      <w:r w:rsidRPr="001F731F">
        <w:rPr>
          <w:rFonts w:ascii="Arial" w:hAnsi="Arial" w:cs="Arial"/>
          <w:bCs/>
          <w:sz w:val="22"/>
          <w:szCs w:val="22"/>
          <w:lang w:val="es-ES_tradnl"/>
        </w:rPr>
        <w:t xml:space="preserve"> asociados a </w:t>
      </w:r>
      <w:r>
        <w:rPr>
          <w:rFonts w:ascii="Arial" w:hAnsi="Arial" w:cs="Arial"/>
          <w:bCs/>
          <w:sz w:val="22"/>
          <w:szCs w:val="22"/>
          <w:lang w:val="es-ES_tradnl"/>
        </w:rPr>
        <w:t>la supervivencia de las MIPYME apoyadas con el programa.</w:t>
      </w:r>
      <w:r w:rsidRPr="001F731F">
        <w:rPr>
          <w:rFonts w:ascii="Arial" w:hAnsi="Arial" w:cs="Arial"/>
          <w:bCs/>
          <w:sz w:val="22"/>
          <w:szCs w:val="22"/>
          <w:lang w:val="es-ES_tradnl"/>
        </w:rPr>
        <w:t xml:space="preserve"> Estos supuestos iniciales s</w:t>
      </w:r>
      <w:r>
        <w:rPr>
          <w:rFonts w:ascii="Arial" w:hAnsi="Arial" w:cs="Arial"/>
          <w:bCs/>
          <w:sz w:val="22"/>
          <w:szCs w:val="22"/>
          <w:lang w:val="es-ES_tradnl"/>
        </w:rPr>
        <w:t xml:space="preserve">erán </w:t>
      </w:r>
      <w:r w:rsidRPr="001F731F">
        <w:rPr>
          <w:rFonts w:ascii="Arial" w:hAnsi="Arial" w:cs="Arial"/>
          <w:bCs/>
          <w:sz w:val="22"/>
          <w:szCs w:val="22"/>
          <w:lang w:val="es-ES_tradnl"/>
        </w:rPr>
        <w:t xml:space="preserve">efectivamente verificados durante el desarrollo y al término del programa para la validación </w:t>
      </w:r>
      <w:proofErr w:type="spellStart"/>
      <w:r w:rsidRPr="001F731F">
        <w:rPr>
          <w:rFonts w:ascii="Arial" w:hAnsi="Arial" w:cs="Arial"/>
          <w:bCs/>
          <w:sz w:val="22"/>
          <w:szCs w:val="22"/>
          <w:lang w:val="es-ES_tradnl"/>
        </w:rPr>
        <w:t>ex-post</w:t>
      </w:r>
      <w:proofErr w:type="spellEnd"/>
      <w:r w:rsidRPr="001F731F">
        <w:rPr>
          <w:rFonts w:ascii="Arial" w:hAnsi="Arial" w:cs="Arial"/>
          <w:bCs/>
          <w:sz w:val="22"/>
          <w:szCs w:val="22"/>
          <w:lang w:val="es-ES_tradnl"/>
        </w:rPr>
        <w:t xml:space="preserve"> de su viabilidad socioeconómica. </w:t>
      </w:r>
      <w:r>
        <w:rPr>
          <w:rFonts w:ascii="Arial" w:hAnsi="Arial" w:cs="Arial"/>
          <w:bCs/>
          <w:sz w:val="22"/>
          <w:szCs w:val="22"/>
          <w:lang w:val="es-ES_tradnl"/>
        </w:rPr>
        <w:t>El resultado de este ejercicio arrojará luz sobre si la intervención alcanzó sus resultados esperados, así como la validez de los supuestos de partida. En particular el análisis permite contestar las siguientes dos preguntas: (i) fue justificada la intervención desde el punto de vista económico en términos de los ingresos preservados de las MIPYME?; (</w:t>
      </w:r>
      <w:proofErr w:type="spellStart"/>
      <w:r>
        <w:rPr>
          <w:rFonts w:ascii="Arial" w:hAnsi="Arial" w:cs="Arial"/>
          <w:bCs/>
          <w:sz w:val="22"/>
          <w:szCs w:val="22"/>
          <w:lang w:val="es-ES_tradnl"/>
        </w:rPr>
        <w:t>ii</w:t>
      </w:r>
      <w:proofErr w:type="spellEnd"/>
      <w:r>
        <w:rPr>
          <w:rFonts w:ascii="Arial" w:hAnsi="Arial" w:cs="Arial"/>
          <w:bCs/>
          <w:sz w:val="22"/>
          <w:szCs w:val="22"/>
          <w:lang w:val="es-ES_tradnl"/>
        </w:rPr>
        <w:t>) fue justificada la intervención desde el punto de vista económico en términos de empleos preservados de las MIPYME?</w:t>
      </w:r>
    </w:p>
    <w:p w14:paraId="0CD16F82" w14:textId="6DBB77D9" w:rsidR="00145881" w:rsidRDefault="00145881" w:rsidP="002E177E">
      <w:pPr>
        <w:pStyle w:val="Paragraph"/>
        <w:numPr>
          <w:ilvl w:val="1"/>
          <w:numId w:val="6"/>
        </w:numPr>
        <w:ind w:left="720" w:hanging="720"/>
        <w:rPr>
          <w:rFonts w:ascii="Arial" w:hAnsi="Arial" w:cs="Arial"/>
          <w:sz w:val="22"/>
          <w:szCs w:val="22"/>
          <w:lang w:val="es-ES_tradnl"/>
        </w:rPr>
      </w:pPr>
      <w:r w:rsidRPr="001F731F">
        <w:rPr>
          <w:rFonts w:ascii="Arial" w:hAnsi="Arial" w:cs="Arial"/>
          <w:b/>
          <w:bCs/>
          <w:sz w:val="22"/>
          <w:szCs w:val="22"/>
          <w:lang w:val="es-ES_tradnl"/>
        </w:rPr>
        <w:t>Fuentes de datos.</w:t>
      </w:r>
      <w:r w:rsidRPr="001F731F">
        <w:rPr>
          <w:rFonts w:ascii="Arial" w:hAnsi="Arial" w:cs="Arial"/>
          <w:sz w:val="22"/>
          <w:szCs w:val="22"/>
          <w:lang w:val="es-ES_tradnl"/>
        </w:rPr>
        <w:t xml:space="preserve"> Si bien la metodología a utilizar es en principio análoga a la metodología recogida en el Análisis Económico para este programa, los datos para el análisis </w:t>
      </w:r>
      <w:r w:rsidRPr="00043C4A">
        <w:rPr>
          <w:rFonts w:ascii="Arial" w:hAnsi="Arial" w:cs="Arial"/>
          <w:sz w:val="22"/>
          <w:szCs w:val="22"/>
          <w:lang w:val="es-ES_tradnl"/>
        </w:rPr>
        <w:t>costo</w:t>
      </w:r>
      <w:r w:rsidRPr="001F731F">
        <w:rPr>
          <w:rFonts w:ascii="Arial" w:hAnsi="Arial" w:cs="Arial"/>
          <w:sz w:val="22"/>
          <w:szCs w:val="22"/>
          <w:lang w:val="es-ES_tradnl"/>
        </w:rPr>
        <w:t xml:space="preserve"> beneficio </w:t>
      </w:r>
      <w:proofErr w:type="spellStart"/>
      <w:r w:rsidRPr="001F731F">
        <w:rPr>
          <w:rFonts w:ascii="Arial" w:hAnsi="Arial" w:cs="Arial"/>
          <w:sz w:val="22"/>
          <w:szCs w:val="22"/>
          <w:lang w:val="es-ES_tradnl"/>
        </w:rPr>
        <w:t>ex-post</w:t>
      </w:r>
      <w:proofErr w:type="spellEnd"/>
      <w:r w:rsidRPr="001F731F">
        <w:rPr>
          <w:rFonts w:ascii="Arial" w:hAnsi="Arial" w:cs="Arial"/>
          <w:sz w:val="22"/>
          <w:szCs w:val="22"/>
          <w:lang w:val="es-ES_tradnl"/>
        </w:rPr>
        <w:t xml:space="preserve"> serán suministrados por </w:t>
      </w:r>
      <w:r>
        <w:rPr>
          <w:rFonts w:ascii="Arial" w:hAnsi="Arial" w:cs="Arial"/>
          <w:sz w:val="22"/>
          <w:szCs w:val="22"/>
          <w:lang w:val="es-ES_tradnl"/>
        </w:rPr>
        <w:t>el OE -</w:t>
      </w:r>
      <w:r w:rsidRPr="001F731F">
        <w:rPr>
          <w:rFonts w:ascii="Arial" w:hAnsi="Arial" w:cs="Arial"/>
          <w:sz w:val="22"/>
          <w:szCs w:val="22"/>
          <w:lang w:val="es-ES_tradnl"/>
        </w:rPr>
        <w:t xml:space="preserve">y, en su caso, las autoridades institucionales que corresponda- con los resultados obtenidos, monitoreados y verificados, producto de esta intervención concreta. </w:t>
      </w:r>
      <w:r>
        <w:rPr>
          <w:rFonts w:ascii="Arial" w:hAnsi="Arial" w:cs="Arial"/>
          <w:sz w:val="22"/>
          <w:szCs w:val="22"/>
          <w:lang w:val="es-ES_tradnl"/>
        </w:rPr>
        <w:t>Además, se buscará complementar la información anterior con datos de fuentes secundarias, tales como</w:t>
      </w:r>
      <w:r w:rsidR="006515D9">
        <w:rPr>
          <w:rFonts w:ascii="Arial" w:hAnsi="Arial" w:cs="Arial"/>
          <w:sz w:val="22"/>
          <w:szCs w:val="22"/>
          <w:lang w:val="es-ES_tradnl"/>
        </w:rPr>
        <w:t xml:space="preserve"> las provenientes de la SSF y de las IFI participantes en la distribución de los recursos del programa</w:t>
      </w:r>
      <w:r>
        <w:rPr>
          <w:rFonts w:ascii="Arial" w:hAnsi="Arial" w:cs="Arial"/>
          <w:sz w:val="22"/>
          <w:szCs w:val="22"/>
          <w:lang w:val="es-ES_tradnl"/>
        </w:rPr>
        <w:t>.</w:t>
      </w:r>
    </w:p>
    <w:p w14:paraId="59AF9508" w14:textId="561C4CCB" w:rsidR="00145881" w:rsidRPr="004054F9" w:rsidRDefault="00145881" w:rsidP="002E177E">
      <w:pPr>
        <w:pStyle w:val="Paragraph"/>
        <w:numPr>
          <w:ilvl w:val="1"/>
          <w:numId w:val="6"/>
        </w:numPr>
        <w:ind w:left="720" w:hanging="720"/>
        <w:rPr>
          <w:rFonts w:ascii="Arial" w:hAnsi="Arial" w:cs="Arial"/>
          <w:bCs/>
          <w:sz w:val="22"/>
          <w:szCs w:val="22"/>
          <w:lang w:val="es-ES_tradnl"/>
        </w:rPr>
      </w:pPr>
      <w:r w:rsidRPr="001F731F">
        <w:rPr>
          <w:rFonts w:ascii="Arial" w:hAnsi="Arial" w:cs="Arial"/>
          <w:b/>
          <w:bCs/>
          <w:sz w:val="22"/>
          <w:szCs w:val="22"/>
          <w:lang w:val="es-ES_tradnl"/>
        </w:rPr>
        <w:t xml:space="preserve">Plazo. </w:t>
      </w:r>
      <w:r>
        <w:rPr>
          <w:rFonts w:ascii="Arial" w:hAnsi="Arial" w:cs="Arial"/>
          <w:sz w:val="22"/>
          <w:szCs w:val="22"/>
          <w:lang w:val="es-ES_tradnl"/>
        </w:rPr>
        <w:t>El OE</w:t>
      </w:r>
      <w:r w:rsidRPr="001F731F">
        <w:rPr>
          <w:rFonts w:ascii="Arial" w:hAnsi="Arial" w:cs="Arial"/>
          <w:bCs/>
          <w:sz w:val="22"/>
          <w:szCs w:val="22"/>
          <w:lang w:val="es-ES_tradnl"/>
        </w:rPr>
        <w:t xml:space="preserve"> proveerá al </w:t>
      </w:r>
      <w:r>
        <w:rPr>
          <w:rFonts w:ascii="Arial" w:hAnsi="Arial" w:cs="Arial"/>
          <w:bCs/>
          <w:sz w:val="22"/>
          <w:szCs w:val="22"/>
          <w:lang w:val="es-ES_tradnl"/>
        </w:rPr>
        <w:t>Banco</w:t>
      </w:r>
      <w:r w:rsidRPr="001F731F">
        <w:rPr>
          <w:rFonts w:ascii="Arial" w:hAnsi="Arial" w:cs="Arial"/>
          <w:bCs/>
          <w:sz w:val="22"/>
          <w:szCs w:val="22"/>
          <w:lang w:val="es-ES_tradnl"/>
        </w:rPr>
        <w:t xml:space="preserve"> la información necesaria para realizar </w:t>
      </w:r>
      <w:r>
        <w:rPr>
          <w:rFonts w:ascii="Arial" w:hAnsi="Arial" w:cs="Arial"/>
          <w:bCs/>
          <w:sz w:val="22"/>
          <w:szCs w:val="22"/>
          <w:lang w:val="es-ES_tradnl"/>
        </w:rPr>
        <w:t>el PCR</w:t>
      </w:r>
      <w:r w:rsidRPr="001F731F">
        <w:rPr>
          <w:rFonts w:ascii="Arial" w:hAnsi="Arial" w:cs="Arial"/>
          <w:bCs/>
          <w:sz w:val="22"/>
          <w:szCs w:val="22"/>
          <w:lang w:val="es-ES_tradnl"/>
        </w:rPr>
        <w:t xml:space="preserve">, a ser completado en un plazo no mayor a 6 meses luego de alcanzar 100% o más de los desembolsos totales. </w:t>
      </w:r>
      <w:r w:rsidRPr="004054F9">
        <w:rPr>
          <w:rFonts w:ascii="Arial" w:hAnsi="Arial" w:cs="Arial"/>
          <w:bCs/>
          <w:sz w:val="22"/>
          <w:szCs w:val="22"/>
          <w:lang w:val="es-ES_tradnl"/>
        </w:rPr>
        <w:t>Se organizarán también reuniones periódicas de seguimiento</w:t>
      </w:r>
      <w:r w:rsidR="006515D9">
        <w:rPr>
          <w:rFonts w:ascii="Arial" w:hAnsi="Arial" w:cs="Arial"/>
          <w:bCs/>
          <w:sz w:val="22"/>
          <w:szCs w:val="22"/>
          <w:lang w:val="es-ES_tradnl"/>
        </w:rPr>
        <w:t xml:space="preserve"> cada 3 meses</w:t>
      </w:r>
      <w:r>
        <w:rPr>
          <w:rFonts w:ascii="Arial" w:hAnsi="Arial" w:cs="Arial"/>
          <w:bCs/>
          <w:sz w:val="22"/>
          <w:szCs w:val="22"/>
          <w:lang w:val="es-ES_tradnl"/>
        </w:rPr>
        <w:t xml:space="preserve"> </w:t>
      </w:r>
      <w:r w:rsidRPr="004054F9">
        <w:rPr>
          <w:rFonts w:ascii="Arial" w:hAnsi="Arial" w:cs="Arial"/>
          <w:bCs/>
          <w:sz w:val="22"/>
          <w:szCs w:val="22"/>
          <w:lang w:val="es-ES_tradnl"/>
        </w:rPr>
        <w:t xml:space="preserve">en las que podrá presentarse y discutirse la evolución de esta información. El PCR contendrá la información necesaria para realizar el ejercicio </w:t>
      </w:r>
      <w:proofErr w:type="spellStart"/>
      <w:r w:rsidRPr="004054F9">
        <w:rPr>
          <w:rFonts w:ascii="Arial" w:hAnsi="Arial" w:cs="Arial"/>
          <w:bCs/>
          <w:sz w:val="22"/>
          <w:szCs w:val="22"/>
          <w:lang w:val="es-ES_tradnl"/>
        </w:rPr>
        <w:t>ex-post</w:t>
      </w:r>
      <w:proofErr w:type="spellEnd"/>
      <w:r w:rsidRPr="004054F9">
        <w:rPr>
          <w:rFonts w:ascii="Arial" w:hAnsi="Arial" w:cs="Arial"/>
          <w:bCs/>
          <w:sz w:val="22"/>
          <w:szCs w:val="22"/>
          <w:lang w:val="es-ES_tradnl"/>
        </w:rPr>
        <w:t xml:space="preserve"> descrito.  </w:t>
      </w:r>
    </w:p>
    <w:p w14:paraId="3FF546B2" w14:textId="1ACAB254" w:rsidR="00145881" w:rsidRPr="001F731F" w:rsidRDefault="00145881" w:rsidP="002E177E">
      <w:pPr>
        <w:pStyle w:val="Paragraph"/>
        <w:numPr>
          <w:ilvl w:val="1"/>
          <w:numId w:val="6"/>
        </w:numPr>
        <w:ind w:left="720" w:hanging="720"/>
        <w:rPr>
          <w:rFonts w:ascii="Arial" w:hAnsi="Arial" w:cs="Arial"/>
          <w:b/>
          <w:bCs/>
          <w:sz w:val="22"/>
          <w:szCs w:val="22"/>
          <w:lang w:val="es-ES_tradnl"/>
        </w:rPr>
      </w:pPr>
      <w:r w:rsidRPr="001F731F">
        <w:rPr>
          <w:rFonts w:ascii="Arial" w:hAnsi="Arial" w:cs="Arial"/>
          <w:b/>
          <w:bCs/>
          <w:sz w:val="22"/>
          <w:szCs w:val="22"/>
          <w:lang w:val="es-ES_tradnl"/>
        </w:rPr>
        <w:t xml:space="preserve">Plan de trabajo y presupuesto de la evaluación. </w:t>
      </w:r>
      <w:r w:rsidRPr="001F731F">
        <w:rPr>
          <w:rFonts w:ascii="Arial" w:hAnsi="Arial" w:cs="Arial"/>
          <w:bCs/>
          <w:sz w:val="22"/>
          <w:szCs w:val="22"/>
          <w:lang w:val="es-ES_tradnl"/>
        </w:rPr>
        <w:t xml:space="preserve">Como se mencionaba, la información necesaria para el cómputo de los costos y beneficios en forma </w:t>
      </w:r>
      <w:proofErr w:type="spellStart"/>
      <w:r w:rsidRPr="001F731F">
        <w:rPr>
          <w:rFonts w:ascii="Arial" w:hAnsi="Arial" w:cs="Arial"/>
          <w:bCs/>
          <w:sz w:val="22"/>
          <w:szCs w:val="22"/>
          <w:lang w:val="es-ES_tradnl"/>
        </w:rPr>
        <w:t>ex</w:t>
      </w:r>
      <w:r w:rsidR="002360EE">
        <w:rPr>
          <w:rFonts w:ascii="Arial" w:hAnsi="Arial" w:cs="Arial"/>
          <w:bCs/>
          <w:sz w:val="22"/>
          <w:szCs w:val="22"/>
          <w:lang w:val="es-ES_tradnl"/>
        </w:rPr>
        <w:noBreakHyphen/>
      </w:r>
      <w:r w:rsidRPr="001F731F">
        <w:rPr>
          <w:rFonts w:ascii="Arial" w:hAnsi="Arial" w:cs="Arial"/>
          <w:bCs/>
          <w:sz w:val="22"/>
          <w:szCs w:val="22"/>
          <w:lang w:val="es-ES_tradnl"/>
        </w:rPr>
        <w:t>post</w:t>
      </w:r>
      <w:proofErr w:type="spellEnd"/>
      <w:r w:rsidRPr="001F731F">
        <w:rPr>
          <w:rFonts w:ascii="Arial" w:hAnsi="Arial" w:cs="Arial"/>
          <w:bCs/>
          <w:sz w:val="22"/>
          <w:szCs w:val="22"/>
          <w:lang w:val="es-ES_tradnl"/>
        </w:rPr>
        <w:t xml:space="preserve"> habrá de ser recogida por </w:t>
      </w:r>
      <w:r>
        <w:rPr>
          <w:rFonts w:ascii="Arial" w:hAnsi="Arial" w:cs="Arial"/>
          <w:bCs/>
          <w:sz w:val="22"/>
          <w:szCs w:val="22"/>
          <w:lang w:val="es-ES_tradnl"/>
        </w:rPr>
        <w:t>el OE</w:t>
      </w:r>
      <w:r w:rsidRPr="001F731F">
        <w:rPr>
          <w:rFonts w:ascii="Arial" w:hAnsi="Arial" w:cs="Arial"/>
          <w:bCs/>
          <w:sz w:val="22"/>
          <w:szCs w:val="22"/>
          <w:lang w:val="es-ES_tradnl"/>
        </w:rPr>
        <w:t xml:space="preserve"> dentro del procedimiento que se determine en el ROP y, en su caso, en colaboración con las instituciones públicas y privadas involucradas en la ejecución del programa. Teniendo en cuenta que la evaluación </w:t>
      </w:r>
      <w:proofErr w:type="spellStart"/>
      <w:r w:rsidRPr="001F731F">
        <w:rPr>
          <w:rFonts w:ascii="Arial" w:hAnsi="Arial" w:cs="Arial"/>
          <w:bCs/>
          <w:sz w:val="22"/>
          <w:szCs w:val="22"/>
          <w:lang w:val="es-ES_tradnl"/>
        </w:rPr>
        <w:t>ex-post</w:t>
      </w:r>
      <w:proofErr w:type="spellEnd"/>
      <w:r w:rsidRPr="001F731F">
        <w:rPr>
          <w:rFonts w:ascii="Arial" w:hAnsi="Arial" w:cs="Arial"/>
          <w:bCs/>
          <w:sz w:val="22"/>
          <w:szCs w:val="22"/>
          <w:lang w:val="es-ES_tradnl"/>
        </w:rPr>
        <w:t xml:space="preserve"> se basará en la información recolectada como indicadores de monitoreo de la propia información, </w:t>
      </w:r>
      <w:r>
        <w:rPr>
          <w:rFonts w:ascii="Arial" w:hAnsi="Arial" w:cs="Arial"/>
          <w:bCs/>
          <w:sz w:val="22"/>
          <w:szCs w:val="22"/>
          <w:lang w:val="es-ES_tradnl"/>
        </w:rPr>
        <w:t>el OE</w:t>
      </w:r>
      <w:r w:rsidRPr="001F731F">
        <w:rPr>
          <w:rFonts w:ascii="Arial" w:hAnsi="Arial" w:cs="Arial"/>
          <w:bCs/>
          <w:sz w:val="22"/>
          <w:szCs w:val="22"/>
          <w:lang w:val="es-ES_tradnl"/>
        </w:rPr>
        <w:t xml:space="preserve"> recogerá semestralmente las líneas necesarias para el cómputo de los flujos de coste y beneficio del programa y proporcionará dentro de lo estipulado para el PCR el resumen de estas observaciones a fin del periodo de desembolso de los recursos del programa. La información adicional provendrá de agencias o instituciones intermedias nacionales o provinciales, o bien de otras instituciones de provisión estadística. </w:t>
      </w:r>
    </w:p>
    <w:p w14:paraId="3FA5FEFE" w14:textId="77777777" w:rsidR="00145881" w:rsidRPr="001F731F" w:rsidRDefault="00145881" w:rsidP="002E177E">
      <w:pPr>
        <w:pStyle w:val="Paragraph"/>
        <w:numPr>
          <w:ilvl w:val="1"/>
          <w:numId w:val="6"/>
        </w:numPr>
        <w:ind w:left="720" w:hanging="720"/>
        <w:rPr>
          <w:rFonts w:ascii="Arial" w:hAnsi="Arial" w:cs="Arial"/>
          <w:sz w:val="22"/>
          <w:szCs w:val="22"/>
          <w:lang w:val="es-ES_tradnl"/>
        </w:rPr>
      </w:pPr>
      <w:r w:rsidRPr="001F731F">
        <w:rPr>
          <w:rFonts w:ascii="Arial" w:hAnsi="Arial" w:cs="Arial"/>
          <w:sz w:val="22"/>
          <w:szCs w:val="22"/>
          <w:lang w:val="es-ES_tradnl"/>
        </w:rPr>
        <w:t xml:space="preserve">Tras la elaboración del informe final, </w:t>
      </w:r>
      <w:r>
        <w:rPr>
          <w:rFonts w:ascii="Arial" w:hAnsi="Arial" w:cs="Arial"/>
          <w:sz w:val="22"/>
          <w:szCs w:val="22"/>
          <w:lang w:val="es-ES_tradnl"/>
        </w:rPr>
        <w:t>el OE y el Banco</w:t>
      </w:r>
      <w:r w:rsidRPr="001F731F">
        <w:rPr>
          <w:rFonts w:ascii="Arial" w:hAnsi="Arial" w:cs="Arial"/>
          <w:sz w:val="22"/>
          <w:szCs w:val="22"/>
          <w:lang w:val="es-ES_tradnl"/>
        </w:rPr>
        <w:t xml:space="preserve"> coordinarán la realización del ejercicio </w:t>
      </w:r>
      <w:proofErr w:type="spellStart"/>
      <w:r w:rsidRPr="001F731F">
        <w:rPr>
          <w:rFonts w:ascii="Arial" w:hAnsi="Arial" w:cs="Arial"/>
          <w:sz w:val="22"/>
          <w:szCs w:val="22"/>
          <w:lang w:val="es-ES_tradnl"/>
        </w:rPr>
        <w:t>ex-post</w:t>
      </w:r>
      <w:proofErr w:type="spellEnd"/>
      <w:r w:rsidRPr="001F731F">
        <w:rPr>
          <w:rFonts w:ascii="Arial" w:hAnsi="Arial" w:cs="Arial"/>
          <w:sz w:val="22"/>
          <w:szCs w:val="22"/>
          <w:lang w:val="es-ES_tradnl"/>
        </w:rPr>
        <w:t xml:space="preserve"> en su versión final dentro del plazo de los 6 meses siguientes luego de alcanzar el 100% de los desembolsos.</w:t>
      </w:r>
    </w:p>
    <w:p w14:paraId="5E34386E" w14:textId="7ABF4FAB" w:rsidR="00145881" w:rsidRPr="001F731F" w:rsidRDefault="00145881" w:rsidP="002E177E">
      <w:pPr>
        <w:pStyle w:val="Paragraph"/>
        <w:numPr>
          <w:ilvl w:val="1"/>
          <w:numId w:val="6"/>
        </w:numPr>
        <w:ind w:left="720" w:hanging="720"/>
        <w:rPr>
          <w:rFonts w:ascii="Arial" w:hAnsi="Arial" w:cs="Arial"/>
          <w:sz w:val="22"/>
          <w:szCs w:val="22"/>
          <w:lang w:val="es-ES_tradnl"/>
        </w:rPr>
      </w:pPr>
      <w:r w:rsidRPr="001F731F">
        <w:rPr>
          <w:rFonts w:ascii="Arial" w:hAnsi="Arial" w:cs="Arial"/>
          <w:sz w:val="22"/>
          <w:szCs w:val="22"/>
          <w:lang w:val="es-ES_tradnl"/>
        </w:rPr>
        <w:t xml:space="preserve">Los costos de las actividades de evaluación definidas para este programa se dividen entre fondos destinados para la recopilación de información y los aportes de personal del BID y </w:t>
      </w:r>
      <w:r>
        <w:rPr>
          <w:rFonts w:ascii="Arial" w:hAnsi="Arial" w:cs="Arial"/>
          <w:sz w:val="22"/>
          <w:szCs w:val="22"/>
          <w:lang w:val="es-ES_tradnl"/>
        </w:rPr>
        <w:t>el OE</w:t>
      </w:r>
      <w:r w:rsidR="006515D9">
        <w:rPr>
          <w:rFonts w:ascii="Arial" w:hAnsi="Arial" w:cs="Arial"/>
          <w:sz w:val="22"/>
          <w:szCs w:val="22"/>
          <w:lang w:val="es-ES_tradnl"/>
        </w:rPr>
        <w:t>.</w:t>
      </w:r>
      <w:r>
        <w:rPr>
          <w:rFonts w:ascii="Arial" w:hAnsi="Arial" w:cs="Arial"/>
          <w:sz w:val="22"/>
          <w:szCs w:val="22"/>
          <w:lang w:val="es-ES_tradnl"/>
        </w:rPr>
        <w:t xml:space="preserve"> </w:t>
      </w:r>
      <w:r w:rsidRPr="001F731F">
        <w:rPr>
          <w:rFonts w:ascii="Arial" w:hAnsi="Arial" w:cs="Arial"/>
          <w:sz w:val="22"/>
          <w:szCs w:val="22"/>
          <w:lang w:val="es-ES_tradnl"/>
        </w:rPr>
        <w:t xml:space="preserve">Dadas las características de la evaluación propuesta, que se basa en información a recopilar durante la ejecución normal de este programa, se hace notar que para la realización del ejercicio de análisis costo beneficio </w:t>
      </w:r>
      <w:proofErr w:type="spellStart"/>
      <w:r w:rsidRPr="001F731F">
        <w:rPr>
          <w:rFonts w:ascii="Arial" w:hAnsi="Arial" w:cs="Arial"/>
          <w:sz w:val="22"/>
          <w:szCs w:val="22"/>
          <w:lang w:val="es-ES_tradnl"/>
        </w:rPr>
        <w:t>ex-post</w:t>
      </w:r>
      <w:proofErr w:type="spellEnd"/>
      <w:r w:rsidRPr="001F731F">
        <w:rPr>
          <w:rFonts w:ascii="Arial" w:hAnsi="Arial" w:cs="Arial"/>
          <w:sz w:val="22"/>
          <w:szCs w:val="22"/>
          <w:lang w:val="es-ES_tradnl"/>
        </w:rPr>
        <w:t xml:space="preserve"> el único recurso relevante a considerar para la realización de estos informes será el de un consultor dedicado al análisis y procesamiento de la información y la elaboración de los reportes. Entrarían pues estas responsabilidades dentro de lo previsto en el seguimiento técnico del programa y </w:t>
      </w:r>
      <w:r w:rsidRPr="001F731F">
        <w:rPr>
          <w:rFonts w:ascii="Arial" w:hAnsi="Arial" w:cs="Arial"/>
          <w:sz w:val="22"/>
          <w:szCs w:val="22"/>
          <w:lang w:val="es-ES_tradnl"/>
        </w:rPr>
        <w:lastRenderedPageBreak/>
        <w:t>cumplimiento de los principales hitos, así como la existencia de eventuales desvíos entre las actividades programadas y ejecutadas. Se ha estimado un coste de US</w:t>
      </w:r>
      <w:r w:rsidR="005D5B22">
        <w:rPr>
          <w:rFonts w:ascii="Arial" w:hAnsi="Arial" w:cs="Arial"/>
          <w:sz w:val="22"/>
          <w:szCs w:val="22"/>
          <w:lang w:val="es-ES_tradnl"/>
        </w:rPr>
        <w:t>$</w:t>
      </w:r>
      <w:r w:rsidR="006515D9">
        <w:rPr>
          <w:rFonts w:ascii="Arial" w:hAnsi="Arial" w:cs="Arial"/>
          <w:sz w:val="22"/>
          <w:szCs w:val="22"/>
          <w:lang w:val="es-ES_tradnl"/>
        </w:rPr>
        <w:t>6.000</w:t>
      </w:r>
      <w:r w:rsidRPr="001F731F">
        <w:rPr>
          <w:rFonts w:ascii="Arial" w:hAnsi="Arial" w:cs="Arial"/>
          <w:sz w:val="22"/>
          <w:szCs w:val="22"/>
          <w:lang w:val="es-ES_tradnl"/>
        </w:rPr>
        <w:t xml:space="preserve"> imputable a la evaluación costo-beneficio </w:t>
      </w:r>
      <w:proofErr w:type="spellStart"/>
      <w:r w:rsidRPr="001F731F">
        <w:rPr>
          <w:rFonts w:ascii="Arial" w:hAnsi="Arial" w:cs="Arial"/>
          <w:sz w:val="22"/>
          <w:szCs w:val="22"/>
          <w:lang w:val="es-ES_tradnl"/>
        </w:rPr>
        <w:t>ex-post</w:t>
      </w:r>
      <w:proofErr w:type="spellEnd"/>
      <w:r w:rsidRPr="001F731F">
        <w:rPr>
          <w:rFonts w:ascii="Arial" w:hAnsi="Arial" w:cs="Arial"/>
          <w:sz w:val="22"/>
          <w:szCs w:val="22"/>
          <w:lang w:val="es-ES_tradnl"/>
        </w:rPr>
        <w:t xml:space="preserve">. </w:t>
      </w:r>
    </w:p>
    <w:p w14:paraId="1465ABDB" w14:textId="55A8CC04" w:rsidR="00145881" w:rsidRDefault="00145881" w:rsidP="002E177E">
      <w:pPr>
        <w:pStyle w:val="Paragraph"/>
        <w:numPr>
          <w:ilvl w:val="1"/>
          <w:numId w:val="6"/>
        </w:numPr>
        <w:ind w:left="720" w:hanging="720"/>
        <w:rPr>
          <w:rFonts w:ascii="Arial" w:hAnsi="Arial" w:cs="Arial"/>
          <w:sz w:val="22"/>
          <w:szCs w:val="22"/>
          <w:lang w:val="es-ES_tradnl"/>
        </w:rPr>
      </w:pPr>
      <w:r w:rsidRPr="001F731F">
        <w:rPr>
          <w:rFonts w:ascii="Arial" w:hAnsi="Arial" w:cs="Arial"/>
          <w:sz w:val="22"/>
          <w:szCs w:val="22"/>
          <w:lang w:val="es-ES_tradnl"/>
        </w:rPr>
        <w:t xml:space="preserve">Los costos del personal del </w:t>
      </w:r>
      <w:r>
        <w:rPr>
          <w:rFonts w:ascii="Arial" w:hAnsi="Arial" w:cs="Arial"/>
          <w:sz w:val="22"/>
          <w:szCs w:val="22"/>
          <w:lang w:val="es-ES_tradnl"/>
        </w:rPr>
        <w:t>Banco</w:t>
      </w:r>
      <w:r w:rsidRPr="001F731F">
        <w:rPr>
          <w:rFonts w:ascii="Arial" w:hAnsi="Arial" w:cs="Arial"/>
          <w:sz w:val="22"/>
          <w:szCs w:val="22"/>
          <w:lang w:val="es-ES_tradnl"/>
        </w:rPr>
        <w:t xml:space="preserve"> y de</w:t>
      </w:r>
      <w:r>
        <w:rPr>
          <w:rFonts w:ascii="Arial" w:hAnsi="Arial" w:cs="Arial"/>
          <w:sz w:val="22"/>
          <w:szCs w:val="22"/>
          <w:lang w:val="es-ES_tradnl"/>
        </w:rPr>
        <w:t>l OE</w:t>
      </w:r>
      <w:r w:rsidRPr="001F731F">
        <w:rPr>
          <w:rFonts w:ascii="Arial" w:hAnsi="Arial" w:cs="Arial"/>
          <w:sz w:val="22"/>
          <w:szCs w:val="22"/>
          <w:lang w:val="es-ES_tradnl"/>
        </w:rPr>
        <w:t xml:space="preserve"> involucrado</w:t>
      </w:r>
      <w:r>
        <w:rPr>
          <w:rFonts w:ascii="Arial" w:hAnsi="Arial" w:cs="Arial"/>
          <w:sz w:val="22"/>
          <w:szCs w:val="22"/>
          <w:lang w:val="es-ES_tradnl"/>
        </w:rPr>
        <w:t>s</w:t>
      </w:r>
      <w:r w:rsidRPr="001F731F">
        <w:rPr>
          <w:rFonts w:ascii="Arial" w:hAnsi="Arial" w:cs="Arial"/>
          <w:sz w:val="22"/>
          <w:szCs w:val="22"/>
          <w:lang w:val="es-ES_tradnl"/>
        </w:rPr>
        <w:t xml:space="preserve"> en el equipo de trabajo serán cubiertos por</w:t>
      </w:r>
      <w:r w:rsidR="008226A5">
        <w:rPr>
          <w:rFonts w:ascii="Arial" w:hAnsi="Arial" w:cs="Arial"/>
          <w:sz w:val="22"/>
          <w:szCs w:val="22"/>
          <w:lang w:val="es-ES_tradnl"/>
        </w:rPr>
        <w:t xml:space="preserve"> </w:t>
      </w:r>
      <w:r w:rsidRPr="001F731F">
        <w:rPr>
          <w:rFonts w:ascii="Arial" w:hAnsi="Arial" w:cs="Arial"/>
          <w:sz w:val="22"/>
          <w:szCs w:val="22"/>
          <w:lang w:val="es-ES_tradnl"/>
        </w:rPr>
        <w:t>los costos regulares de operación y administración de ambas instituciones, sin requerir un presupuesto adicional para este fin.</w:t>
      </w:r>
      <w:r w:rsidR="006515D9">
        <w:rPr>
          <w:rFonts w:ascii="Arial" w:hAnsi="Arial" w:cs="Arial"/>
          <w:sz w:val="22"/>
          <w:szCs w:val="22"/>
          <w:lang w:val="es-ES_tradnl"/>
        </w:rPr>
        <w:t xml:space="preserve"> BANDESAL cuenta con una unidad de monitoreo y evaluación que cuenta con la solvencia necesaria para llevar a cabo los compromisos de evaluación y que, como se ha mencionado anteriormente, recibe recursos adicionales de CT para su apoyo.</w:t>
      </w:r>
      <w:r w:rsidRPr="001F731F">
        <w:rPr>
          <w:rFonts w:ascii="Arial" w:hAnsi="Arial" w:cs="Arial"/>
          <w:sz w:val="22"/>
          <w:szCs w:val="22"/>
          <w:lang w:val="es-ES_tradnl"/>
        </w:rPr>
        <w:t xml:space="preserve"> </w:t>
      </w:r>
    </w:p>
    <w:p w14:paraId="3228A355" w14:textId="5606132C" w:rsidR="00145881" w:rsidRPr="004714E0" w:rsidRDefault="00145881" w:rsidP="00145881">
      <w:pPr>
        <w:pStyle w:val="Paragraph"/>
        <w:numPr>
          <w:ilvl w:val="0"/>
          <w:numId w:val="0"/>
        </w:numPr>
        <w:spacing w:before="240"/>
        <w:ind w:left="720"/>
        <w:rPr>
          <w:rFonts w:ascii="Arial" w:hAnsi="Arial" w:cs="Arial"/>
          <w:sz w:val="22"/>
          <w:szCs w:val="22"/>
          <w:u w:val="single"/>
          <w:lang w:val="es-ES_tradnl"/>
        </w:rPr>
      </w:pPr>
      <w:r>
        <w:rPr>
          <w:rFonts w:ascii="Arial" w:hAnsi="Arial" w:cs="Arial"/>
          <w:b/>
          <w:bCs/>
          <w:sz w:val="22"/>
          <w:szCs w:val="22"/>
          <w:u w:val="single"/>
          <w:lang w:val="es-ES_tradnl"/>
        </w:rPr>
        <w:t>Evaluación de impacto</w:t>
      </w:r>
    </w:p>
    <w:p w14:paraId="5C0ECE77" w14:textId="4C149FC6" w:rsidR="00145881" w:rsidRPr="00DA19F9" w:rsidRDefault="00145881" w:rsidP="002E177E">
      <w:pPr>
        <w:pStyle w:val="Paragraph"/>
        <w:numPr>
          <w:ilvl w:val="1"/>
          <w:numId w:val="6"/>
        </w:numPr>
        <w:ind w:left="720" w:hanging="720"/>
        <w:rPr>
          <w:rFonts w:ascii="Arial" w:hAnsi="Arial" w:cs="Arial"/>
          <w:bCs/>
          <w:sz w:val="22"/>
          <w:szCs w:val="22"/>
          <w:lang w:val="es-ES_tradnl"/>
        </w:rPr>
      </w:pPr>
      <w:r>
        <w:rPr>
          <w:rFonts w:ascii="Arial" w:hAnsi="Arial" w:cs="Arial"/>
          <w:b/>
          <w:sz w:val="22"/>
          <w:szCs w:val="22"/>
          <w:lang w:val="es-ES_tradnl"/>
        </w:rPr>
        <w:t>Justificación de la metodología</w:t>
      </w:r>
      <w:r w:rsidR="00847F32">
        <w:rPr>
          <w:rFonts w:ascii="Arial" w:hAnsi="Arial" w:cs="Arial"/>
          <w:b/>
          <w:sz w:val="22"/>
          <w:szCs w:val="22"/>
          <w:lang w:val="es-ES_tradnl"/>
        </w:rPr>
        <w:t xml:space="preserve"> y </w:t>
      </w:r>
      <w:r w:rsidR="00847F32">
        <w:rPr>
          <w:rFonts w:ascii="Arial" w:hAnsi="Arial" w:cs="Arial"/>
          <w:b/>
          <w:bCs/>
          <w:sz w:val="22"/>
          <w:szCs w:val="22"/>
          <w:lang w:val="es-ES_tradnl"/>
        </w:rPr>
        <w:t>preguntas de evaluación</w:t>
      </w:r>
      <w:r>
        <w:rPr>
          <w:rFonts w:ascii="Arial" w:hAnsi="Arial" w:cs="Arial"/>
          <w:b/>
          <w:sz w:val="22"/>
          <w:szCs w:val="22"/>
          <w:lang w:val="es-ES_tradnl"/>
        </w:rPr>
        <w:t xml:space="preserve">. </w:t>
      </w:r>
      <w:r>
        <w:rPr>
          <w:rFonts w:ascii="Arial" w:hAnsi="Arial" w:cs="Arial"/>
          <w:bCs/>
          <w:sz w:val="22"/>
          <w:szCs w:val="22"/>
          <w:lang w:val="es-ES_tradnl"/>
        </w:rPr>
        <w:t xml:space="preserve">La propuesta de evaluación de impacto contempla la utilización de una metodología </w:t>
      </w:r>
      <w:proofErr w:type="spellStart"/>
      <w:r w:rsidRPr="00522B95">
        <w:rPr>
          <w:rFonts w:ascii="Arial" w:hAnsi="Arial" w:cs="Arial"/>
          <w:sz w:val="22"/>
          <w:szCs w:val="22"/>
          <w:lang w:val="es-ES_tradnl"/>
        </w:rPr>
        <w:t>cuasi</w:t>
      </w:r>
      <w:r w:rsidR="00B204FC">
        <w:rPr>
          <w:rFonts w:ascii="Arial" w:hAnsi="Arial" w:cs="Arial"/>
          <w:sz w:val="22"/>
          <w:szCs w:val="22"/>
          <w:lang w:val="es-ES_tradnl"/>
        </w:rPr>
        <w:noBreakHyphen/>
      </w:r>
      <w:r w:rsidRPr="00522B95">
        <w:rPr>
          <w:rFonts w:ascii="Arial" w:hAnsi="Arial" w:cs="Arial"/>
          <w:sz w:val="22"/>
          <w:szCs w:val="22"/>
          <w:lang w:val="es-ES_tradnl"/>
        </w:rPr>
        <w:t>experimental</w:t>
      </w:r>
      <w:proofErr w:type="spellEnd"/>
      <w:r w:rsidRPr="00522B95">
        <w:rPr>
          <w:rFonts w:ascii="Arial" w:hAnsi="Arial" w:cs="Arial"/>
          <w:sz w:val="22"/>
          <w:szCs w:val="22"/>
          <w:lang w:val="es-ES_tradnl"/>
        </w:rPr>
        <w:t xml:space="preserve"> de diferencia</w:t>
      </w:r>
      <w:r w:rsidR="002360EE">
        <w:rPr>
          <w:rFonts w:ascii="Arial" w:hAnsi="Arial" w:cs="Arial"/>
          <w:sz w:val="22"/>
          <w:szCs w:val="22"/>
          <w:lang w:val="es-ES_tradnl"/>
        </w:rPr>
        <w:noBreakHyphen/>
      </w:r>
      <w:r w:rsidRPr="00522B95">
        <w:rPr>
          <w:rFonts w:ascii="Arial" w:hAnsi="Arial" w:cs="Arial"/>
          <w:sz w:val="22"/>
          <w:szCs w:val="22"/>
          <w:lang w:val="es-ES_tradnl"/>
        </w:rPr>
        <w:t>en</w:t>
      </w:r>
      <w:r w:rsidR="002360EE">
        <w:rPr>
          <w:rFonts w:ascii="Arial" w:hAnsi="Arial" w:cs="Arial"/>
          <w:sz w:val="22"/>
          <w:szCs w:val="22"/>
          <w:lang w:val="es-ES_tradnl"/>
        </w:rPr>
        <w:noBreakHyphen/>
      </w:r>
      <w:r w:rsidRPr="00522B95">
        <w:rPr>
          <w:rFonts w:ascii="Arial" w:hAnsi="Arial" w:cs="Arial"/>
          <w:sz w:val="22"/>
          <w:szCs w:val="22"/>
          <w:lang w:val="es-ES_tradnl"/>
        </w:rPr>
        <w:t>diferencias</w:t>
      </w:r>
      <w:r>
        <w:rPr>
          <w:rFonts w:ascii="Arial" w:hAnsi="Arial" w:cs="Arial"/>
          <w:sz w:val="22"/>
          <w:szCs w:val="22"/>
          <w:lang w:val="es-ES_tradnl"/>
        </w:rPr>
        <w:t xml:space="preserve">. </w:t>
      </w:r>
      <w:r w:rsidR="00633683">
        <w:rPr>
          <w:rFonts w:ascii="Arial" w:hAnsi="Arial" w:cs="Arial"/>
          <w:sz w:val="22"/>
          <w:szCs w:val="22"/>
          <w:lang w:val="es-ES_tradnl"/>
        </w:rPr>
        <w:t xml:space="preserve">En el diseño de la estrategia se incluirán como preguntas de evaluación las siguientes: </w:t>
      </w:r>
      <w:r w:rsidR="00633683">
        <w:rPr>
          <w:rFonts w:ascii="Arial" w:hAnsi="Arial" w:cs="Arial"/>
          <w:bCs/>
          <w:sz w:val="22"/>
          <w:szCs w:val="22"/>
          <w:lang w:val="es-ES_tradnl"/>
        </w:rPr>
        <w:t>(i) cuál ha sido el impacto de la intervención sobre los ingresos por ventas de las MIPYME apoyadas por el programa; (</w:t>
      </w:r>
      <w:proofErr w:type="spellStart"/>
      <w:r w:rsidR="00633683">
        <w:rPr>
          <w:rFonts w:ascii="Arial" w:hAnsi="Arial" w:cs="Arial"/>
          <w:bCs/>
          <w:sz w:val="22"/>
          <w:szCs w:val="22"/>
          <w:lang w:val="es-ES_tradnl"/>
        </w:rPr>
        <w:t>ii</w:t>
      </w:r>
      <w:proofErr w:type="spellEnd"/>
      <w:r w:rsidR="00633683">
        <w:rPr>
          <w:rFonts w:ascii="Arial" w:hAnsi="Arial" w:cs="Arial"/>
          <w:bCs/>
          <w:sz w:val="22"/>
          <w:szCs w:val="22"/>
          <w:lang w:val="es-ES_tradnl"/>
        </w:rPr>
        <w:t>)</w:t>
      </w:r>
      <w:r w:rsidR="00633683" w:rsidRPr="009A0F07">
        <w:rPr>
          <w:lang w:val="es-ES"/>
        </w:rPr>
        <w:t xml:space="preserve"> </w:t>
      </w:r>
      <w:r w:rsidR="00633683" w:rsidRPr="009A0F07">
        <w:rPr>
          <w:rFonts w:ascii="Arial" w:hAnsi="Arial" w:cs="Arial"/>
          <w:bCs/>
          <w:sz w:val="22"/>
          <w:szCs w:val="22"/>
          <w:lang w:val="es-ES_tradnl"/>
        </w:rPr>
        <w:t xml:space="preserve">cuál ha sido el impacto del programa sobre el porcentaje de empleo en </w:t>
      </w:r>
      <w:r w:rsidR="00633683">
        <w:rPr>
          <w:rFonts w:ascii="Arial" w:hAnsi="Arial" w:cs="Arial"/>
          <w:bCs/>
          <w:sz w:val="22"/>
          <w:szCs w:val="22"/>
          <w:lang w:val="es-ES_tradnl"/>
        </w:rPr>
        <w:t xml:space="preserve">las </w:t>
      </w:r>
      <w:r w:rsidR="00633683" w:rsidRPr="009A0F07">
        <w:rPr>
          <w:rFonts w:ascii="Arial" w:hAnsi="Arial" w:cs="Arial"/>
          <w:bCs/>
          <w:sz w:val="22"/>
          <w:szCs w:val="22"/>
          <w:lang w:val="es-ES_tradnl"/>
        </w:rPr>
        <w:t xml:space="preserve">MIPYME </w:t>
      </w:r>
      <w:r w:rsidR="00633683">
        <w:rPr>
          <w:rFonts w:ascii="Arial" w:hAnsi="Arial" w:cs="Arial"/>
          <w:bCs/>
          <w:sz w:val="22"/>
          <w:szCs w:val="22"/>
          <w:lang w:val="es-ES_tradnl"/>
        </w:rPr>
        <w:t xml:space="preserve">apoyadas </w:t>
      </w:r>
      <w:r w:rsidR="00633683" w:rsidRPr="009A0F07">
        <w:rPr>
          <w:rFonts w:ascii="Arial" w:hAnsi="Arial" w:cs="Arial"/>
          <w:bCs/>
          <w:sz w:val="22"/>
          <w:szCs w:val="22"/>
          <w:lang w:val="es-ES_tradnl"/>
        </w:rPr>
        <w:t>frente el empleo total en el país</w:t>
      </w:r>
      <w:r w:rsidR="00633683">
        <w:rPr>
          <w:rFonts w:ascii="Arial" w:hAnsi="Arial" w:cs="Arial"/>
          <w:bCs/>
          <w:sz w:val="22"/>
          <w:szCs w:val="22"/>
          <w:lang w:val="es-ES_tradnl"/>
        </w:rPr>
        <w:t>. Adicionalmente, se estaría buscando responder a la pregunta, (</w:t>
      </w:r>
      <w:proofErr w:type="spellStart"/>
      <w:r w:rsidR="00633683">
        <w:rPr>
          <w:rFonts w:ascii="Arial" w:hAnsi="Arial" w:cs="Arial"/>
          <w:bCs/>
          <w:sz w:val="22"/>
          <w:szCs w:val="22"/>
          <w:lang w:val="es-ES_tradnl"/>
        </w:rPr>
        <w:t>iii</w:t>
      </w:r>
      <w:proofErr w:type="spellEnd"/>
      <w:r w:rsidR="00633683">
        <w:rPr>
          <w:rFonts w:ascii="Arial" w:hAnsi="Arial" w:cs="Arial"/>
          <w:bCs/>
          <w:sz w:val="22"/>
          <w:szCs w:val="22"/>
          <w:lang w:val="es-ES_tradnl"/>
        </w:rPr>
        <w:t xml:space="preserve">) cuál ha sido la tasa de supervivencia de la MIPYME -definida como la continuidad de la operación de las mismas- apoyadas con recursos del programa frente a aquellas que, siendo potencialmente elegibles para recibir estos recursos, no fueron apoyadas. Para responder a las preguntas anteriores, será imprescindible recurrir a la trazabilidad que las IFI mantienen de </w:t>
      </w:r>
      <w:r w:rsidR="00847F32">
        <w:rPr>
          <w:rFonts w:ascii="Arial" w:hAnsi="Arial" w:cs="Arial"/>
          <w:bCs/>
          <w:sz w:val="22"/>
          <w:szCs w:val="22"/>
          <w:lang w:val="es-ES_tradnl"/>
        </w:rPr>
        <w:t xml:space="preserve">sus clientes. </w:t>
      </w:r>
      <w:r w:rsidR="00633683">
        <w:rPr>
          <w:rFonts w:ascii="Arial" w:hAnsi="Arial" w:cs="Arial"/>
          <w:bCs/>
          <w:sz w:val="22"/>
          <w:szCs w:val="22"/>
          <w:lang w:val="es-ES_tradnl"/>
        </w:rPr>
        <w:t>En ese sentido, algunas instituciones han estado recogiendo información de seguimiento de sus clientes desde el principio de la crisis</w:t>
      </w:r>
      <w:r w:rsidR="00847F32">
        <w:rPr>
          <w:rFonts w:ascii="Arial" w:hAnsi="Arial" w:cs="Arial"/>
          <w:bCs/>
          <w:sz w:val="22"/>
          <w:szCs w:val="22"/>
          <w:lang w:val="es-ES_tradnl"/>
        </w:rPr>
        <w:t xml:space="preserve"> del COVID que pueden servir de punto de partida para la evaluación y sobre la que se debería continuar y construir para las líneas intermedia y final; así como para componer los grupos de tratamiento y control. </w:t>
      </w:r>
      <w:r w:rsidR="00633683">
        <w:rPr>
          <w:rFonts w:ascii="Arial" w:hAnsi="Arial" w:cs="Arial"/>
          <w:bCs/>
          <w:sz w:val="22"/>
          <w:szCs w:val="22"/>
          <w:lang w:val="es-ES_tradnl"/>
        </w:rPr>
        <w:t xml:space="preserve"> </w:t>
      </w:r>
    </w:p>
    <w:p w14:paraId="3F139C39" w14:textId="52E4D33D" w:rsidR="00145881" w:rsidRPr="00893D6A" w:rsidRDefault="00145881" w:rsidP="002E177E">
      <w:pPr>
        <w:pStyle w:val="Paragraph"/>
        <w:numPr>
          <w:ilvl w:val="1"/>
          <w:numId w:val="6"/>
        </w:numPr>
        <w:ind w:left="720" w:hanging="720"/>
        <w:rPr>
          <w:rFonts w:ascii="Arial" w:hAnsi="Arial" w:cs="Arial"/>
          <w:bCs/>
          <w:sz w:val="22"/>
          <w:szCs w:val="22"/>
          <w:lang w:val="es-ES_tradnl"/>
        </w:rPr>
      </w:pPr>
      <w:r w:rsidRPr="004714E0">
        <w:rPr>
          <w:rFonts w:ascii="Arial" w:hAnsi="Arial" w:cs="Arial"/>
          <w:b/>
          <w:bCs/>
          <w:sz w:val="22"/>
          <w:szCs w:val="22"/>
          <w:lang w:val="es-ES_tradnl"/>
        </w:rPr>
        <w:t>Aspectos técnicos de la metodología</w:t>
      </w:r>
      <w:r w:rsidRPr="00266DE0">
        <w:rPr>
          <w:rFonts w:ascii="Arial" w:hAnsi="Arial" w:cs="Arial"/>
          <w:b/>
          <w:bCs/>
          <w:sz w:val="22"/>
          <w:szCs w:val="22"/>
          <w:lang w:val="es-ES_tradnl"/>
        </w:rPr>
        <w:t>.</w:t>
      </w:r>
      <w:r w:rsidR="00893D6A">
        <w:rPr>
          <w:rFonts w:ascii="Arial" w:hAnsi="Arial" w:cs="Arial"/>
          <w:sz w:val="22"/>
          <w:szCs w:val="22"/>
          <w:lang w:val="es-ES_tradnl"/>
        </w:rPr>
        <w:t xml:space="preserve"> Una vez determinada la especificación concreta del modelo, se completará el diseño de la operación con </w:t>
      </w:r>
      <w:r w:rsidR="00893D6A" w:rsidRPr="00893D6A">
        <w:rPr>
          <w:rFonts w:ascii="Arial" w:hAnsi="Arial" w:cs="Arial"/>
          <w:sz w:val="22"/>
          <w:szCs w:val="22"/>
          <w:lang w:val="es-ES_tradnl"/>
        </w:rPr>
        <w:t>la</w:t>
      </w:r>
      <w:r w:rsidRPr="00893D6A">
        <w:rPr>
          <w:rFonts w:ascii="Arial" w:hAnsi="Arial" w:cs="Arial"/>
          <w:sz w:val="22"/>
          <w:szCs w:val="22"/>
          <w:lang w:val="es-ES_tradnl"/>
        </w:rPr>
        <w:t xml:space="preserve"> definición de los grupos de tratamiento y control y sus especificidades, los cálculos de poder estadísticos para la determinación del tamaño muestral y las fuentes de datos</w:t>
      </w:r>
      <w:r w:rsidR="00893D6A" w:rsidRPr="00893D6A">
        <w:rPr>
          <w:rFonts w:ascii="Arial" w:hAnsi="Arial" w:cs="Arial"/>
          <w:sz w:val="22"/>
          <w:szCs w:val="22"/>
          <w:lang w:val="es-ES_tradnl"/>
        </w:rPr>
        <w:t>, siendo de antemano fundamental la colaboración con IFI relevantes en la distribución del crédito en este programa</w:t>
      </w:r>
      <w:r w:rsidR="00893D6A">
        <w:rPr>
          <w:rStyle w:val="FootnoteReference"/>
          <w:rFonts w:ascii="Arial" w:hAnsi="Arial" w:cs="Arial"/>
          <w:sz w:val="22"/>
          <w:szCs w:val="22"/>
          <w:lang w:val="es-ES_tradnl"/>
        </w:rPr>
        <w:footnoteReference w:id="50"/>
      </w:r>
      <w:r w:rsidR="00AE297E" w:rsidRPr="00893D6A">
        <w:rPr>
          <w:rFonts w:ascii="Arial" w:hAnsi="Arial" w:cs="Arial"/>
          <w:sz w:val="22"/>
          <w:szCs w:val="22"/>
          <w:lang w:val="es-ES_tradnl"/>
        </w:rPr>
        <w:t>.</w:t>
      </w:r>
    </w:p>
    <w:p w14:paraId="6E5D0D3F" w14:textId="02C13552" w:rsidR="00145881" w:rsidRDefault="00145881" w:rsidP="002E177E">
      <w:pPr>
        <w:pStyle w:val="Paragraph"/>
        <w:numPr>
          <w:ilvl w:val="1"/>
          <w:numId w:val="6"/>
        </w:numPr>
        <w:ind w:left="720" w:hanging="720"/>
        <w:rPr>
          <w:rFonts w:ascii="Arial" w:hAnsi="Arial" w:cs="Arial"/>
          <w:bCs/>
          <w:sz w:val="22"/>
          <w:szCs w:val="22"/>
          <w:lang w:val="es-ES_tradnl"/>
        </w:rPr>
      </w:pPr>
      <w:r>
        <w:rPr>
          <w:rFonts w:ascii="Arial" w:hAnsi="Arial" w:cs="Arial"/>
          <w:b/>
          <w:bCs/>
          <w:sz w:val="22"/>
          <w:szCs w:val="22"/>
          <w:lang w:val="es-ES_tradnl"/>
        </w:rPr>
        <w:t>Presupuesto</w:t>
      </w:r>
      <w:r w:rsidRPr="00266DE0">
        <w:rPr>
          <w:rFonts w:ascii="Arial" w:hAnsi="Arial" w:cs="Arial"/>
          <w:b/>
          <w:sz w:val="22"/>
          <w:szCs w:val="22"/>
          <w:lang w:val="es-ES_tradnl"/>
        </w:rPr>
        <w:t>.</w:t>
      </w:r>
      <w:r>
        <w:rPr>
          <w:rFonts w:ascii="Arial" w:hAnsi="Arial" w:cs="Arial"/>
          <w:bCs/>
          <w:sz w:val="22"/>
          <w:szCs w:val="22"/>
          <w:lang w:val="es-ES_tradnl"/>
        </w:rPr>
        <w:t xml:space="preserve"> </w:t>
      </w:r>
      <w:r w:rsidR="008226A5">
        <w:rPr>
          <w:rFonts w:ascii="Arial" w:hAnsi="Arial" w:cs="Arial"/>
          <w:bCs/>
          <w:sz w:val="22"/>
          <w:szCs w:val="22"/>
          <w:lang w:val="es-ES_tradnl"/>
        </w:rPr>
        <w:t>Atendiendo a experiencias anteriores y las fuentes de información previstas para esta evaluación, se ha estimado un presupuesto de US$40.000.</w:t>
      </w:r>
    </w:p>
    <w:p w14:paraId="02D2223A" w14:textId="25DB7E5F" w:rsidR="00145881" w:rsidRPr="002A5595" w:rsidRDefault="00145881" w:rsidP="002E177E">
      <w:pPr>
        <w:pStyle w:val="Paragraph"/>
        <w:numPr>
          <w:ilvl w:val="1"/>
          <w:numId w:val="6"/>
        </w:numPr>
        <w:ind w:left="720" w:hanging="720"/>
        <w:rPr>
          <w:rFonts w:ascii="Arial" w:hAnsi="Arial" w:cs="Arial"/>
          <w:bCs/>
          <w:sz w:val="22"/>
          <w:szCs w:val="22"/>
          <w:lang w:val="es-ES_tradnl"/>
        </w:rPr>
      </w:pPr>
      <w:r>
        <w:rPr>
          <w:rFonts w:ascii="Arial" w:hAnsi="Arial" w:cs="Arial"/>
          <w:b/>
          <w:bCs/>
          <w:sz w:val="22"/>
          <w:szCs w:val="22"/>
          <w:lang w:val="es-ES_tradnl"/>
        </w:rPr>
        <w:t>Plazo</w:t>
      </w:r>
      <w:r w:rsidRPr="00266DE0">
        <w:rPr>
          <w:rFonts w:ascii="Arial" w:hAnsi="Arial" w:cs="Arial"/>
          <w:b/>
          <w:sz w:val="22"/>
          <w:szCs w:val="22"/>
          <w:lang w:val="es-ES_tradnl"/>
        </w:rPr>
        <w:t>.</w:t>
      </w:r>
      <w:r>
        <w:rPr>
          <w:rFonts w:ascii="Arial" w:hAnsi="Arial" w:cs="Arial"/>
          <w:bCs/>
          <w:sz w:val="22"/>
          <w:szCs w:val="22"/>
          <w:lang w:val="es-ES_tradnl"/>
        </w:rPr>
        <w:t xml:space="preserve"> </w:t>
      </w:r>
      <w:r w:rsidR="008226A5">
        <w:rPr>
          <w:rFonts w:ascii="Arial" w:hAnsi="Arial" w:cs="Arial"/>
          <w:bCs/>
          <w:sz w:val="22"/>
          <w:szCs w:val="22"/>
          <w:lang w:val="es-ES_tradnl"/>
        </w:rPr>
        <w:t xml:space="preserve">La evaluación de impacto se deberá realizar </w:t>
      </w:r>
      <w:r w:rsidR="00D406FF">
        <w:rPr>
          <w:rFonts w:ascii="Arial" w:hAnsi="Arial" w:cs="Arial"/>
          <w:bCs/>
          <w:sz w:val="22"/>
          <w:szCs w:val="22"/>
          <w:lang w:val="es-ES_tradnl"/>
        </w:rPr>
        <w:t xml:space="preserve">hasta un plazo máximo de 12 </w:t>
      </w:r>
      <w:r w:rsidR="00D406FF" w:rsidRPr="001F731F">
        <w:rPr>
          <w:rFonts w:ascii="Arial" w:hAnsi="Arial" w:cs="Arial"/>
          <w:sz w:val="22"/>
          <w:szCs w:val="22"/>
          <w:lang w:val="es-ES_tradnl"/>
        </w:rPr>
        <w:t xml:space="preserve"> meses siguientes luego de alcanzar el 100% de los desembolsos.</w:t>
      </w:r>
    </w:p>
    <w:p w14:paraId="4A4893F5" w14:textId="77777777" w:rsidR="00145881" w:rsidRPr="00260085" w:rsidRDefault="00145881" w:rsidP="00145881">
      <w:pPr>
        <w:pStyle w:val="ListParagraph"/>
        <w:spacing w:before="240" w:after="120"/>
        <w:ind w:left="360"/>
        <w:jc w:val="center"/>
        <w:rPr>
          <w:rFonts w:ascii="Arial" w:hAnsi="Arial" w:cs="Arial"/>
          <w:b/>
          <w:sz w:val="18"/>
          <w:szCs w:val="18"/>
        </w:rPr>
      </w:pPr>
      <w:r w:rsidRPr="00260085">
        <w:rPr>
          <w:rFonts w:ascii="Arial" w:hAnsi="Arial" w:cs="Arial"/>
          <w:b/>
          <w:sz w:val="18"/>
          <w:szCs w:val="18"/>
        </w:rPr>
        <w:t>Cuadro 4. Plan de trabajo para las actividades de evaluación</w:t>
      </w:r>
    </w:p>
    <w:tbl>
      <w:tblPr>
        <w:tblW w:w="8360" w:type="dxa"/>
        <w:jc w:val="center"/>
        <w:tblLayout w:type="fixed"/>
        <w:tblLook w:val="04A0" w:firstRow="1" w:lastRow="0" w:firstColumn="1" w:lastColumn="0" w:noHBand="0" w:noVBand="1"/>
      </w:tblPr>
      <w:tblGrid>
        <w:gridCol w:w="1941"/>
        <w:gridCol w:w="547"/>
        <w:gridCol w:w="548"/>
        <w:gridCol w:w="548"/>
        <w:gridCol w:w="548"/>
        <w:gridCol w:w="548"/>
        <w:gridCol w:w="1250"/>
        <w:gridCol w:w="1080"/>
        <w:gridCol w:w="1350"/>
      </w:tblGrid>
      <w:tr w:rsidR="00102C96" w:rsidRPr="00260085" w14:paraId="1F3FDFB5" w14:textId="77777777" w:rsidTr="009841D0">
        <w:trPr>
          <w:trHeight w:hRule="exact" w:val="618"/>
          <w:tblHeader/>
          <w:jc w:val="center"/>
        </w:trPr>
        <w:tc>
          <w:tcPr>
            <w:tcW w:w="1941"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hideMark/>
          </w:tcPr>
          <w:p w14:paraId="5D60FA3D" w14:textId="77777777" w:rsidR="00D406FF" w:rsidRPr="00260085" w:rsidRDefault="00D406FF" w:rsidP="002F348C">
            <w:pPr>
              <w:rPr>
                <w:rFonts w:ascii="Arial" w:hAnsi="Arial" w:cs="Arial"/>
                <w:b/>
                <w:bCs/>
                <w:color w:val="FFFFFF" w:themeColor="background1"/>
                <w:sz w:val="18"/>
                <w:szCs w:val="18"/>
                <w:lang w:val="en-US"/>
              </w:rPr>
            </w:pPr>
            <w:r w:rsidRPr="00260085">
              <w:rPr>
                <w:rFonts w:ascii="Arial" w:hAnsi="Arial" w:cs="Arial"/>
                <w:b/>
                <w:bCs/>
                <w:color w:val="FFFFFF" w:themeColor="background1"/>
                <w:sz w:val="18"/>
                <w:szCs w:val="18"/>
                <w:lang w:val="es-ES"/>
              </w:rPr>
              <w:lastRenderedPageBreak/>
              <w:t>Actividades y Productos</w:t>
            </w:r>
          </w:p>
        </w:tc>
        <w:tc>
          <w:tcPr>
            <w:tcW w:w="547"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tcPr>
          <w:p w14:paraId="6C6CE700" w14:textId="77777777" w:rsidR="00D406FF" w:rsidRPr="00260085" w:rsidRDefault="00D406FF" w:rsidP="002F348C">
            <w:pPr>
              <w:ind w:left="-19" w:right="-108"/>
              <w:jc w:val="center"/>
              <w:rPr>
                <w:rFonts w:ascii="Arial" w:hAnsi="Arial" w:cs="Arial"/>
                <w:b/>
                <w:bCs/>
                <w:color w:val="FFFFFF" w:themeColor="background1"/>
                <w:sz w:val="18"/>
                <w:szCs w:val="18"/>
                <w:lang w:val="es-ES"/>
              </w:rPr>
            </w:pPr>
            <w:r w:rsidRPr="00260085">
              <w:rPr>
                <w:rFonts w:ascii="Arial" w:hAnsi="Arial" w:cs="Arial"/>
                <w:b/>
                <w:bCs/>
                <w:color w:val="FFFFFF" w:themeColor="background1"/>
                <w:sz w:val="18"/>
                <w:szCs w:val="18"/>
                <w:lang w:val="es-ES"/>
              </w:rPr>
              <w:t>Año 1</w:t>
            </w:r>
          </w:p>
        </w:tc>
        <w:tc>
          <w:tcPr>
            <w:tcW w:w="548"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tcPr>
          <w:p w14:paraId="28E6D9F8" w14:textId="77777777" w:rsidR="00D406FF" w:rsidRPr="00260085" w:rsidRDefault="00D406FF" w:rsidP="002F348C">
            <w:pPr>
              <w:ind w:left="-19" w:right="-108"/>
              <w:jc w:val="center"/>
              <w:rPr>
                <w:rFonts w:ascii="Arial" w:hAnsi="Arial" w:cs="Arial"/>
                <w:b/>
                <w:bCs/>
                <w:color w:val="FFFFFF" w:themeColor="background1"/>
                <w:sz w:val="18"/>
                <w:szCs w:val="18"/>
                <w:lang w:val="es-ES"/>
              </w:rPr>
            </w:pPr>
            <w:r w:rsidRPr="00260085">
              <w:rPr>
                <w:rFonts w:ascii="Arial" w:hAnsi="Arial" w:cs="Arial"/>
                <w:b/>
                <w:bCs/>
                <w:color w:val="FFFFFF" w:themeColor="background1"/>
                <w:sz w:val="18"/>
                <w:szCs w:val="18"/>
                <w:lang w:val="es-ES"/>
              </w:rPr>
              <w:t>Año 2</w:t>
            </w:r>
          </w:p>
        </w:tc>
        <w:tc>
          <w:tcPr>
            <w:tcW w:w="548"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tcPr>
          <w:p w14:paraId="3B44D962" w14:textId="77777777" w:rsidR="00D406FF" w:rsidRPr="00260085" w:rsidRDefault="00D406FF" w:rsidP="002F348C">
            <w:pPr>
              <w:ind w:left="-19" w:right="-108"/>
              <w:jc w:val="center"/>
              <w:rPr>
                <w:rFonts w:ascii="Arial" w:hAnsi="Arial" w:cs="Arial"/>
                <w:b/>
                <w:bCs/>
                <w:color w:val="FFFFFF" w:themeColor="background1"/>
                <w:sz w:val="18"/>
                <w:szCs w:val="18"/>
                <w:lang w:val="es-ES"/>
              </w:rPr>
            </w:pPr>
            <w:r w:rsidRPr="00260085">
              <w:rPr>
                <w:rFonts w:ascii="Arial" w:hAnsi="Arial" w:cs="Arial"/>
                <w:b/>
                <w:bCs/>
                <w:color w:val="FFFFFF" w:themeColor="background1"/>
                <w:sz w:val="18"/>
                <w:szCs w:val="18"/>
                <w:lang w:val="es-ES"/>
              </w:rPr>
              <w:t>Año 3</w:t>
            </w:r>
          </w:p>
        </w:tc>
        <w:tc>
          <w:tcPr>
            <w:tcW w:w="548"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tcPr>
          <w:p w14:paraId="5B5459B8" w14:textId="77777777" w:rsidR="00D406FF" w:rsidRPr="00260085" w:rsidRDefault="00D406FF" w:rsidP="002F348C">
            <w:pPr>
              <w:ind w:left="-19" w:right="-108"/>
              <w:jc w:val="center"/>
              <w:rPr>
                <w:rFonts w:ascii="Arial" w:hAnsi="Arial" w:cs="Arial"/>
                <w:b/>
                <w:bCs/>
                <w:color w:val="FFFFFF" w:themeColor="background1"/>
                <w:sz w:val="18"/>
                <w:szCs w:val="18"/>
                <w:lang w:val="es-ES"/>
              </w:rPr>
            </w:pPr>
            <w:r w:rsidRPr="00260085">
              <w:rPr>
                <w:rFonts w:ascii="Arial" w:hAnsi="Arial" w:cs="Arial"/>
                <w:b/>
                <w:bCs/>
                <w:color w:val="FFFFFF" w:themeColor="background1"/>
                <w:sz w:val="18"/>
                <w:szCs w:val="18"/>
                <w:lang w:val="es-ES"/>
              </w:rPr>
              <w:t>Año 4</w:t>
            </w:r>
          </w:p>
        </w:tc>
        <w:tc>
          <w:tcPr>
            <w:tcW w:w="548"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tcPr>
          <w:p w14:paraId="07A99D5B" w14:textId="77777777" w:rsidR="00D406FF" w:rsidRDefault="00D406FF" w:rsidP="009841D0">
            <w:pPr>
              <w:spacing w:after="0"/>
              <w:ind w:left="-104" w:right="-108"/>
              <w:jc w:val="center"/>
              <w:rPr>
                <w:rFonts w:ascii="Arial" w:hAnsi="Arial" w:cs="Arial"/>
                <w:b/>
                <w:bCs/>
                <w:color w:val="FFFFFF" w:themeColor="background1"/>
                <w:sz w:val="18"/>
                <w:szCs w:val="18"/>
                <w:lang w:val="es-ES"/>
              </w:rPr>
            </w:pPr>
            <w:r w:rsidRPr="00260085">
              <w:rPr>
                <w:rFonts w:ascii="Arial" w:hAnsi="Arial" w:cs="Arial"/>
                <w:b/>
                <w:bCs/>
                <w:color w:val="FFFFFF" w:themeColor="background1"/>
                <w:sz w:val="18"/>
                <w:szCs w:val="18"/>
                <w:lang w:val="es-ES"/>
              </w:rPr>
              <w:t xml:space="preserve">Año </w:t>
            </w:r>
          </w:p>
          <w:p w14:paraId="7D3C93F7" w14:textId="45F29E24" w:rsidR="00D406FF" w:rsidRPr="00260085" w:rsidRDefault="00D406FF" w:rsidP="009841D0">
            <w:pPr>
              <w:spacing w:after="0"/>
              <w:ind w:left="-104" w:right="-108"/>
              <w:jc w:val="center"/>
              <w:rPr>
                <w:rFonts w:ascii="Arial" w:hAnsi="Arial" w:cs="Arial"/>
                <w:b/>
                <w:bCs/>
                <w:color w:val="FFFFFF" w:themeColor="background1"/>
                <w:sz w:val="18"/>
                <w:szCs w:val="18"/>
                <w:lang w:val="es-ES"/>
              </w:rPr>
            </w:pPr>
            <w:r>
              <w:rPr>
                <w:rFonts w:ascii="Arial" w:hAnsi="Arial" w:cs="Arial"/>
                <w:b/>
                <w:bCs/>
                <w:color w:val="FFFFFF" w:themeColor="background1"/>
                <w:sz w:val="18"/>
                <w:szCs w:val="18"/>
                <w:lang w:val="es-ES"/>
              </w:rPr>
              <w:t>5</w:t>
            </w:r>
          </w:p>
        </w:tc>
        <w:tc>
          <w:tcPr>
            <w:tcW w:w="1250"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hideMark/>
          </w:tcPr>
          <w:p w14:paraId="4E02CEDF" w14:textId="2EF161AA" w:rsidR="00D406FF" w:rsidRPr="00260085" w:rsidRDefault="00D406FF" w:rsidP="002F348C">
            <w:pPr>
              <w:ind w:left="-104" w:right="-108"/>
              <w:jc w:val="center"/>
              <w:rPr>
                <w:rFonts w:ascii="Arial" w:hAnsi="Arial" w:cs="Arial"/>
                <w:b/>
                <w:bCs/>
                <w:color w:val="FFFFFF" w:themeColor="background1"/>
                <w:sz w:val="18"/>
                <w:szCs w:val="18"/>
                <w:lang w:val="en-US"/>
              </w:rPr>
            </w:pPr>
            <w:r w:rsidRPr="00260085">
              <w:rPr>
                <w:rFonts w:ascii="Arial" w:hAnsi="Arial" w:cs="Arial"/>
                <w:b/>
                <w:bCs/>
                <w:color w:val="FFFFFF" w:themeColor="background1"/>
                <w:sz w:val="18"/>
                <w:szCs w:val="18"/>
                <w:lang w:val="es-ES"/>
              </w:rPr>
              <w:t>Responsable</w:t>
            </w:r>
          </w:p>
        </w:tc>
        <w:tc>
          <w:tcPr>
            <w:tcW w:w="1080" w:type="dxa"/>
            <w:tcBorders>
              <w:top w:val="single" w:sz="8" w:space="0" w:color="000000"/>
              <w:left w:val="nil"/>
              <w:bottom w:val="single" w:sz="8" w:space="0" w:color="000000"/>
              <w:right w:val="single" w:sz="8" w:space="0" w:color="000000"/>
            </w:tcBorders>
            <w:shd w:val="clear" w:color="auto" w:fill="AEAAAA" w:themeFill="background2" w:themeFillShade="BF"/>
            <w:vAlign w:val="center"/>
            <w:hideMark/>
          </w:tcPr>
          <w:p w14:paraId="5CC7117C" w14:textId="77777777" w:rsidR="00D406FF" w:rsidRPr="00260085" w:rsidRDefault="00D406FF" w:rsidP="002F348C">
            <w:pPr>
              <w:ind w:left="-106" w:right="-107"/>
              <w:jc w:val="center"/>
              <w:rPr>
                <w:rFonts w:ascii="Arial" w:hAnsi="Arial" w:cs="Arial"/>
                <w:b/>
                <w:bCs/>
                <w:color w:val="FFFFFF" w:themeColor="background1"/>
                <w:sz w:val="18"/>
                <w:szCs w:val="18"/>
                <w:lang w:val="en-US"/>
              </w:rPr>
            </w:pPr>
            <w:r w:rsidRPr="00260085">
              <w:rPr>
                <w:rFonts w:ascii="Arial" w:hAnsi="Arial" w:cs="Arial"/>
                <w:b/>
                <w:bCs/>
                <w:color w:val="FFFFFF" w:themeColor="background1"/>
                <w:sz w:val="18"/>
                <w:szCs w:val="18"/>
                <w:lang w:val="es-ES"/>
              </w:rPr>
              <w:t>Costo</w:t>
            </w:r>
            <w:r w:rsidRPr="00260085">
              <w:rPr>
                <w:rFonts w:ascii="Arial" w:hAnsi="Arial" w:cs="Arial"/>
                <w:b/>
                <w:bCs/>
                <w:color w:val="FFFFFF" w:themeColor="background1"/>
                <w:sz w:val="18"/>
                <w:szCs w:val="18"/>
                <w:lang w:val="en-US"/>
              </w:rPr>
              <w:t xml:space="preserve"> US$</w:t>
            </w:r>
          </w:p>
        </w:tc>
        <w:tc>
          <w:tcPr>
            <w:tcW w:w="1350"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hideMark/>
          </w:tcPr>
          <w:p w14:paraId="5BF69F08" w14:textId="77777777" w:rsidR="00D406FF" w:rsidRPr="00260085" w:rsidRDefault="00D406FF" w:rsidP="002F348C">
            <w:pPr>
              <w:ind w:left="-110" w:right="-106"/>
              <w:jc w:val="center"/>
              <w:rPr>
                <w:rFonts w:ascii="Arial" w:hAnsi="Arial" w:cs="Arial"/>
                <w:b/>
                <w:bCs/>
                <w:color w:val="FFFFFF" w:themeColor="background1"/>
                <w:sz w:val="18"/>
                <w:szCs w:val="18"/>
                <w:lang w:val="en-US"/>
              </w:rPr>
            </w:pPr>
            <w:r w:rsidRPr="00260085">
              <w:rPr>
                <w:rFonts w:ascii="Arial" w:hAnsi="Arial" w:cs="Arial"/>
                <w:b/>
                <w:bCs/>
                <w:color w:val="FFFFFF" w:themeColor="background1"/>
                <w:sz w:val="18"/>
                <w:szCs w:val="18"/>
                <w:lang w:val="es-ES"/>
              </w:rPr>
              <w:t>Financiamiento</w:t>
            </w:r>
          </w:p>
        </w:tc>
      </w:tr>
      <w:tr w:rsidR="00102C96" w:rsidRPr="00260085" w14:paraId="19CC7B4F" w14:textId="77777777" w:rsidTr="009841D0">
        <w:trPr>
          <w:trHeight w:hRule="exact" w:val="309"/>
          <w:jc w:val="center"/>
        </w:trPr>
        <w:tc>
          <w:tcPr>
            <w:tcW w:w="194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075E882" w14:textId="77777777" w:rsidR="00D406FF" w:rsidRPr="00260085" w:rsidRDefault="00D406FF" w:rsidP="002F348C">
            <w:pPr>
              <w:rPr>
                <w:rFonts w:ascii="Arial" w:hAnsi="Arial" w:cs="Arial"/>
                <w:color w:val="000000"/>
                <w:sz w:val="18"/>
                <w:szCs w:val="18"/>
                <w:lang w:val="es-ES"/>
              </w:rPr>
            </w:pPr>
            <w:r w:rsidRPr="00260085">
              <w:rPr>
                <w:rFonts w:ascii="Arial" w:hAnsi="Arial" w:cs="Arial"/>
                <w:color w:val="000000"/>
                <w:sz w:val="18"/>
                <w:szCs w:val="18"/>
                <w:lang w:val="es-ES"/>
              </w:rPr>
              <w:t>Evaluación reflexiva</w:t>
            </w:r>
          </w:p>
        </w:tc>
        <w:tc>
          <w:tcPr>
            <w:tcW w:w="547" w:type="dxa"/>
            <w:tcBorders>
              <w:top w:val="single" w:sz="8" w:space="0" w:color="000000"/>
              <w:left w:val="single" w:sz="8" w:space="0" w:color="000000"/>
              <w:bottom w:val="single" w:sz="8" w:space="0" w:color="000000"/>
              <w:right w:val="single" w:sz="8" w:space="0" w:color="000000"/>
            </w:tcBorders>
            <w:vAlign w:val="center"/>
          </w:tcPr>
          <w:p w14:paraId="7665C78C" w14:textId="77777777" w:rsidR="00D406FF" w:rsidRPr="00260085" w:rsidRDefault="00D406FF" w:rsidP="002F348C">
            <w:pPr>
              <w:rPr>
                <w:rFonts w:ascii="Arial" w:hAnsi="Arial" w:cs="Arial"/>
                <w:color w:val="000000"/>
                <w:sz w:val="18"/>
                <w:szCs w:val="18"/>
                <w:lang w:val="es-ES"/>
              </w:rPr>
            </w:pPr>
          </w:p>
        </w:tc>
        <w:tc>
          <w:tcPr>
            <w:tcW w:w="548" w:type="dxa"/>
            <w:tcBorders>
              <w:top w:val="single" w:sz="8" w:space="0" w:color="000000"/>
              <w:left w:val="single" w:sz="8" w:space="0" w:color="000000"/>
              <w:bottom w:val="single" w:sz="8" w:space="0" w:color="000000"/>
              <w:right w:val="single" w:sz="8" w:space="0" w:color="000000"/>
            </w:tcBorders>
            <w:vAlign w:val="center"/>
          </w:tcPr>
          <w:p w14:paraId="39A53DAC" w14:textId="77777777" w:rsidR="00D406FF" w:rsidRPr="00260085" w:rsidRDefault="00D406FF" w:rsidP="002F348C">
            <w:pPr>
              <w:ind w:left="-648" w:right="256"/>
              <w:rPr>
                <w:rFonts w:ascii="Arial" w:hAnsi="Arial" w:cs="Arial"/>
                <w:color w:val="000000"/>
                <w:sz w:val="18"/>
                <w:szCs w:val="18"/>
                <w:lang w:val="es-ES"/>
              </w:rPr>
            </w:pPr>
            <w:r w:rsidRPr="00260085">
              <w:rPr>
                <w:rFonts w:ascii="Arial" w:hAnsi="Arial" w:cs="Arial"/>
                <w:color w:val="000000"/>
                <w:sz w:val="18"/>
                <w:szCs w:val="18"/>
                <w:lang w:val="es-ES"/>
              </w:rPr>
              <w:t>X</w:t>
            </w:r>
          </w:p>
        </w:tc>
        <w:tc>
          <w:tcPr>
            <w:tcW w:w="548" w:type="dxa"/>
            <w:tcBorders>
              <w:top w:val="single" w:sz="8" w:space="0" w:color="000000"/>
              <w:left w:val="single" w:sz="8" w:space="0" w:color="000000"/>
              <w:bottom w:val="single" w:sz="8" w:space="0" w:color="000000"/>
              <w:right w:val="single" w:sz="8" w:space="0" w:color="000000"/>
            </w:tcBorders>
          </w:tcPr>
          <w:p w14:paraId="133BB40C" w14:textId="77777777" w:rsidR="00D406FF" w:rsidRPr="00260085" w:rsidRDefault="00D406FF" w:rsidP="002F348C">
            <w:pPr>
              <w:jc w:val="center"/>
              <w:rPr>
                <w:rFonts w:ascii="Arial" w:hAnsi="Arial" w:cs="Arial"/>
                <w:color w:val="000000"/>
                <w:sz w:val="18"/>
                <w:szCs w:val="18"/>
                <w:lang w:val="es-ES"/>
              </w:rPr>
            </w:pPr>
          </w:p>
        </w:tc>
        <w:tc>
          <w:tcPr>
            <w:tcW w:w="548" w:type="dxa"/>
            <w:tcBorders>
              <w:top w:val="single" w:sz="8" w:space="0" w:color="000000"/>
              <w:left w:val="single" w:sz="8" w:space="0" w:color="000000"/>
              <w:bottom w:val="single" w:sz="8" w:space="0" w:color="000000"/>
              <w:right w:val="single" w:sz="8" w:space="0" w:color="000000"/>
            </w:tcBorders>
          </w:tcPr>
          <w:p w14:paraId="7476EB8D" w14:textId="77777777" w:rsidR="00D406FF" w:rsidRPr="00260085" w:rsidRDefault="00D406FF" w:rsidP="002F348C">
            <w:pPr>
              <w:jc w:val="center"/>
              <w:rPr>
                <w:rFonts w:ascii="Arial" w:hAnsi="Arial" w:cs="Arial"/>
                <w:color w:val="000000"/>
                <w:sz w:val="18"/>
                <w:szCs w:val="18"/>
                <w:lang w:val="es-ES"/>
              </w:rPr>
            </w:pPr>
            <w:r w:rsidRPr="00260085">
              <w:rPr>
                <w:rFonts w:ascii="Arial" w:hAnsi="Arial" w:cs="Arial"/>
                <w:color w:val="000000"/>
                <w:sz w:val="18"/>
                <w:szCs w:val="18"/>
                <w:lang w:val="es-ES"/>
              </w:rPr>
              <w:t>X</w:t>
            </w:r>
          </w:p>
        </w:tc>
        <w:tc>
          <w:tcPr>
            <w:tcW w:w="548" w:type="dxa"/>
            <w:tcBorders>
              <w:top w:val="single" w:sz="8" w:space="0" w:color="000000"/>
              <w:left w:val="single" w:sz="8" w:space="0" w:color="000000"/>
              <w:bottom w:val="single" w:sz="8" w:space="0" w:color="000000"/>
              <w:right w:val="single" w:sz="8" w:space="0" w:color="000000"/>
            </w:tcBorders>
          </w:tcPr>
          <w:p w14:paraId="22AAA729" w14:textId="77777777" w:rsidR="00D406FF" w:rsidRPr="00260085" w:rsidRDefault="00D406FF" w:rsidP="002F348C">
            <w:pPr>
              <w:jc w:val="center"/>
              <w:rPr>
                <w:rFonts w:ascii="Arial" w:hAnsi="Arial" w:cs="Arial"/>
                <w:color w:val="000000"/>
                <w:sz w:val="18"/>
                <w:szCs w:val="18"/>
                <w:lang w:val="es-ES"/>
              </w:rPr>
            </w:pPr>
          </w:p>
        </w:tc>
        <w:tc>
          <w:tcPr>
            <w:tcW w:w="125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1376D19" w14:textId="18056970" w:rsidR="00D406FF" w:rsidRPr="00260085" w:rsidRDefault="00D406FF" w:rsidP="002F348C">
            <w:pPr>
              <w:jc w:val="center"/>
              <w:rPr>
                <w:rFonts w:ascii="Arial" w:hAnsi="Arial" w:cs="Arial"/>
                <w:color w:val="000000"/>
                <w:sz w:val="18"/>
                <w:szCs w:val="18"/>
                <w:lang w:val="en-US"/>
              </w:rPr>
            </w:pPr>
            <w:r w:rsidRPr="00260085">
              <w:rPr>
                <w:rFonts w:ascii="Arial" w:hAnsi="Arial" w:cs="Arial"/>
                <w:color w:val="000000"/>
                <w:sz w:val="18"/>
                <w:szCs w:val="18"/>
                <w:lang w:val="es-ES"/>
              </w:rPr>
              <w:t>BID/OE</w:t>
            </w:r>
          </w:p>
        </w:tc>
        <w:tc>
          <w:tcPr>
            <w:tcW w:w="1080" w:type="dxa"/>
            <w:tcBorders>
              <w:top w:val="single" w:sz="8" w:space="0" w:color="000000"/>
              <w:left w:val="nil"/>
              <w:bottom w:val="single" w:sz="8" w:space="0" w:color="000000"/>
              <w:right w:val="single" w:sz="8" w:space="0" w:color="000000"/>
            </w:tcBorders>
            <w:shd w:val="clear" w:color="auto" w:fill="auto"/>
            <w:vAlign w:val="center"/>
            <w:hideMark/>
          </w:tcPr>
          <w:p w14:paraId="166108B7" w14:textId="77777777" w:rsidR="00D406FF" w:rsidRPr="00260085" w:rsidRDefault="00D406FF" w:rsidP="002F348C">
            <w:pPr>
              <w:ind w:left="-17"/>
              <w:jc w:val="right"/>
              <w:rPr>
                <w:rFonts w:ascii="Arial" w:hAnsi="Arial" w:cs="Arial"/>
                <w:color w:val="000000"/>
                <w:sz w:val="18"/>
                <w:szCs w:val="18"/>
                <w:lang w:val="en-US"/>
              </w:rPr>
            </w:pPr>
            <w:r w:rsidRPr="00260085">
              <w:rPr>
                <w:rFonts w:ascii="Arial" w:hAnsi="Arial" w:cs="Arial"/>
                <w:color w:val="000000"/>
                <w:sz w:val="18"/>
                <w:szCs w:val="18"/>
                <w:lang w:val="es-BO"/>
              </w:rPr>
              <w:t>8.000</w:t>
            </w:r>
          </w:p>
        </w:tc>
        <w:tc>
          <w:tcPr>
            <w:tcW w:w="1350" w:type="dxa"/>
            <w:tcBorders>
              <w:top w:val="single" w:sz="8" w:space="0" w:color="000000"/>
              <w:left w:val="nil"/>
              <w:bottom w:val="single" w:sz="8" w:space="0" w:color="000000"/>
              <w:right w:val="single" w:sz="8" w:space="0" w:color="000000"/>
            </w:tcBorders>
            <w:shd w:val="clear" w:color="auto" w:fill="auto"/>
            <w:vAlign w:val="center"/>
            <w:hideMark/>
          </w:tcPr>
          <w:p w14:paraId="2398038A" w14:textId="24CB02E2" w:rsidR="00D406FF" w:rsidRPr="00260085" w:rsidRDefault="00D406FF" w:rsidP="002F348C">
            <w:pPr>
              <w:rPr>
                <w:rFonts w:ascii="Arial" w:hAnsi="Arial" w:cs="Arial"/>
                <w:color w:val="000000"/>
                <w:sz w:val="18"/>
                <w:szCs w:val="18"/>
                <w:lang w:val="en-US"/>
              </w:rPr>
            </w:pPr>
            <w:r w:rsidRPr="00260085">
              <w:rPr>
                <w:rFonts w:ascii="Arial" w:hAnsi="Arial" w:cs="Arial"/>
                <w:color w:val="000000"/>
                <w:sz w:val="18"/>
                <w:szCs w:val="18"/>
                <w:lang w:val="en-US"/>
              </w:rPr>
              <w:t>OE/BID</w:t>
            </w:r>
          </w:p>
        </w:tc>
      </w:tr>
      <w:tr w:rsidR="00102C96" w:rsidRPr="00260085" w14:paraId="192E99F7" w14:textId="77777777" w:rsidTr="009841D0">
        <w:trPr>
          <w:trHeight w:hRule="exact" w:val="497"/>
          <w:jc w:val="center"/>
        </w:trPr>
        <w:tc>
          <w:tcPr>
            <w:tcW w:w="194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A345B0" w14:textId="77777777" w:rsidR="00D406FF" w:rsidRPr="00260085" w:rsidRDefault="00D406FF" w:rsidP="008226A5">
            <w:pPr>
              <w:rPr>
                <w:rFonts w:ascii="Arial" w:hAnsi="Arial" w:cs="Arial"/>
                <w:color w:val="000000"/>
                <w:sz w:val="18"/>
                <w:szCs w:val="18"/>
                <w:lang w:val="es-ES"/>
              </w:rPr>
            </w:pPr>
            <w:r w:rsidRPr="00260085">
              <w:rPr>
                <w:rFonts w:ascii="Arial" w:hAnsi="Arial" w:cs="Arial"/>
                <w:color w:val="000000"/>
                <w:sz w:val="18"/>
                <w:szCs w:val="18"/>
                <w:lang w:val="es-ES"/>
              </w:rPr>
              <w:t xml:space="preserve">Análisis costo beneficio </w:t>
            </w:r>
            <w:proofErr w:type="spellStart"/>
            <w:r w:rsidRPr="00260085">
              <w:rPr>
                <w:rFonts w:ascii="Arial" w:hAnsi="Arial" w:cs="Arial"/>
                <w:color w:val="000000"/>
                <w:sz w:val="18"/>
                <w:szCs w:val="18"/>
                <w:lang w:val="es-ES"/>
              </w:rPr>
              <w:t>expost</w:t>
            </w:r>
            <w:proofErr w:type="spellEnd"/>
          </w:p>
        </w:tc>
        <w:tc>
          <w:tcPr>
            <w:tcW w:w="547" w:type="dxa"/>
            <w:tcBorders>
              <w:top w:val="single" w:sz="8" w:space="0" w:color="000000"/>
              <w:left w:val="single" w:sz="8" w:space="0" w:color="000000"/>
              <w:bottom w:val="single" w:sz="8" w:space="0" w:color="000000"/>
              <w:right w:val="single" w:sz="8" w:space="0" w:color="000000"/>
            </w:tcBorders>
            <w:vAlign w:val="center"/>
          </w:tcPr>
          <w:p w14:paraId="16B54F6D" w14:textId="77777777" w:rsidR="00D406FF" w:rsidRPr="00260085" w:rsidRDefault="00D406FF" w:rsidP="008226A5">
            <w:pPr>
              <w:rPr>
                <w:rFonts w:ascii="Arial" w:hAnsi="Arial" w:cs="Arial"/>
                <w:color w:val="000000"/>
                <w:sz w:val="18"/>
                <w:szCs w:val="18"/>
                <w:lang w:val="es-ES"/>
              </w:rPr>
            </w:pPr>
          </w:p>
        </w:tc>
        <w:tc>
          <w:tcPr>
            <w:tcW w:w="548" w:type="dxa"/>
            <w:tcBorders>
              <w:top w:val="single" w:sz="8" w:space="0" w:color="000000"/>
              <w:left w:val="single" w:sz="8" w:space="0" w:color="000000"/>
              <w:bottom w:val="single" w:sz="8" w:space="0" w:color="000000"/>
              <w:right w:val="single" w:sz="8" w:space="0" w:color="000000"/>
            </w:tcBorders>
            <w:vAlign w:val="center"/>
          </w:tcPr>
          <w:p w14:paraId="44B4BDF2" w14:textId="77777777" w:rsidR="00D406FF" w:rsidRPr="00260085" w:rsidRDefault="00D406FF" w:rsidP="008226A5">
            <w:pPr>
              <w:ind w:left="-648" w:right="256"/>
              <w:rPr>
                <w:rFonts w:ascii="Arial" w:hAnsi="Arial" w:cs="Arial"/>
                <w:color w:val="000000"/>
                <w:sz w:val="18"/>
                <w:szCs w:val="18"/>
                <w:lang w:val="es-ES"/>
              </w:rPr>
            </w:pPr>
            <w:r w:rsidRPr="00260085">
              <w:rPr>
                <w:rFonts w:ascii="Arial" w:hAnsi="Arial" w:cs="Arial"/>
                <w:color w:val="000000"/>
                <w:sz w:val="18"/>
                <w:szCs w:val="18"/>
                <w:lang w:val="es-ES"/>
              </w:rPr>
              <w:t>X</w:t>
            </w:r>
          </w:p>
        </w:tc>
        <w:tc>
          <w:tcPr>
            <w:tcW w:w="548" w:type="dxa"/>
            <w:tcBorders>
              <w:top w:val="single" w:sz="8" w:space="0" w:color="000000"/>
              <w:left w:val="single" w:sz="8" w:space="0" w:color="000000"/>
              <w:bottom w:val="single" w:sz="8" w:space="0" w:color="000000"/>
              <w:right w:val="single" w:sz="8" w:space="0" w:color="000000"/>
            </w:tcBorders>
          </w:tcPr>
          <w:p w14:paraId="64E7D357" w14:textId="77777777" w:rsidR="00D406FF" w:rsidRPr="00260085" w:rsidRDefault="00D406FF" w:rsidP="008226A5">
            <w:pPr>
              <w:jc w:val="center"/>
              <w:rPr>
                <w:rFonts w:ascii="Arial" w:hAnsi="Arial" w:cs="Arial"/>
                <w:color w:val="000000"/>
                <w:sz w:val="18"/>
                <w:szCs w:val="18"/>
                <w:lang w:val="es-ES"/>
              </w:rPr>
            </w:pPr>
          </w:p>
        </w:tc>
        <w:tc>
          <w:tcPr>
            <w:tcW w:w="548" w:type="dxa"/>
            <w:tcBorders>
              <w:top w:val="single" w:sz="8" w:space="0" w:color="000000"/>
              <w:left w:val="single" w:sz="8" w:space="0" w:color="000000"/>
              <w:bottom w:val="single" w:sz="8" w:space="0" w:color="000000"/>
              <w:right w:val="single" w:sz="8" w:space="0" w:color="000000"/>
            </w:tcBorders>
          </w:tcPr>
          <w:p w14:paraId="2CA3960F" w14:textId="77777777" w:rsidR="00D406FF" w:rsidRPr="00260085" w:rsidRDefault="00D406FF" w:rsidP="008226A5">
            <w:pPr>
              <w:jc w:val="center"/>
              <w:rPr>
                <w:rFonts w:ascii="Arial" w:hAnsi="Arial" w:cs="Arial"/>
                <w:color w:val="000000"/>
                <w:sz w:val="18"/>
                <w:szCs w:val="18"/>
                <w:lang w:val="es-ES"/>
              </w:rPr>
            </w:pPr>
            <w:r w:rsidRPr="00260085">
              <w:rPr>
                <w:rFonts w:ascii="Arial" w:hAnsi="Arial" w:cs="Arial"/>
                <w:color w:val="000000"/>
                <w:sz w:val="18"/>
                <w:szCs w:val="18"/>
                <w:lang w:val="es-ES"/>
              </w:rPr>
              <w:t>X</w:t>
            </w:r>
          </w:p>
        </w:tc>
        <w:tc>
          <w:tcPr>
            <w:tcW w:w="548" w:type="dxa"/>
            <w:tcBorders>
              <w:top w:val="single" w:sz="8" w:space="0" w:color="000000"/>
              <w:left w:val="single" w:sz="8" w:space="0" w:color="000000"/>
              <w:bottom w:val="single" w:sz="8" w:space="0" w:color="000000"/>
              <w:right w:val="single" w:sz="8" w:space="0" w:color="000000"/>
            </w:tcBorders>
          </w:tcPr>
          <w:p w14:paraId="0D20301B" w14:textId="77777777" w:rsidR="00D406FF" w:rsidRPr="00260085" w:rsidRDefault="00D406FF" w:rsidP="008226A5">
            <w:pPr>
              <w:jc w:val="center"/>
              <w:rPr>
                <w:rFonts w:ascii="Arial" w:hAnsi="Arial" w:cs="Arial"/>
                <w:color w:val="000000"/>
                <w:sz w:val="18"/>
                <w:szCs w:val="18"/>
                <w:lang w:val="es-ES"/>
              </w:rPr>
            </w:pPr>
          </w:p>
        </w:tc>
        <w:tc>
          <w:tcPr>
            <w:tcW w:w="12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C0950B" w14:textId="07DB8F96" w:rsidR="00D406FF" w:rsidRPr="00260085" w:rsidRDefault="00D406FF" w:rsidP="008226A5">
            <w:pPr>
              <w:jc w:val="center"/>
              <w:rPr>
                <w:rFonts w:ascii="Arial" w:hAnsi="Arial" w:cs="Arial"/>
                <w:color w:val="000000"/>
                <w:sz w:val="18"/>
                <w:szCs w:val="18"/>
                <w:lang w:val="es-ES"/>
              </w:rPr>
            </w:pPr>
            <w:r w:rsidRPr="00260085">
              <w:rPr>
                <w:rFonts w:ascii="Arial" w:hAnsi="Arial" w:cs="Arial"/>
                <w:color w:val="000000"/>
                <w:sz w:val="18"/>
                <w:szCs w:val="18"/>
                <w:lang w:val="es-ES"/>
              </w:rPr>
              <w:t>BID/OE</w:t>
            </w:r>
          </w:p>
        </w:tc>
        <w:tc>
          <w:tcPr>
            <w:tcW w:w="1080" w:type="dxa"/>
            <w:tcBorders>
              <w:top w:val="single" w:sz="8" w:space="0" w:color="000000"/>
              <w:left w:val="nil"/>
              <w:bottom w:val="single" w:sz="8" w:space="0" w:color="000000"/>
              <w:right w:val="single" w:sz="8" w:space="0" w:color="000000"/>
            </w:tcBorders>
            <w:shd w:val="clear" w:color="auto" w:fill="auto"/>
            <w:vAlign w:val="center"/>
          </w:tcPr>
          <w:p w14:paraId="6922876F" w14:textId="77777777" w:rsidR="00D406FF" w:rsidRPr="00260085" w:rsidRDefault="00D406FF" w:rsidP="008226A5">
            <w:pPr>
              <w:ind w:left="-17"/>
              <w:jc w:val="right"/>
              <w:rPr>
                <w:rFonts w:ascii="Arial" w:hAnsi="Arial" w:cs="Arial"/>
                <w:color w:val="000000"/>
                <w:sz w:val="18"/>
                <w:szCs w:val="18"/>
                <w:lang w:val="en-US"/>
              </w:rPr>
            </w:pPr>
            <w:r w:rsidRPr="00260085">
              <w:rPr>
                <w:rFonts w:ascii="Arial" w:hAnsi="Arial" w:cs="Arial"/>
                <w:color w:val="000000"/>
                <w:sz w:val="18"/>
                <w:szCs w:val="18"/>
                <w:lang w:val="en-US"/>
              </w:rPr>
              <w:t>8.000</w:t>
            </w:r>
          </w:p>
        </w:tc>
        <w:tc>
          <w:tcPr>
            <w:tcW w:w="1350" w:type="dxa"/>
            <w:tcBorders>
              <w:top w:val="single" w:sz="8" w:space="0" w:color="000000"/>
              <w:left w:val="nil"/>
              <w:bottom w:val="single" w:sz="8" w:space="0" w:color="000000"/>
              <w:right w:val="single" w:sz="8" w:space="0" w:color="000000"/>
            </w:tcBorders>
            <w:shd w:val="clear" w:color="auto" w:fill="auto"/>
            <w:vAlign w:val="center"/>
          </w:tcPr>
          <w:p w14:paraId="6CB28F41" w14:textId="267834BC" w:rsidR="00D406FF" w:rsidRPr="00260085" w:rsidRDefault="00D406FF" w:rsidP="008226A5">
            <w:pPr>
              <w:rPr>
                <w:rFonts w:ascii="Arial" w:hAnsi="Arial" w:cs="Arial"/>
                <w:color w:val="000000"/>
                <w:sz w:val="18"/>
                <w:szCs w:val="18"/>
                <w:lang w:val="en-US"/>
              </w:rPr>
            </w:pPr>
            <w:r w:rsidRPr="00260085">
              <w:rPr>
                <w:rFonts w:ascii="Arial" w:hAnsi="Arial" w:cs="Arial"/>
                <w:color w:val="000000"/>
                <w:sz w:val="18"/>
                <w:szCs w:val="18"/>
                <w:lang w:val="en-US"/>
              </w:rPr>
              <w:t>OE/BID</w:t>
            </w:r>
          </w:p>
        </w:tc>
      </w:tr>
      <w:tr w:rsidR="00102C96" w:rsidRPr="00260085" w14:paraId="64A17736" w14:textId="77777777" w:rsidTr="009841D0">
        <w:trPr>
          <w:trHeight w:hRule="exact" w:val="551"/>
          <w:jc w:val="center"/>
        </w:trPr>
        <w:tc>
          <w:tcPr>
            <w:tcW w:w="194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7B3BE13" w14:textId="77777777" w:rsidR="00D406FF" w:rsidRPr="00260085" w:rsidRDefault="00D406FF" w:rsidP="008226A5">
            <w:pPr>
              <w:rPr>
                <w:rFonts w:ascii="Arial" w:hAnsi="Arial" w:cs="Arial"/>
                <w:color w:val="000000"/>
                <w:sz w:val="18"/>
                <w:szCs w:val="18"/>
                <w:lang w:val="es-ES"/>
              </w:rPr>
            </w:pPr>
            <w:r w:rsidRPr="00260085">
              <w:rPr>
                <w:rFonts w:ascii="Arial" w:hAnsi="Arial" w:cs="Arial"/>
                <w:color w:val="000000"/>
                <w:sz w:val="18"/>
                <w:szCs w:val="18"/>
                <w:lang w:val="es-ES"/>
              </w:rPr>
              <w:t>Evaluación de impacto</w:t>
            </w:r>
          </w:p>
        </w:tc>
        <w:tc>
          <w:tcPr>
            <w:tcW w:w="547" w:type="dxa"/>
            <w:tcBorders>
              <w:top w:val="single" w:sz="8" w:space="0" w:color="000000"/>
              <w:left w:val="single" w:sz="8" w:space="0" w:color="000000"/>
              <w:bottom w:val="single" w:sz="8" w:space="0" w:color="000000"/>
              <w:right w:val="single" w:sz="8" w:space="0" w:color="000000"/>
            </w:tcBorders>
            <w:vAlign w:val="center"/>
          </w:tcPr>
          <w:p w14:paraId="058F9EAC" w14:textId="77777777" w:rsidR="00D406FF" w:rsidRPr="00260085" w:rsidRDefault="00D406FF" w:rsidP="008226A5">
            <w:pPr>
              <w:rPr>
                <w:rFonts w:ascii="Arial" w:hAnsi="Arial" w:cs="Arial"/>
                <w:color w:val="000000"/>
                <w:sz w:val="18"/>
                <w:szCs w:val="18"/>
                <w:lang w:val="es-ES"/>
              </w:rPr>
            </w:pPr>
          </w:p>
        </w:tc>
        <w:tc>
          <w:tcPr>
            <w:tcW w:w="548" w:type="dxa"/>
            <w:tcBorders>
              <w:top w:val="single" w:sz="8" w:space="0" w:color="000000"/>
              <w:left w:val="single" w:sz="8" w:space="0" w:color="000000"/>
              <w:bottom w:val="single" w:sz="8" w:space="0" w:color="000000"/>
              <w:right w:val="single" w:sz="8" w:space="0" w:color="000000"/>
            </w:tcBorders>
            <w:vAlign w:val="center"/>
          </w:tcPr>
          <w:p w14:paraId="71C6CFB3" w14:textId="77777777" w:rsidR="00D406FF" w:rsidRPr="00260085" w:rsidRDefault="00D406FF" w:rsidP="008226A5">
            <w:pPr>
              <w:ind w:left="-648" w:right="256"/>
              <w:rPr>
                <w:rFonts w:ascii="Arial" w:hAnsi="Arial" w:cs="Arial"/>
                <w:color w:val="000000"/>
                <w:sz w:val="18"/>
                <w:szCs w:val="18"/>
                <w:lang w:val="es-ES"/>
              </w:rPr>
            </w:pPr>
            <w:r w:rsidRPr="00260085">
              <w:rPr>
                <w:rFonts w:ascii="Arial" w:hAnsi="Arial" w:cs="Arial"/>
                <w:color w:val="000000"/>
                <w:sz w:val="18"/>
                <w:szCs w:val="18"/>
                <w:lang w:val="es-ES"/>
              </w:rPr>
              <w:t>X</w:t>
            </w:r>
          </w:p>
        </w:tc>
        <w:tc>
          <w:tcPr>
            <w:tcW w:w="548" w:type="dxa"/>
            <w:tcBorders>
              <w:top w:val="single" w:sz="8" w:space="0" w:color="000000"/>
              <w:left w:val="single" w:sz="8" w:space="0" w:color="000000"/>
              <w:bottom w:val="single" w:sz="8" w:space="0" w:color="000000"/>
              <w:right w:val="single" w:sz="8" w:space="0" w:color="000000"/>
            </w:tcBorders>
          </w:tcPr>
          <w:p w14:paraId="731AEE1A" w14:textId="77777777" w:rsidR="00D406FF" w:rsidRPr="00260085" w:rsidRDefault="00D406FF" w:rsidP="008226A5">
            <w:pPr>
              <w:jc w:val="center"/>
              <w:rPr>
                <w:rFonts w:ascii="Arial" w:hAnsi="Arial" w:cs="Arial"/>
                <w:color w:val="000000"/>
                <w:sz w:val="18"/>
                <w:szCs w:val="18"/>
                <w:lang w:val="es-ES"/>
              </w:rPr>
            </w:pPr>
          </w:p>
        </w:tc>
        <w:tc>
          <w:tcPr>
            <w:tcW w:w="548" w:type="dxa"/>
            <w:tcBorders>
              <w:top w:val="single" w:sz="8" w:space="0" w:color="000000"/>
              <w:left w:val="single" w:sz="8" w:space="0" w:color="000000"/>
              <w:bottom w:val="single" w:sz="8" w:space="0" w:color="000000"/>
              <w:right w:val="single" w:sz="8" w:space="0" w:color="000000"/>
            </w:tcBorders>
          </w:tcPr>
          <w:p w14:paraId="6B2D40D2" w14:textId="751780E9" w:rsidR="00D406FF" w:rsidRPr="00260085" w:rsidRDefault="00D406FF" w:rsidP="008226A5">
            <w:pPr>
              <w:jc w:val="center"/>
              <w:rPr>
                <w:rFonts w:ascii="Arial" w:hAnsi="Arial" w:cs="Arial"/>
                <w:color w:val="000000"/>
                <w:sz w:val="18"/>
                <w:szCs w:val="18"/>
                <w:lang w:val="es-ES"/>
              </w:rPr>
            </w:pPr>
          </w:p>
        </w:tc>
        <w:tc>
          <w:tcPr>
            <w:tcW w:w="548" w:type="dxa"/>
            <w:tcBorders>
              <w:top w:val="single" w:sz="8" w:space="0" w:color="000000"/>
              <w:left w:val="single" w:sz="8" w:space="0" w:color="000000"/>
              <w:bottom w:val="single" w:sz="8" w:space="0" w:color="000000"/>
              <w:right w:val="single" w:sz="8" w:space="0" w:color="000000"/>
            </w:tcBorders>
          </w:tcPr>
          <w:p w14:paraId="50FD1581" w14:textId="44A3E6A4" w:rsidR="00D406FF" w:rsidRPr="00260085" w:rsidRDefault="00D406FF" w:rsidP="008226A5">
            <w:pPr>
              <w:jc w:val="center"/>
              <w:rPr>
                <w:rFonts w:ascii="Arial" w:hAnsi="Arial" w:cs="Arial"/>
                <w:color w:val="000000"/>
                <w:sz w:val="18"/>
                <w:szCs w:val="18"/>
                <w:lang w:val="es-ES"/>
              </w:rPr>
            </w:pPr>
            <w:r>
              <w:rPr>
                <w:rFonts w:ascii="Arial" w:hAnsi="Arial" w:cs="Arial"/>
                <w:color w:val="000000"/>
                <w:sz w:val="18"/>
                <w:szCs w:val="18"/>
                <w:lang w:val="es-ES"/>
              </w:rPr>
              <w:t>X</w:t>
            </w:r>
          </w:p>
        </w:tc>
        <w:tc>
          <w:tcPr>
            <w:tcW w:w="12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1CAF5A" w14:textId="26E241A5" w:rsidR="00D406FF" w:rsidRPr="00260085" w:rsidRDefault="00D406FF" w:rsidP="008226A5">
            <w:pPr>
              <w:jc w:val="center"/>
              <w:rPr>
                <w:rFonts w:ascii="Arial" w:hAnsi="Arial" w:cs="Arial"/>
                <w:color w:val="000000"/>
                <w:sz w:val="18"/>
                <w:szCs w:val="18"/>
                <w:lang w:val="es-ES"/>
              </w:rPr>
            </w:pPr>
            <w:r w:rsidRPr="00260085">
              <w:rPr>
                <w:rFonts w:ascii="Arial" w:hAnsi="Arial" w:cs="Arial"/>
                <w:color w:val="000000"/>
                <w:sz w:val="18"/>
                <w:szCs w:val="18"/>
                <w:lang w:val="es-ES"/>
              </w:rPr>
              <w:t>BID/OE</w:t>
            </w:r>
          </w:p>
        </w:tc>
        <w:tc>
          <w:tcPr>
            <w:tcW w:w="1080" w:type="dxa"/>
            <w:tcBorders>
              <w:top w:val="single" w:sz="8" w:space="0" w:color="000000"/>
              <w:left w:val="nil"/>
              <w:bottom w:val="single" w:sz="8" w:space="0" w:color="000000"/>
              <w:right w:val="single" w:sz="8" w:space="0" w:color="000000"/>
            </w:tcBorders>
            <w:shd w:val="clear" w:color="auto" w:fill="auto"/>
            <w:vAlign w:val="center"/>
          </w:tcPr>
          <w:p w14:paraId="617FDB4C" w14:textId="00B21236" w:rsidR="00D406FF" w:rsidRPr="00260085" w:rsidRDefault="00D406FF" w:rsidP="008226A5">
            <w:pPr>
              <w:ind w:left="-17"/>
              <w:jc w:val="right"/>
              <w:rPr>
                <w:rFonts w:ascii="Arial" w:hAnsi="Arial" w:cs="Arial"/>
                <w:color w:val="000000"/>
                <w:sz w:val="18"/>
                <w:szCs w:val="18"/>
                <w:lang w:val="es-BO"/>
              </w:rPr>
            </w:pPr>
            <w:r w:rsidRPr="00260085">
              <w:rPr>
                <w:rFonts w:ascii="Arial" w:hAnsi="Arial" w:cs="Arial"/>
                <w:color w:val="000000"/>
                <w:sz w:val="18"/>
                <w:szCs w:val="18"/>
                <w:lang w:val="es-BO"/>
              </w:rPr>
              <w:t>40.000</w:t>
            </w:r>
          </w:p>
        </w:tc>
        <w:tc>
          <w:tcPr>
            <w:tcW w:w="1350" w:type="dxa"/>
            <w:tcBorders>
              <w:top w:val="single" w:sz="8" w:space="0" w:color="000000"/>
              <w:left w:val="nil"/>
              <w:bottom w:val="single" w:sz="8" w:space="0" w:color="000000"/>
              <w:right w:val="single" w:sz="8" w:space="0" w:color="000000"/>
            </w:tcBorders>
            <w:shd w:val="clear" w:color="auto" w:fill="auto"/>
            <w:vAlign w:val="center"/>
          </w:tcPr>
          <w:p w14:paraId="010CD704" w14:textId="7DA65A15" w:rsidR="00D406FF" w:rsidRPr="00260085" w:rsidRDefault="00D406FF" w:rsidP="008226A5">
            <w:pPr>
              <w:rPr>
                <w:rFonts w:ascii="Arial" w:hAnsi="Arial" w:cs="Arial"/>
                <w:color w:val="000000"/>
                <w:sz w:val="18"/>
                <w:szCs w:val="18"/>
                <w:lang w:val="es-BO"/>
              </w:rPr>
            </w:pPr>
            <w:r w:rsidRPr="00260085">
              <w:rPr>
                <w:rFonts w:ascii="Arial" w:hAnsi="Arial" w:cs="Arial"/>
                <w:color w:val="000000"/>
                <w:sz w:val="18"/>
                <w:szCs w:val="18"/>
                <w:lang w:val="en-US"/>
              </w:rPr>
              <w:t>OE/BID</w:t>
            </w:r>
          </w:p>
        </w:tc>
      </w:tr>
      <w:tr w:rsidR="00102C96" w:rsidRPr="00260085" w14:paraId="27AC23DC" w14:textId="77777777" w:rsidTr="009841D0">
        <w:trPr>
          <w:trHeight w:hRule="exact" w:val="309"/>
          <w:jc w:val="center"/>
        </w:trPr>
        <w:tc>
          <w:tcPr>
            <w:tcW w:w="194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3E19C5" w14:textId="77777777" w:rsidR="00D406FF" w:rsidRPr="00260085" w:rsidRDefault="00D406FF" w:rsidP="008226A5">
            <w:pPr>
              <w:rPr>
                <w:rFonts w:ascii="Arial" w:hAnsi="Arial" w:cs="Arial"/>
                <w:b/>
                <w:color w:val="000000"/>
                <w:sz w:val="18"/>
                <w:szCs w:val="18"/>
                <w:lang w:val="es-ES"/>
              </w:rPr>
            </w:pPr>
            <w:r w:rsidRPr="00260085">
              <w:rPr>
                <w:rFonts w:ascii="Arial" w:hAnsi="Arial" w:cs="Arial"/>
                <w:b/>
                <w:color w:val="000000"/>
                <w:sz w:val="18"/>
                <w:szCs w:val="18"/>
                <w:lang w:val="es-ES"/>
              </w:rPr>
              <w:t>Total</w:t>
            </w:r>
          </w:p>
        </w:tc>
        <w:tc>
          <w:tcPr>
            <w:tcW w:w="547" w:type="dxa"/>
            <w:tcBorders>
              <w:top w:val="single" w:sz="8" w:space="0" w:color="000000"/>
              <w:left w:val="single" w:sz="8" w:space="0" w:color="000000"/>
              <w:bottom w:val="single" w:sz="8" w:space="0" w:color="000000"/>
              <w:right w:val="single" w:sz="8" w:space="0" w:color="000000"/>
            </w:tcBorders>
            <w:vAlign w:val="center"/>
          </w:tcPr>
          <w:p w14:paraId="756FA45B" w14:textId="77777777" w:rsidR="00D406FF" w:rsidRPr="00260085" w:rsidRDefault="00D406FF" w:rsidP="008226A5">
            <w:pPr>
              <w:rPr>
                <w:rFonts w:ascii="Arial" w:hAnsi="Arial" w:cs="Arial"/>
                <w:b/>
                <w:color w:val="000000"/>
                <w:sz w:val="18"/>
                <w:szCs w:val="18"/>
                <w:lang w:val="es-ES"/>
              </w:rPr>
            </w:pPr>
          </w:p>
        </w:tc>
        <w:tc>
          <w:tcPr>
            <w:tcW w:w="548" w:type="dxa"/>
            <w:tcBorders>
              <w:top w:val="single" w:sz="8" w:space="0" w:color="000000"/>
              <w:left w:val="single" w:sz="8" w:space="0" w:color="000000"/>
              <w:bottom w:val="single" w:sz="8" w:space="0" w:color="000000"/>
              <w:right w:val="single" w:sz="8" w:space="0" w:color="000000"/>
            </w:tcBorders>
            <w:vAlign w:val="center"/>
          </w:tcPr>
          <w:p w14:paraId="570138C2" w14:textId="77777777" w:rsidR="00D406FF" w:rsidRPr="00260085" w:rsidRDefault="00D406FF" w:rsidP="008226A5">
            <w:pPr>
              <w:rPr>
                <w:rFonts w:ascii="Arial" w:hAnsi="Arial" w:cs="Arial"/>
                <w:b/>
                <w:color w:val="000000"/>
                <w:sz w:val="18"/>
                <w:szCs w:val="18"/>
                <w:lang w:val="es-ES"/>
              </w:rPr>
            </w:pPr>
          </w:p>
        </w:tc>
        <w:tc>
          <w:tcPr>
            <w:tcW w:w="548" w:type="dxa"/>
            <w:tcBorders>
              <w:top w:val="single" w:sz="8" w:space="0" w:color="000000"/>
              <w:left w:val="single" w:sz="8" w:space="0" w:color="000000"/>
              <w:bottom w:val="single" w:sz="8" w:space="0" w:color="000000"/>
              <w:right w:val="single" w:sz="8" w:space="0" w:color="000000"/>
            </w:tcBorders>
          </w:tcPr>
          <w:p w14:paraId="64EB5480" w14:textId="77777777" w:rsidR="00D406FF" w:rsidRPr="00260085" w:rsidRDefault="00D406FF" w:rsidP="008226A5">
            <w:pPr>
              <w:jc w:val="center"/>
              <w:rPr>
                <w:rFonts w:ascii="Arial" w:hAnsi="Arial" w:cs="Arial"/>
                <w:b/>
                <w:color w:val="000000"/>
                <w:sz w:val="18"/>
                <w:szCs w:val="18"/>
                <w:lang w:val="es-ES"/>
              </w:rPr>
            </w:pPr>
          </w:p>
        </w:tc>
        <w:tc>
          <w:tcPr>
            <w:tcW w:w="548" w:type="dxa"/>
            <w:tcBorders>
              <w:top w:val="single" w:sz="8" w:space="0" w:color="000000"/>
              <w:left w:val="single" w:sz="8" w:space="0" w:color="000000"/>
              <w:bottom w:val="single" w:sz="8" w:space="0" w:color="000000"/>
              <w:right w:val="single" w:sz="8" w:space="0" w:color="000000"/>
            </w:tcBorders>
          </w:tcPr>
          <w:p w14:paraId="33158D2A" w14:textId="77777777" w:rsidR="00D406FF" w:rsidRPr="00260085" w:rsidRDefault="00D406FF" w:rsidP="008226A5">
            <w:pPr>
              <w:jc w:val="center"/>
              <w:rPr>
                <w:rFonts w:ascii="Arial" w:hAnsi="Arial" w:cs="Arial"/>
                <w:b/>
                <w:color w:val="000000"/>
                <w:sz w:val="18"/>
                <w:szCs w:val="18"/>
                <w:lang w:val="es-ES"/>
              </w:rPr>
            </w:pPr>
          </w:p>
        </w:tc>
        <w:tc>
          <w:tcPr>
            <w:tcW w:w="548" w:type="dxa"/>
            <w:tcBorders>
              <w:top w:val="single" w:sz="8" w:space="0" w:color="000000"/>
              <w:left w:val="single" w:sz="8" w:space="0" w:color="000000"/>
              <w:bottom w:val="single" w:sz="8" w:space="0" w:color="000000"/>
              <w:right w:val="single" w:sz="8" w:space="0" w:color="000000"/>
            </w:tcBorders>
          </w:tcPr>
          <w:p w14:paraId="5ABCF1B4" w14:textId="77777777" w:rsidR="00D406FF" w:rsidRPr="00260085" w:rsidRDefault="00D406FF" w:rsidP="008226A5">
            <w:pPr>
              <w:jc w:val="center"/>
              <w:rPr>
                <w:rFonts w:ascii="Arial" w:hAnsi="Arial" w:cs="Arial"/>
                <w:b/>
                <w:color w:val="000000"/>
                <w:sz w:val="18"/>
                <w:szCs w:val="18"/>
                <w:lang w:val="es-ES"/>
              </w:rPr>
            </w:pPr>
          </w:p>
        </w:tc>
        <w:tc>
          <w:tcPr>
            <w:tcW w:w="12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D555DA" w14:textId="182EE968" w:rsidR="00D406FF" w:rsidRPr="00260085" w:rsidRDefault="00D406FF" w:rsidP="008226A5">
            <w:pPr>
              <w:jc w:val="center"/>
              <w:rPr>
                <w:rFonts w:ascii="Arial" w:hAnsi="Arial" w:cs="Arial"/>
                <w:b/>
                <w:color w:val="000000"/>
                <w:sz w:val="18"/>
                <w:szCs w:val="18"/>
                <w:lang w:val="es-ES"/>
              </w:rPr>
            </w:pPr>
          </w:p>
        </w:tc>
        <w:tc>
          <w:tcPr>
            <w:tcW w:w="10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4B84FA" w14:textId="776D3BD0" w:rsidR="00D406FF" w:rsidRPr="00260085" w:rsidRDefault="00D406FF" w:rsidP="008226A5">
            <w:pPr>
              <w:ind w:left="-17"/>
              <w:jc w:val="right"/>
              <w:rPr>
                <w:rFonts w:ascii="Arial" w:hAnsi="Arial" w:cs="Arial"/>
                <w:b/>
                <w:color w:val="000000"/>
                <w:sz w:val="18"/>
                <w:szCs w:val="18"/>
                <w:lang w:val="en-US"/>
              </w:rPr>
            </w:pPr>
            <w:r w:rsidRPr="00260085">
              <w:rPr>
                <w:rFonts w:ascii="Arial" w:hAnsi="Arial" w:cs="Arial"/>
                <w:b/>
                <w:color w:val="000000"/>
                <w:sz w:val="18"/>
                <w:szCs w:val="18"/>
                <w:lang w:val="en-US"/>
              </w:rPr>
              <w:t>56.000</w:t>
            </w:r>
          </w:p>
        </w:tc>
        <w:tc>
          <w:tcPr>
            <w:tcW w:w="13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396388" w14:textId="66B54302" w:rsidR="00D406FF" w:rsidRPr="00260085" w:rsidRDefault="00D406FF" w:rsidP="008226A5">
            <w:pPr>
              <w:rPr>
                <w:rFonts w:ascii="Arial" w:hAnsi="Arial" w:cs="Arial"/>
                <w:color w:val="000000"/>
                <w:sz w:val="18"/>
                <w:szCs w:val="18"/>
                <w:lang w:val="en-US"/>
              </w:rPr>
            </w:pPr>
            <w:r w:rsidRPr="00260085">
              <w:rPr>
                <w:rFonts w:ascii="Arial" w:hAnsi="Arial" w:cs="Arial"/>
                <w:color w:val="000000"/>
                <w:sz w:val="18"/>
                <w:szCs w:val="18"/>
                <w:lang w:val="en-US"/>
              </w:rPr>
              <w:t>OE/BID</w:t>
            </w:r>
          </w:p>
        </w:tc>
      </w:tr>
    </w:tbl>
    <w:p w14:paraId="11E88564" w14:textId="77777777" w:rsidR="00145881" w:rsidRPr="007116B2" w:rsidRDefault="00145881" w:rsidP="00145881">
      <w:pPr>
        <w:rPr>
          <w:lang w:val="es-ES"/>
        </w:rPr>
      </w:pPr>
    </w:p>
    <w:p w14:paraId="4B67174A" w14:textId="77777777" w:rsidR="0017089C" w:rsidRDefault="0017089C">
      <w:pPr>
        <w:sectPr w:rsidR="0017089C" w:rsidSect="00041657">
          <w:pgSz w:w="12240" w:h="15840"/>
          <w:pgMar w:top="1440" w:right="1800" w:bottom="1440" w:left="1800" w:header="720" w:footer="720" w:gutter="0"/>
          <w:cols w:space="720"/>
          <w:docGrid w:linePitch="360"/>
        </w:sectPr>
      </w:pPr>
    </w:p>
    <w:p w14:paraId="4CF549A0" w14:textId="77777777" w:rsidR="0008631C" w:rsidRDefault="0008631C" w:rsidP="0008631C">
      <w:pPr>
        <w:pStyle w:val="Chapter"/>
        <w:numPr>
          <w:ilvl w:val="0"/>
          <w:numId w:val="0"/>
        </w:numPr>
        <w:spacing w:after="120"/>
        <w:contextualSpacing/>
        <w:jc w:val="left"/>
        <w:rPr>
          <w:rFonts w:ascii="Arial" w:hAnsi="Arial" w:cs="Arial"/>
          <w:sz w:val="22"/>
          <w:szCs w:val="22"/>
          <w:lang w:val="es-ES"/>
        </w:rPr>
      </w:pPr>
      <w:bookmarkStart w:id="30" w:name="_Toc40530261"/>
      <w:r w:rsidRPr="0008631C">
        <w:rPr>
          <w:rFonts w:ascii="Arial" w:hAnsi="Arial" w:cs="Arial"/>
          <w:sz w:val="22"/>
          <w:szCs w:val="22"/>
          <w:lang w:val="es-ES"/>
        </w:rPr>
        <w:lastRenderedPageBreak/>
        <w:t xml:space="preserve">Anexo I: Plan de trabajo </w:t>
      </w:r>
      <w:r>
        <w:rPr>
          <w:rFonts w:ascii="Arial" w:hAnsi="Arial" w:cs="Arial"/>
          <w:sz w:val="22"/>
          <w:szCs w:val="22"/>
          <w:lang w:val="es-ES"/>
        </w:rPr>
        <w:t>BANDESAL</w:t>
      </w:r>
      <w:r w:rsidRPr="0008631C">
        <w:rPr>
          <w:rFonts w:ascii="Arial" w:hAnsi="Arial" w:cs="Arial"/>
          <w:sz w:val="22"/>
          <w:szCs w:val="22"/>
          <w:lang w:val="es-ES"/>
        </w:rPr>
        <w:t xml:space="preserve"> bajo la RG-T3530</w:t>
      </w:r>
      <w:bookmarkEnd w:id="30"/>
    </w:p>
    <w:p w14:paraId="79164D7F" w14:textId="77777777" w:rsidR="0008631C" w:rsidRPr="0008631C" w:rsidRDefault="0008631C" w:rsidP="0008631C">
      <w:pPr>
        <w:jc w:val="both"/>
        <w:rPr>
          <w:rFonts w:ascii="Arial" w:hAnsi="Arial" w:cs="Arial"/>
          <w:b/>
          <w:bCs/>
          <w:lang w:val="es-ES"/>
        </w:rPr>
      </w:pPr>
      <w:r w:rsidRPr="0008631C">
        <w:rPr>
          <w:rFonts w:ascii="Arial" w:hAnsi="Arial" w:cs="Arial"/>
          <w:b/>
          <w:bCs/>
          <w:lang w:val="es-ES"/>
        </w:rPr>
        <w:t>-</w:t>
      </w:r>
      <w:r>
        <w:rPr>
          <w:rFonts w:ascii="Arial" w:hAnsi="Arial" w:cs="Arial"/>
          <w:b/>
          <w:bCs/>
          <w:lang w:val="es-ES"/>
        </w:rPr>
        <w:t>D</w:t>
      </w:r>
      <w:r w:rsidRPr="0008631C">
        <w:rPr>
          <w:rFonts w:ascii="Arial" w:hAnsi="Arial" w:cs="Arial"/>
          <w:b/>
          <w:bCs/>
          <w:lang w:val="es-ES"/>
        </w:rPr>
        <w:t>e Fortalecimiento de la capacidad institucional de la Banca Nacional de Desarrollo para atender a la mujer emprendedora-</w:t>
      </w:r>
    </w:p>
    <w:p w14:paraId="67A80130" w14:textId="77777777" w:rsidR="002F348C" w:rsidRPr="0008631C" w:rsidRDefault="002F348C">
      <w:pPr>
        <w:rPr>
          <w:rFonts w:ascii="Arial" w:hAnsi="Arial" w:cs="Arial"/>
          <w:lang w:val="es-ES"/>
        </w:rPr>
      </w:pPr>
    </w:p>
    <w:p w14:paraId="3342789D" w14:textId="77777777" w:rsidR="0008631C" w:rsidRPr="0008631C" w:rsidRDefault="0008631C" w:rsidP="0008631C">
      <w:pPr>
        <w:pBdr>
          <w:bottom w:val="single" w:sz="4" w:space="1" w:color="auto"/>
        </w:pBdr>
        <w:jc w:val="center"/>
        <w:rPr>
          <w:rFonts w:ascii="Arial" w:hAnsi="Arial" w:cs="Arial"/>
          <w:b/>
          <w:bCs/>
          <w:lang w:val="es-ES"/>
        </w:rPr>
      </w:pPr>
      <w:r w:rsidRPr="0008631C">
        <w:rPr>
          <w:rFonts w:ascii="Arial" w:hAnsi="Arial" w:cs="Arial"/>
          <w:b/>
          <w:bCs/>
          <w:lang w:val="es-ES"/>
        </w:rPr>
        <w:t>Plan de Trabajo</w:t>
      </w:r>
    </w:p>
    <w:p w14:paraId="1819E146" w14:textId="77777777" w:rsidR="0008631C" w:rsidRPr="0008631C" w:rsidRDefault="0008631C" w:rsidP="00503915">
      <w:pPr>
        <w:jc w:val="both"/>
        <w:rPr>
          <w:rFonts w:ascii="Arial" w:hAnsi="Arial" w:cs="Arial"/>
          <w:b/>
          <w:bCs/>
          <w:lang w:val="es-ES"/>
        </w:rPr>
      </w:pPr>
      <w:r w:rsidRPr="0008631C">
        <w:rPr>
          <w:rFonts w:ascii="Arial" w:hAnsi="Arial" w:cs="Arial"/>
          <w:b/>
          <w:bCs/>
          <w:lang w:val="es-ES"/>
        </w:rPr>
        <w:t>Proyecto: “RG-T3530 “Fortaleciendo la capacidad institucional de la Banca Nacional de Desarrollo para atender a la mujer emprendedora.”</w:t>
      </w:r>
    </w:p>
    <w:p w14:paraId="33E403C9" w14:textId="77777777" w:rsidR="0008631C" w:rsidRPr="0008631C" w:rsidRDefault="0008631C" w:rsidP="00503915">
      <w:pPr>
        <w:jc w:val="both"/>
        <w:rPr>
          <w:rFonts w:ascii="Arial" w:hAnsi="Arial" w:cs="Arial"/>
          <w:lang w:val="es-ES"/>
        </w:rPr>
      </w:pPr>
      <w:r w:rsidRPr="0008631C">
        <w:rPr>
          <w:rFonts w:ascii="Arial" w:hAnsi="Arial" w:cs="Arial"/>
          <w:b/>
          <w:bCs/>
          <w:lang w:val="es-ES"/>
        </w:rPr>
        <w:t>Reporte:</w:t>
      </w:r>
      <w:r w:rsidRPr="0008631C">
        <w:rPr>
          <w:rFonts w:ascii="Arial" w:hAnsi="Arial" w:cs="Arial"/>
          <w:lang w:val="es-ES"/>
        </w:rPr>
        <w:t xml:space="preserve">  Recomendaciones para incrementar la recolección, análisis y monitoreo de data sobre empresas de mujeres en El Salvador.”</w:t>
      </w:r>
    </w:p>
    <w:p w14:paraId="4D720930" w14:textId="77777777" w:rsidR="0008631C" w:rsidRPr="0008631C" w:rsidRDefault="0008631C" w:rsidP="0008631C">
      <w:pPr>
        <w:rPr>
          <w:rFonts w:ascii="Arial" w:hAnsi="Arial" w:cs="Arial"/>
          <w:lang w:val="es-ES"/>
        </w:rPr>
      </w:pPr>
      <w:r w:rsidRPr="0008631C">
        <w:rPr>
          <w:rFonts w:ascii="Arial" w:hAnsi="Arial" w:cs="Arial"/>
          <w:b/>
          <w:bCs/>
          <w:lang w:val="es-ES"/>
        </w:rPr>
        <w:t>Consultor:</w:t>
      </w:r>
      <w:r w:rsidRPr="0008631C">
        <w:rPr>
          <w:rFonts w:ascii="Arial" w:hAnsi="Arial" w:cs="Arial"/>
          <w:lang w:val="es-ES"/>
        </w:rPr>
        <w:t xml:space="preserve"> Pablo </w:t>
      </w:r>
      <w:proofErr w:type="spellStart"/>
      <w:r w:rsidRPr="0008631C">
        <w:rPr>
          <w:rFonts w:ascii="Arial" w:hAnsi="Arial" w:cs="Arial"/>
          <w:lang w:val="es-ES"/>
        </w:rPr>
        <w:t>Freund</w:t>
      </w:r>
      <w:proofErr w:type="spellEnd"/>
      <w:r w:rsidRPr="0008631C">
        <w:rPr>
          <w:rFonts w:ascii="Arial" w:hAnsi="Arial" w:cs="Arial"/>
          <w:lang w:val="es-ES"/>
        </w:rPr>
        <w:t xml:space="preserve"> Lanfranco</w:t>
      </w:r>
    </w:p>
    <w:p w14:paraId="2AD7681B" w14:textId="77777777" w:rsidR="0008631C" w:rsidRPr="0008631C" w:rsidRDefault="0008631C" w:rsidP="0008631C">
      <w:pPr>
        <w:rPr>
          <w:rFonts w:ascii="Arial" w:hAnsi="Arial" w:cs="Arial"/>
          <w:lang w:val="es-ES"/>
        </w:rPr>
      </w:pPr>
      <w:r w:rsidRPr="0008631C">
        <w:rPr>
          <w:rFonts w:ascii="Arial" w:hAnsi="Arial" w:cs="Arial"/>
          <w:b/>
          <w:bCs/>
          <w:lang w:val="es-ES"/>
        </w:rPr>
        <w:t>Entidad Contratante</w:t>
      </w:r>
      <w:r w:rsidRPr="0008631C">
        <w:rPr>
          <w:rFonts w:ascii="Arial" w:hAnsi="Arial" w:cs="Arial"/>
          <w:lang w:val="es-ES"/>
        </w:rPr>
        <w:t>: Banco Interamericano de Desarrollo (BID)</w:t>
      </w:r>
    </w:p>
    <w:p w14:paraId="24C19C57" w14:textId="77777777" w:rsidR="0008631C" w:rsidRPr="0008631C" w:rsidRDefault="0008631C" w:rsidP="0008631C">
      <w:pPr>
        <w:rPr>
          <w:rFonts w:ascii="Arial" w:hAnsi="Arial" w:cs="Arial"/>
          <w:b/>
          <w:bCs/>
          <w:lang w:val="es-ES"/>
        </w:rPr>
      </w:pPr>
      <w:r w:rsidRPr="0008631C">
        <w:rPr>
          <w:rFonts w:ascii="Arial" w:hAnsi="Arial" w:cs="Arial"/>
          <w:b/>
          <w:bCs/>
          <w:lang w:val="es-ES"/>
        </w:rPr>
        <w:t>Antecedentes</w:t>
      </w:r>
    </w:p>
    <w:p w14:paraId="329788DA" w14:textId="77777777" w:rsidR="0008631C" w:rsidRPr="0008631C" w:rsidRDefault="0008631C" w:rsidP="0008631C">
      <w:pPr>
        <w:spacing w:before="120" w:after="120"/>
        <w:jc w:val="both"/>
        <w:rPr>
          <w:rFonts w:ascii="Arial" w:eastAsia="Times New Roman" w:hAnsi="Arial" w:cs="Arial"/>
          <w:lang w:val="es-ES"/>
        </w:rPr>
      </w:pPr>
      <w:r w:rsidRPr="0008631C">
        <w:rPr>
          <w:rFonts w:ascii="Arial" w:eastAsia="Times New Roman" w:hAnsi="Arial" w:cs="Arial"/>
          <w:lang w:val="es-ES"/>
        </w:rPr>
        <w:t xml:space="preserve">Mejorar el acceso a la financiación del desarrollo productivo para las pequeñas y medianas empresas (PYME) es un objetivo político clave en América Latina y el Caribe, sin embargo, las restricciones al acceso a financiamiento es la principal limitante para las </w:t>
      </w:r>
      <w:proofErr w:type="spellStart"/>
      <w:r w:rsidRPr="0008631C">
        <w:rPr>
          <w:rFonts w:ascii="Arial" w:eastAsia="Times New Roman" w:hAnsi="Arial" w:cs="Arial"/>
          <w:lang w:val="es-ES"/>
        </w:rPr>
        <w:t>PYMEs</w:t>
      </w:r>
      <w:proofErr w:type="spellEnd"/>
      <w:r w:rsidRPr="0008631C">
        <w:rPr>
          <w:rFonts w:ascii="Arial" w:eastAsia="Times New Roman" w:hAnsi="Arial" w:cs="Arial"/>
          <w:lang w:val="es-ES"/>
        </w:rPr>
        <w:t xml:space="preserve">. Estas restricciones son aún más severas en el caso de negocios que pertenecen y/o son dirigidos por mujeres (empresas de mujeres). De hecho, esta bien documentado </w:t>
      </w:r>
      <w:r w:rsidR="007316FF" w:rsidRPr="0008631C">
        <w:rPr>
          <w:rFonts w:ascii="Arial" w:eastAsia="Times New Roman" w:hAnsi="Arial" w:cs="Arial"/>
          <w:lang w:val="es-ES"/>
        </w:rPr>
        <w:t>que,</w:t>
      </w:r>
      <w:r w:rsidRPr="0008631C">
        <w:rPr>
          <w:rFonts w:ascii="Arial" w:eastAsia="Times New Roman" w:hAnsi="Arial" w:cs="Arial"/>
          <w:lang w:val="es-ES"/>
        </w:rPr>
        <w:t xml:space="preserve"> en la región de América Latina y el Caribe, las empresas de mujeres (i) tienen menor acceso a la financiación, y (</w:t>
      </w:r>
      <w:proofErr w:type="spellStart"/>
      <w:r w:rsidRPr="0008631C">
        <w:rPr>
          <w:rFonts w:ascii="Arial" w:eastAsia="Times New Roman" w:hAnsi="Arial" w:cs="Arial"/>
          <w:lang w:val="es-ES"/>
        </w:rPr>
        <w:t>ii</w:t>
      </w:r>
      <w:proofErr w:type="spellEnd"/>
      <w:r w:rsidRPr="0008631C">
        <w:rPr>
          <w:rFonts w:ascii="Arial" w:eastAsia="Times New Roman" w:hAnsi="Arial" w:cs="Arial"/>
          <w:lang w:val="es-ES"/>
        </w:rPr>
        <w:t>) enfrentan requisitos colaterales que pueden llegar a exceder el valor del préstamo. Las encuestas también muestran que, para las mujeres, el acceso a la financiación es la principal barrera para emprender y la causa principal del fracaso de los negocios.</w:t>
      </w:r>
    </w:p>
    <w:p w14:paraId="7A69E577" w14:textId="77777777" w:rsidR="0008631C" w:rsidRPr="0008631C" w:rsidRDefault="0008631C" w:rsidP="0008631C">
      <w:pPr>
        <w:spacing w:before="120" w:after="120"/>
        <w:jc w:val="both"/>
        <w:rPr>
          <w:rFonts w:ascii="Arial" w:eastAsia="Times New Roman" w:hAnsi="Arial" w:cs="Arial"/>
          <w:lang w:val="es-ES"/>
        </w:rPr>
      </w:pPr>
      <w:r w:rsidRPr="0008631C">
        <w:rPr>
          <w:rFonts w:ascii="Arial" w:eastAsia="Times New Roman" w:hAnsi="Arial" w:cs="Arial"/>
          <w:lang w:val="es-ES"/>
        </w:rPr>
        <w:t xml:space="preserve">A pesar de estos retos, datos del sector privado publicados por organizaciones como </w:t>
      </w:r>
      <w:proofErr w:type="spellStart"/>
      <w:r w:rsidRPr="0008631C">
        <w:rPr>
          <w:rFonts w:ascii="Arial" w:eastAsia="Times New Roman" w:hAnsi="Arial" w:cs="Arial"/>
          <w:i/>
          <w:iCs/>
          <w:lang w:val="es-ES"/>
        </w:rPr>
        <w:t>Financial</w:t>
      </w:r>
      <w:proofErr w:type="spellEnd"/>
      <w:r w:rsidRPr="0008631C">
        <w:rPr>
          <w:rFonts w:ascii="Arial" w:eastAsia="Times New Roman" w:hAnsi="Arial" w:cs="Arial"/>
          <w:i/>
          <w:iCs/>
          <w:lang w:val="es-ES"/>
        </w:rPr>
        <w:t xml:space="preserve"> Alliance for </w:t>
      </w:r>
      <w:proofErr w:type="spellStart"/>
      <w:r w:rsidRPr="0008631C">
        <w:rPr>
          <w:rFonts w:ascii="Arial" w:eastAsia="Times New Roman" w:hAnsi="Arial" w:cs="Arial"/>
          <w:i/>
          <w:iCs/>
          <w:lang w:val="es-ES"/>
        </w:rPr>
        <w:t>Women</w:t>
      </w:r>
      <w:proofErr w:type="spellEnd"/>
      <w:r w:rsidRPr="0008631C">
        <w:rPr>
          <w:rFonts w:ascii="Arial" w:eastAsia="Times New Roman" w:hAnsi="Arial" w:cs="Arial"/>
          <w:lang w:val="es-ES"/>
        </w:rPr>
        <w:t xml:space="preserve"> (FAFW) o la </w:t>
      </w:r>
      <w:r w:rsidRPr="0008631C">
        <w:rPr>
          <w:rFonts w:ascii="Arial" w:eastAsia="Times New Roman" w:hAnsi="Arial" w:cs="Arial"/>
          <w:i/>
          <w:iCs/>
          <w:lang w:val="es-ES"/>
        </w:rPr>
        <w:t>Corporación Financiera Internacional</w:t>
      </w:r>
      <w:r w:rsidRPr="0008631C">
        <w:rPr>
          <w:rFonts w:ascii="Arial" w:eastAsia="Times New Roman" w:hAnsi="Arial" w:cs="Arial"/>
          <w:lang w:val="es-ES"/>
        </w:rPr>
        <w:t xml:space="preserve"> (IFC) demuestran que las carteras de </w:t>
      </w:r>
      <w:r w:rsidR="007316FF" w:rsidRPr="0008631C">
        <w:rPr>
          <w:rFonts w:ascii="Arial" w:eastAsia="Times New Roman" w:hAnsi="Arial" w:cs="Arial"/>
          <w:lang w:val="es-ES"/>
        </w:rPr>
        <w:t>préstamos</w:t>
      </w:r>
      <w:r w:rsidRPr="0008631C">
        <w:rPr>
          <w:rFonts w:ascii="Arial" w:eastAsia="Times New Roman" w:hAnsi="Arial" w:cs="Arial"/>
          <w:lang w:val="es-ES"/>
        </w:rPr>
        <w:t xml:space="preserve"> a empresas de mujeres tienen menos prestamos en mora tanto a nivel global como regional. No obstante, las empresas de mujeres representan un tercio de todas las empresas en la región de ALC, pero solo el 5% de ellas declararon recibir crédito para comenzar o hacer crecer su negocio, lo cual es una demostración clara de la inminente necesidad de mejorar su acceso a la financiación y de cerrar la brecha financiera existente, que se estima es de alrededor de US $ 98 mil millones para empresas de mujeres a nivel de América Latina y el Caribe.</w:t>
      </w:r>
    </w:p>
    <w:p w14:paraId="4B94F101" w14:textId="77777777" w:rsidR="0008631C" w:rsidRPr="0008631C" w:rsidRDefault="0008631C" w:rsidP="0008631C">
      <w:pPr>
        <w:pStyle w:val="NormalWeb"/>
        <w:spacing w:before="120" w:beforeAutospacing="0" w:after="120" w:afterAutospacing="0"/>
        <w:jc w:val="both"/>
        <w:rPr>
          <w:rFonts w:ascii="Arial" w:hAnsi="Arial" w:cs="Arial"/>
          <w:sz w:val="22"/>
          <w:szCs w:val="22"/>
          <w:lang w:val="es-ES"/>
        </w:rPr>
      </w:pPr>
      <w:r w:rsidRPr="0008631C">
        <w:rPr>
          <w:rFonts w:ascii="Arial" w:hAnsi="Arial" w:cs="Arial"/>
          <w:sz w:val="22"/>
          <w:szCs w:val="22"/>
          <w:lang w:val="es-ES"/>
        </w:rPr>
        <w:t xml:space="preserve">La ausencia de datos financieros desagregados por </w:t>
      </w:r>
      <w:r w:rsidR="007316FF" w:rsidRPr="0008631C">
        <w:rPr>
          <w:rFonts w:ascii="Arial" w:hAnsi="Arial" w:cs="Arial"/>
          <w:sz w:val="22"/>
          <w:szCs w:val="22"/>
          <w:lang w:val="es-ES"/>
        </w:rPr>
        <w:t>género</w:t>
      </w:r>
      <w:r w:rsidRPr="0008631C">
        <w:rPr>
          <w:rFonts w:ascii="Arial" w:hAnsi="Arial" w:cs="Arial"/>
          <w:sz w:val="22"/>
          <w:szCs w:val="22"/>
          <w:lang w:val="es-ES"/>
        </w:rPr>
        <w:t xml:space="preserve">, es un impedimento estructural para que las instituciones financieras puedan diagnosticar las barreras al acceso de financiamiento, y puedan responder dirigiendo los recursos institucionales y de financiamiento donde </w:t>
      </w:r>
      <w:r w:rsidR="007316FF" w:rsidRPr="0008631C">
        <w:rPr>
          <w:rFonts w:ascii="Arial" w:hAnsi="Arial" w:cs="Arial"/>
          <w:sz w:val="22"/>
          <w:szCs w:val="22"/>
          <w:lang w:val="es-ES"/>
        </w:rPr>
        <w:t>más</w:t>
      </w:r>
      <w:r w:rsidRPr="0008631C">
        <w:rPr>
          <w:rFonts w:ascii="Arial" w:hAnsi="Arial" w:cs="Arial"/>
          <w:sz w:val="22"/>
          <w:szCs w:val="22"/>
          <w:lang w:val="es-ES"/>
        </w:rPr>
        <w:t xml:space="preserve"> son necesarios. La persistente brecha de financiamiento no solo impide el desarrollo de las empresas de la mujer, pero la de la economía nacional. Es por esto que la recolección, análisis y monitoreo de data sobre empresas de mujeres debe ser priorizada por las Bancas Nacionales de Desarrollo, cuyo rol a nivel de banca </w:t>
      </w:r>
      <w:r w:rsidRPr="0008631C">
        <w:rPr>
          <w:rFonts w:ascii="Arial" w:hAnsi="Arial" w:cs="Arial"/>
          <w:sz w:val="22"/>
          <w:szCs w:val="22"/>
          <w:lang w:val="es-ES"/>
        </w:rPr>
        <w:lastRenderedPageBreak/>
        <w:t>de primer y segundo piso tiene una alta incidencia sobre el acceso a financiamiento. Equipada con mejor información sobre como el sistema financiero atiende a la empresa de la mujer, la Banca Nacional de Desarrollo puede responder a las necesidades de este espacio creciente y así desplegar el financiamiento necesario para apoyar adecuadamente a este segmento.</w:t>
      </w:r>
    </w:p>
    <w:p w14:paraId="2BEE870F" w14:textId="77777777" w:rsidR="0008631C" w:rsidRPr="0008631C" w:rsidRDefault="0008631C" w:rsidP="0008631C">
      <w:pPr>
        <w:spacing w:before="120" w:after="120"/>
        <w:jc w:val="both"/>
        <w:rPr>
          <w:rFonts w:ascii="Arial" w:hAnsi="Arial" w:cs="Arial"/>
          <w:b/>
          <w:bCs/>
          <w:lang w:val="es-ES"/>
        </w:rPr>
      </w:pPr>
      <w:r w:rsidRPr="0008631C">
        <w:rPr>
          <w:rFonts w:ascii="Arial" w:hAnsi="Arial" w:cs="Arial"/>
          <w:b/>
          <w:bCs/>
          <w:lang w:val="es-ES"/>
        </w:rPr>
        <w:t xml:space="preserve">Estudio de data sobre empresas de mujeres en El Salvador y </w:t>
      </w:r>
      <w:r>
        <w:rPr>
          <w:rFonts w:ascii="Arial" w:hAnsi="Arial" w:cs="Arial"/>
          <w:b/>
          <w:bCs/>
          <w:lang w:val="es-ES"/>
        </w:rPr>
        <w:t>BANDESAL</w:t>
      </w:r>
    </w:p>
    <w:p w14:paraId="78C0202A" w14:textId="77777777" w:rsidR="0008631C" w:rsidRPr="0008631C" w:rsidRDefault="0008631C" w:rsidP="0008631C">
      <w:pPr>
        <w:spacing w:before="120" w:after="120"/>
        <w:jc w:val="both"/>
        <w:rPr>
          <w:rFonts w:ascii="Arial" w:hAnsi="Arial" w:cs="Arial"/>
          <w:lang w:val="es-ES"/>
        </w:rPr>
      </w:pPr>
      <w:r w:rsidRPr="0008631C">
        <w:rPr>
          <w:rFonts w:ascii="Arial" w:hAnsi="Arial" w:cs="Arial"/>
          <w:lang w:val="es-ES"/>
        </w:rPr>
        <w:t>Dentro de este contexto, el programa del BID de fortalecimiento de la capacidad institucional de la Banca Nacional de Desarrollo para atender a la mujer emprendedora, emprende esta consultoría como primer paso para diagnosticar el estado de la recolección, análisis y monitoreo de data sobre empresas de mujeres del Banco de Desarrollo de El Salvador (</w:t>
      </w:r>
      <w:r>
        <w:rPr>
          <w:rFonts w:ascii="Arial" w:hAnsi="Arial" w:cs="Arial"/>
          <w:lang w:val="es-ES"/>
        </w:rPr>
        <w:t>BANDESAL</w:t>
      </w:r>
      <w:r w:rsidRPr="0008631C">
        <w:rPr>
          <w:rFonts w:ascii="Arial" w:hAnsi="Arial" w:cs="Arial"/>
          <w:lang w:val="es-ES"/>
        </w:rPr>
        <w:t xml:space="preserve">) y recomendar como estas pueden ser optimizadas para mejorar el acceso a financiamiento para empresas de mujeres a través de la banca de primer y segundo piso que ofrece </w:t>
      </w:r>
      <w:r>
        <w:rPr>
          <w:rFonts w:ascii="Arial" w:hAnsi="Arial" w:cs="Arial"/>
          <w:lang w:val="es-ES"/>
        </w:rPr>
        <w:t>BANDESAL</w:t>
      </w:r>
      <w:r w:rsidRPr="0008631C">
        <w:rPr>
          <w:rFonts w:ascii="Arial" w:hAnsi="Arial" w:cs="Arial"/>
          <w:lang w:val="es-ES"/>
        </w:rPr>
        <w:t xml:space="preserve">. </w:t>
      </w:r>
    </w:p>
    <w:p w14:paraId="7D9EE3AA" w14:textId="77777777" w:rsidR="0008631C" w:rsidRPr="0008631C" w:rsidRDefault="0008631C" w:rsidP="0008631C">
      <w:pPr>
        <w:spacing w:before="120" w:after="120"/>
        <w:jc w:val="both"/>
        <w:rPr>
          <w:rFonts w:ascii="Arial" w:hAnsi="Arial" w:cs="Arial"/>
          <w:b/>
          <w:bCs/>
          <w:lang w:val="es-ES"/>
        </w:rPr>
      </w:pPr>
      <w:r w:rsidRPr="0008631C">
        <w:rPr>
          <w:rFonts w:ascii="Arial" w:hAnsi="Arial" w:cs="Arial"/>
          <w:b/>
          <w:bCs/>
          <w:lang w:val="es-ES"/>
        </w:rPr>
        <w:t>El Reporte</w:t>
      </w:r>
    </w:p>
    <w:p w14:paraId="5390ED10" w14:textId="77777777" w:rsidR="0008631C" w:rsidRPr="0008631C" w:rsidRDefault="0008631C" w:rsidP="0008631C">
      <w:pPr>
        <w:spacing w:before="120" w:after="120"/>
        <w:jc w:val="both"/>
        <w:rPr>
          <w:rFonts w:ascii="Arial" w:hAnsi="Arial" w:cs="Arial"/>
          <w:lang w:val="es-ES"/>
        </w:rPr>
      </w:pPr>
      <w:r w:rsidRPr="0008631C">
        <w:rPr>
          <w:rFonts w:ascii="Arial" w:hAnsi="Arial" w:cs="Arial"/>
          <w:lang w:val="es-ES"/>
        </w:rPr>
        <w:t xml:space="preserve">El objetivo del reporte es el estudiar, analizar y diagnosticar el estado corriente de la data sobre la empresa de la mujer en </w:t>
      </w:r>
      <w:r>
        <w:rPr>
          <w:rFonts w:ascii="Arial" w:hAnsi="Arial" w:cs="Arial"/>
          <w:lang w:val="es-ES"/>
        </w:rPr>
        <w:t>BANDESAL</w:t>
      </w:r>
      <w:r w:rsidRPr="0008631C">
        <w:rPr>
          <w:rFonts w:ascii="Arial" w:hAnsi="Arial" w:cs="Arial"/>
          <w:lang w:val="es-ES"/>
        </w:rPr>
        <w:t xml:space="preserve">. Esto </w:t>
      </w:r>
      <w:r w:rsidR="007316FF" w:rsidRPr="0008631C">
        <w:rPr>
          <w:rFonts w:ascii="Arial" w:hAnsi="Arial" w:cs="Arial"/>
          <w:lang w:val="es-ES"/>
        </w:rPr>
        <w:t>incluye,</w:t>
      </w:r>
      <w:r w:rsidRPr="0008631C">
        <w:rPr>
          <w:rFonts w:ascii="Arial" w:hAnsi="Arial" w:cs="Arial"/>
          <w:lang w:val="es-ES"/>
        </w:rPr>
        <w:t xml:space="preserve"> pero no se limita a las definiciones, sistemas de recopilación y mantenimiento, utilización, y análisis de data del segmento de empresa de la mujer. Así mismo, el reporte incluirá tendencias globales y regionales, mejores prácticas y otra información importante sobre el segmento. Finalmente, el reporte presentara recomendaciones para la recopilación, manejo, análisis y utilización interna de datos sobre la empresa de la mujer.</w:t>
      </w:r>
    </w:p>
    <w:p w14:paraId="79E365D6" w14:textId="77777777" w:rsidR="0008631C" w:rsidRPr="0008631C" w:rsidRDefault="0008631C" w:rsidP="0008631C">
      <w:pPr>
        <w:spacing w:before="120" w:after="120"/>
        <w:jc w:val="both"/>
        <w:rPr>
          <w:rFonts w:ascii="Arial" w:hAnsi="Arial" w:cs="Arial"/>
          <w:b/>
          <w:bCs/>
          <w:lang w:val="es-ES"/>
        </w:rPr>
      </w:pPr>
      <w:r w:rsidRPr="0008631C">
        <w:rPr>
          <w:rFonts w:ascii="Arial" w:hAnsi="Arial" w:cs="Arial"/>
          <w:b/>
          <w:bCs/>
          <w:lang w:val="es-ES"/>
        </w:rPr>
        <w:t>Metodología</w:t>
      </w:r>
    </w:p>
    <w:p w14:paraId="23C6B995" w14:textId="77777777" w:rsidR="0008631C" w:rsidRPr="0008631C" w:rsidRDefault="0008631C" w:rsidP="0008631C">
      <w:pPr>
        <w:spacing w:before="120" w:after="120"/>
        <w:jc w:val="both"/>
        <w:rPr>
          <w:rFonts w:ascii="Arial" w:hAnsi="Arial" w:cs="Arial"/>
          <w:lang w:val="es-ES"/>
        </w:rPr>
      </w:pPr>
      <w:r w:rsidRPr="0008631C">
        <w:rPr>
          <w:rFonts w:ascii="Arial" w:hAnsi="Arial" w:cs="Arial"/>
          <w:lang w:val="es-ES"/>
        </w:rPr>
        <w:t>La consultoría tendrá 3 componentes metodológicos principales:</w:t>
      </w:r>
    </w:p>
    <w:p w14:paraId="19CA3FE7" w14:textId="77777777" w:rsidR="0008631C" w:rsidRPr="0008631C" w:rsidRDefault="0008631C" w:rsidP="0008631C">
      <w:pPr>
        <w:pStyle w:val="ListParagraph"/>
        <w:numPr>
          <w:ilvl w:val="0"/>
          <w:numId w:val="37"/>
        </w:numPr>
        <w:spacing w:before="120" w:after="120"/>
        <w:jc w:val="both"/>
        <w:rPr>
          <w:rFonts w:ascii="Arial" w:hAnsi="Arial" w:cs="Arial"/>
          <w:sz w:val="22"/>
          <w:szCs w:val="22"/>
          <w:lang w:val="es-ES"/>
        </w:rPr>
      </w:pPr>
      <w:r w:rsidRPr="0008631C">
        <w:rPr>
          <w:rFonts w:ascii="Arial" w:hAnsi="Arial" w:cs="Arial"/>
          <w:b/>
          <w:bCs/>
          <w:sz w:val="22"/>
          <w:szCs w:val="22"/>
          <w:lang w:val="es-ES"/>
        </w:rPr>
        <w:t>Estudio de Documentación:</w:t>
      </w:r>
      <w:r w:rsidRPr="0008631C">
        <w:rPr>
          <w:rFonts w:ascii="Arial" w:hAnsi="Arial" w:cs="Arial"/>
          <w:sz w:val="22"/>
          <w:szCs w:val="22"/>
          <w:lang w:val="es-ES"/>
        </w:rPr>
        <w:t xml:space="preserve"> A través de un estudio de la documentación internacional, regional, El Salvador y </w:t>
      </w:r>
      <w:r>
        <w:rPr>
          <w:rFonts w:ascii="Arial" w:hAnsi="Arial" w:cs="Arial"/>
          <w:sz w:val="22"/>
          <w:szCs w:val="22"/>
          <w:lang w:val="es-ES"/>
        </w:rPr>
        <w:t>BANDESAL</w:t>
      </w:r>
      <w:r w:rsidRPr="0008631C">
        <w:rPr>
          <w:rFonts w:ascii="Arial" w:hAnsi="Arial" w:cs="Arial"/>
          <w:sz w:val="22"/>
          <w:szCs w:val="22"/>
          <w:lang w:val="es-ES"/>
        </w:rPr>
        <w:t xml:space="preserve">, permitirá establecer las mejores </w:t>
      </w:r>
      <w:r w:rsidR="007316FF" w:rsidRPr="0008631C">
        <w:rPr>
          <w:rFonts w:ascii="Arial" w:hAnsi="Arial" w:cs="Arial"/>
          <w:sz w:val="22"/>
          <w:szCs w:val="22"/>
          <w:lang w:val="es-ES"/>
        </w:rPr>
        <w:t>prácticas</w:t>
      </w:r>
      <w:r w:rsidRPr="0008631C">
        <w:rPr>
          <w:rFonts w:ascii="Arial" w:hAnsi="Arial" w:cs="Arial"/>
          <w:sz w:val="22"/>
          <w:szCs w:val="22"/>
          <w:lang w:val="es-ES"/>
        </w:rPr>
        <w:t>, opciones, directrices y objetivos dentro del marco legal, regulatorio e institucional.</w:t>
      </w:r>
    </w:p>
    <w:p w14:paraId="7F025249" w14:textId="77777777" w:rsidR="0008631C" w:rsidRPr="0008631C" w:rsidRDefault="0008631C" w:rsidP="0008631C">
      <w:pPr>
        <w:pStyle w:val="ListParagraph"/>
        <w:numPr>
          <w:ilvl w:val="0"/>
          <w:numId w:val="37"/>
        </w:numPr>
        <w:spacing w:before="120" w:after="120"/>
        <w:jc w:val="both"/>
        <w:rPr>
          <w:rFonts w:ascii="Arial" w:hAnsi="Arial" w:cs="Arial"/>
          <w:sz w:val="22"/>
          <w:szCs w:val="22"/>
          <w:lang w:val="es-ES"/>
        </w:rPr>
      </w:pPr>
      <w:r w:rsidRPr="0008631C">
        <w:rPr>
          <w:rFonts w:ascii="Arial" w:hAnsi="Arial" w:cs="Arial"/>
          <w:b/>
          <w:bCs/>
          <w:sz w:val="22"/>
          <w:szCs w:val="22"/>
          <w:lang w:val="es-ES"/>
        </w:rPr>
        <w:t>Entrevistas:</w:t>
      </w:r>
      <w:r w:rsidRPr="0008631C">
        <w:rPr>
          <w:rFonts w:ascii="Arial" w:hAnsi="Arial" w:cs="Arial"/>
          <w:sz w:val="22"/>
          <w:szCs w:val="22"/>
          <w:lang w:val="es-ES"/>
        </w:rPr>
        <w:t xml:space="preserve"> Dadas las limitaciones al transporte internacional impuesto por la emergencia de salud del COVID-19, se efectuarán varias entrevistas con el personal a nivel regulatorio de la Banca en El Salvador, y a todos los niveles de </w:t>
      </w:r>
      <w:r>
        <w:rPr>
          <w:rFonts w:ascii="Arial" w:hAnsi="Arial" w:cs="Arial"/>
          <w:sz w:val="22"/>
          <w:szCs w:val="22"/>
          <w:lang w:val="es-ES"/>
        </w:rPr>
        <w:t>BANDESAL</w:t>
      </w:r>
      <w:r w:rsidRPr="0008631C">
        <w:rPr>
          <w:rFonts w:ascii="Arial" w:hAnsi="Arial" w:cs="Arial"/>
          <w:sz w:val="22"/>
          <w:szCs w:val="22"/>
          <w:lang w:val="es-ES"/>
        </w:rPr>
        <w:t xml:space="preserve"> para poder establecer el estado corriente, las prioridades de la institución, las capacidades técnicas y el marco contextual dentro del cual se ofrecerían recomendaciones.</w:t>
      </w:r>
    </w:p>
    <w:p w14:paraId="171BC4C4" w14:textId="77777777" w:rsidR="0008631C" w:rsidRDefault="0008631C" w:rsidP="0008631C">
      <w:pPr>
        <w:pStyle w:val="ListParagraph"/>
        <w:numPr>
          <w:ilvl w:val="0"/>
          <w:numId w:val="37"/>
        </w:numPr>
        <w:spacing w:before="120" w:after="120"/>
        <w:jc w:val="both"/>
        <w:rPr>
          <w:rFonts w:ascii="Arial" w:hAnsi="Arial" w:cs="Arial"/>
          <w:sz w:val="22"/>
          <w:szCs w:val="22"/>
          <w:lang w:val="es-ES"/>
        </w:rPr>
      </w:pPr>
      <w:r w:rsidRPr="0008631C">
        <w:rPr>
          <w:rFonts w:ascii="Arial" w:hAnsi="Arial" w:cs="Arial"/>
          <w:b/>
          <w:bCs/>
          <w:sz w:val="22"/>
          <w:szCs w:val="22"/>
          <w:lang w:val="es-ES"/>
        </w:rPr>
        <w:t xml:space="preserve">Evaluación de Opciones: </w:t>
      </w:r>
      <w:r w:rsidRPr="0008631C">
        <w:rPr>
          <w:rFonts w:ascii="Arial" w:hAnsi="Arial" w:cs="Arial"/>
          <w:sz w:val="22"/>
          <w:szCs w:val="22"/>
          <w:lang w:val="es-ES"/>
        </w:rPr>
        <w:t xml:space="preserve">Una vez completado el Estudio de Documentación (1) y las Entrevistas (2) se </w:t>
      </w:r>
      <w:r w:rsidR="007316FF" w:rsidRPr="0008631C">
        <w:rPr>
          <w:rFonts w:ascii="Arial" w:hAnsi="Arial" w:cs="Arial"/>
          <w:sz w:val="22"/>
          <w:szCs w:val="22"/>
          <w:lang w:val="es-ES"/>
        </w:rPr>
        <w:t>analizarán</w:t>
      </w:r>
      <w:r w:rsidRPr="0008631C">
        <w:rPr>
          <w:rFonts w:ascii="Arial" w:hAnsi="Arial" w:cs="Arial"/>
          <w:sz w:val="22"/>
          <w:szCs w:val="22"/>
          <w:lang w:val="es-ES"/>
        </w:rPr>
        <w:t xml:space="preserve"> las opciones de implementación existentes, para a raíz de esto elaborar las recomendaciones para la institución.</w:t>
      </w:r>
    </w:p>
    <w:p w14:paraId="1F584BA0" w14:textId="77777777" w:rsidR="0008631C" w:rsidRDefault="0008631C">
      <w:pPr>
        <w:spacing w:after="160" w:line="259" w:lineRule="auto"/>
        <w:rPr>
          <w:rFonts w:ascii="Arial" w:eastAsia="Times New Roman" w:hAnsi="Arial" w:cs="Arial"/>
          <w:lang w:val="es-ES" w:eastAsia="en-US"/>
        </w:rPr>
      </w:pPr>
      <w:r>
        <w:rPr>
          <w:rFonts w:ascii="Arial" w:hAnsi="Arial" w:cs="Arial"/>
          <w:lang w:val="es-ES"/>
        </w:rPr>
        <w:br w:type="page"/>
      </w:r>
    </w:p>
    <w:p w14:paraId="195A0A5A" w14:textId="77777777" w:rsidR="0008631C" w:rsidRPr="0008631C" w:rsidRDefault="0008631C" w:rsidP="0008631C">
      <w:pPr>
        <w:spacing w:before="120" w:after="120"/>
        <w:rPr>
          <w:rFonts w:ascii="Arial" w:hAnsi="Arial" w:cs="Arial"/>
          <w:b/>
          <w:bCs/>
          <w:lang w:val="es-ES"/>
        </w:rPr>
      </w:pPr>
      <w:r w:rsidRPr="0008631C">
        <w:rPr>
          <w:rFonts w:ascii="Arial" w:hAnsi="Arial" w:cs="Arial"/>
          <w:b/>
          <w:bCs/>
          <w:lang w:val="es-ES"/>
        </w:rPr>
        <w:lastRenderedPageBreak/>
        <w:t>Esquema Borrador del Reporte</w:t>
      </w:r>
    </w:p>
    <w:p w14:paraId="2E4BCE47" w14:textId="77777777" w:rsidR="0008631C" w:rsidRPr="0008631C" w:rsidRDefault="0008631C" w:rsidP="0008631C">
      <w:pPr>
        <w:spacing w:before="120" w:after="120"/>
        <w:jc w:val="both"/>
        <w:rPr>
          <w:rFonts w:ascii="Arial" w:hAnsi="Arial" w:cs="Arial"/>
          <w:lang w:val="es-ES"/>
        </w:rPr>
      </w:pPr>
      <w:r w:rsidRPr="0008631C">
        <w:rPr>
          <w:rFonts w:ascii="Arial" w:hAnsi="Arial" w:cs="Arial"/>
          <w:lang w:val="es-ES"/>
        </w:rPr>
        <w:t>El siguiente es un esquema borrador para el reporte a elaborarse como resultado final del Proyecto y como referente a las actividades:</w:t>
      </w:r>
    </w:p>
    <w:p w14:paraId="2D353A62" w14:textId="77777777" w:rsidR="0008631C" w:rsidRPr="0008631C" w:rsidRDefault="0008631C" w:rsidP="0008631C">
      <w:pPr>
        <w:pStyle w:val="ListParagraph"/>
        <w:numPr>
          <w:ilvl w:val="0"/>
          <w:numId w:val="36"/>
        </w:numPr>
        <w:spacing w:before="120" w:after="120"/>
        <w:rPr>
          <w:rFonts w:ascii="Arial" w:hAnsi="Arial" w:cs="Arial"/>
          <w:sz w:val="22"/>
          <w:szCs w:val="22"/>
          <w:lang w:val="es-ES"/>
        </w:rPr>
      </w:pPr>
      <w:r w:rsidRPr="0008631C">
        <w:rPr>
          <w:rFonts w:ascii="Arial" w:hAnsi="Arial" w:cs="Arial"/>
          <w:sz w:val="22"/>
          <w:szCs w:val="22"/>
          <w:lang w:val="es-ES"/>
        </w:rPr>
        <w:t>Contenido</w:t>
      </w:r>
    </w:p>
    <w:p w14:paraId="6E0D8B1B" w14:textId="77777777" w:rsidR="0008631C" w:rsidRPr="0008631C" w:rsidRDefault="0008631C" w:rsidP="0008631C">
      <w:pPr>
        <w:pStyle w:val="ListParagraph"/>
        <w:numPr>
          <w:ilvl w:val="0"/>
          <w:numId w:val="36"/>
        </w:numPr>
        <w:spacing w:before="120" w:after="120"/>
        <w:rPr>
          <w:rFonts w:ascii="Arial" w:hAnsi="Arial" w:cs="Arial"/>
          <w:sz w:val="22"/>
          <w:szCs w:val="22"/>
          <w:lang w:val="es-ES"/>
        </w:rPr>
      </w:pPr>
      <w:r w:rsidRPr="0008631C">
        <w:rPr>
          <w:rFonts w:ascii="Arial" w:hAnsi="Arial" w:cs="Arial"/>
          <w:sz w:val="22"/>
          <w:szCs w:val="22"/>
          <w:lang w:val="es-ES"/>
        </w:rPr>
        <w:t>Resumen Ejecutivo</w:t>
      </w:r>
    </w:p>
    <w:p w14:paraId="189E6BEB" w14:textId="77777777" w:rsidR="0008631C" w:rsidRPr="0008631C" w:rsidRDefault="0008631C" w:rsidP="0008631C">
      <w:pPr>
        <w:pStyle w:val="ListParagraph"/>
        <w:numPr>
          <w:ilvl w:val="0"/>
          <w:numId w:val="36"/>
        </w:numPr>
        <w:spacing w:before="120" w:after="120"/>
        <w:rPr>
          <w:rFonts w:ascii="Arial" w:hAnsi="Arial" w:cs="Arial"/>
          <w:sz w:val="22"/>
          <w:szCs w:val="22"/>
          <w:lang w:val="es-ES"/>
        </w:rPr>
      </w:pPr>
      <w:r w:rsidRPr="0008631C">
        <w:rPr>
          <w:rFonts w:ascii="Arial" w:hAnsi="Arial" w:cs="Arial"/>
          <w:sz w:val="22"/>
          <w:szCs w:val="22"/>
          <w:lang w:val="es-ES"/>
        </w:rPr>
        <w:t>Glosario</w:t>
      </w:r>
    </w:p>
    <w:p w14:paraId="109ED96F" w14:textId="77777777" w:rsidR="0008631C" w:rsidRPr="0008631C" w:rsidRDefault="0008631C" w:rsidP="0008631C">
      <w:pPr>
        <w:pStyle w:val="ListParagraph"/>
        <w:numPr>
          <w:ilvl w:val="0"/>
          <w:numId w:val="36"/>
        </w:numPr>
        <w:spacing w:before="120" w:after="120"/>
        <w:rPr>
          <w:rFonts w:ascii="Arial" w:hAnsi="Arial" w:cs="Arial"/>
          <w:sz w:val="22"/>
          <w:szCs w:val="22"/>
          <w:lang w:val="es-ES"/>
        </w:rPr>
      </w:pPr>
      <w:r w:rsidRPr="0008631C">
        <w:rPr>
          <w:rFonts w:ascii="Arial" w:hAnsi="Arial" w:cs="Arial"/>
          <w:sz w:val="22"/>
          <w:szCs w:val="22"/>
          <w:lang w:val="es-ES"/>
        </w:rPr>
        <w:t>Prefacio/Antecedentes</w:t>
      </w:r>
    </w:p>
    <w:p w14:paraId="3908409B" w14:textId="77777777" w:rsidR="0008631C" w:rsidRPr="0008631C" w:rsidRDefault="0008631C" w:rsidP="0008631C">
      <w:pPr>
        <w:pStyle w:val="ListParagraph"/>
        <w:numPr>
          <w:ilvl w:val="0"/>
          <w:numId w:val="36"/>
        </w:numPr>
        <w:spacing w:before="120" w:after="120"/>
        <w:rPr>
          <w:rFonts w:ascii="Arial" w:hAnsi="Arial" w:cs="Arial"/>
          <w:sz w:val="22"/>
          <w:szCs w:val="22"/>
          <w:lang w:val="es-ES"/>
        </w:rPr>
      </w:pPr>
      <w:r w:rsidRPr="0008631C">
        <w:rPr>
          <w:rFonts w:ascii="Arial" w:hAnsi="Arial" w:cs="Arial"/>
          <w:sz w:val="22"/>
          <w:szCs w:val="22"/>
          <w:lang w:val="es-ES"/>
        </w:rPr>
        <w:t>Introducción</w:t>
      </w:r>
    </w:p>
    <w:p w14:paraId="0CA34684" w14:textId="77777777" w:rsidR="0008631C" w:rsidRPr="0008631C" w:rsidRDefault="0008631C" w:rsidP="0008631C">
      <w:pPr>
        <w:pStyle w:val="ListParagraph"/>
        <w:numPr>
          <w:ilvl w:val="0"/>
          <w:numId w:val="36"/>
        </w:numPr>
        <w:spacing w:before="120" w:after="120"/>
        <w:rPr>
          <w:rFonts w:ascii="Arial" w:hAnsi="Arial" w:cs="Arial"/>
          <w:sz w:val="22"/>
          <w:szCs w:val="22"/>
          <w:lang w:val="es-ES"/>
        </w:rPr>
      </w:pPr>
      <w:r w:rsidRPr="0008631C">
        <w:rPr>
          <w:rFonts w:ascii="Arial" w:hAnsi="Arial" w:cs="Arial"/>
          <w:sz w:val="22"/>
          <w:szCs w:val="22"/>
          <w:lang w:val="es-ES"/>
        </w:rPr>
        <w:t>Datos Financieros Desagregados por Género</w:t>
      </w:r>
    </w:p>
    <w:p w14:paraId="6ED4DF03" w14:textId="77777777" w:rsidR="0008631C" w:rsidRPr="0008631C" w:rsidRDefault="0008631C" w:rsidP="0008631C">
      <w:pPr>
        <w:pStyle w:val="ListParagraph"/>
        <w:numPr>
          <w:ilvl w:val="1"/>
          <w:numId w:val="36"/>
        </w:numPr>
        <w:spacing w:before="120" w:after="120"/>
        <w:rPr>
          <w:rFonts w:ascii="Arial" w:hAnsi="Arial" w:cs="Arial"/>
          <w:sz w:val="22"/>
          <w:szCs w:val="22"/>
          <w:lang w:val="es-ES"/>
        </w:rPr>
      </w:pPr>
      <w:r w:rsidRPr="0008631C">
        <w:rPr>
          <w:rFonts w:ascii="Arial" w:hAnsi="Arial" w:cs="Arial"/>
          <w:sz w:val="22"/>
          <w:szCs w:val="22"/>
          <w:lang w:val="es-ES"/>
        </w:rPr>
        <w:t>Fuentes de Datos</w:t>
      </w:r>
    </w:p>
    <w:p w14:paraId="777C649B" w14:textId="77777777" w:rsidR="0008631C" w:rsidRPr="0008631C" w:rsidRDefault="0008631C" w:rsidP="0008631C">
      <w:pPr>
        <w:pStyle w:val="ListParagraph"/>
        <w:numPr>
          <w:ilvl w:val="2"/>
          <w:numId w:val="36"/>
        </w:numPr>
        <w:spacing w:before="120" w:after="120"/>
        <w:rPr>
          <w:rFonts w:ascii="Arial" w:hAnsi="Arial" w:cs="Arial"/>
          <w:sz w:val="22"/>
          <w:szCs w:val="22"/>
          <w:lang w:val="es-ES"/>
        </w:rPr>
      </w:pPr>
      <w:r w:rsidRPr="0008631C">
        <w:rPr>
          <w:rFonts w:ascii="Arial" w:hAnsi="Arial" w:cs="Arial"/>
          <w:sz w:val="22"/>
          <w:szCs w:val="22"/>
          <w:lang w:val="es-ES"/>
        </w:rPr>
        <w:t>Demanda</w:t>
      </w:r>
    </w:p>
    <w:p w14:paraId="7A2C8B83" w14:textId="77777777" w:rsidR="0008631C" w:rsidRPr="0008631C" w:rsidRDefault="0008631C" w:rsidP="0008631C">
      <w:pPr>
        <w:pStyle w:val="ListParagraph"/>
        <w:numPr>
          <w:ilvl w:val="2"/>
          <w:numId w:val="36"/>
        </w:numPr>
        <w:spacing w:before="120" w:after="120"/>
        <w:rPr>
          <w:rFonts w:ascii="Arial" w:hAnsi="Arial" w:cs="Arial"/>
          <w:sz w:val="22"/>
          <w:szCs w:val="22"/>
          <w:lang w:val="es-ES"/>
        </w:rPr>
      </w:pPr>
      <w:r w:rsidRPr="0008631C">
        <w:rPr>
          <w:rFonts w:ascii="Arial" w:hAnsi="Arial" w:cs="Arial"/>
          <w:sz w:val="22"/>
          <w:szCs w:val="22"/>
          <w:lang w:val="es-ES"/>
        </w:rPr>
        <w:t>Oferta</w:t>
      </w:r>
    </w:p>
    <w:p w14:paraId="19F10E83" w14:textId="77777777" w:rsidR="0008631C" w:rsidRPr="0008631C" w:rsidRDefault="0008631C" w:rsidP="0008631C">
      <w:pPr>
        <w:pStyle w:val="ListParagraph"/>
        <w:numPr>
          <w:ilvl w:val="1"/>
          <w:numId w:val="36"/>
        </w:numPr>
        <w:spacing w:before="120" w:after="120"/>
        <w:rPr>
          <w:rFonts w:ascii="Arial" w:hAnsi="Arial" w:cs="Arial"/>
          <w:sz w:val="22"/>
          <w:szCs w:val="22"/>
          <w:lang w:val="es-ES"/>
        </w:rPr>
      </w:pPr>
      <w:r w:rsidRPr="0008631C">
        <w:rPr>
          <w:rFonts w:ascii="Arial" w:hAnsi="Arial" w:cs="Arial"/>
          <w:sz w:val="22"/>
          <w:szCs w:val="22"/>
          <w:lang w:val="es-ES"/>
        </w:rPr>
        <w:t>Desagregación de Género de Datos Financieros</w:t>
      </w:r>
    </w:p>
    <w:p w14:paraId="4FC67D0C" w14:textId="77777777" w:rsidR="0008631C" w:rsidRPr="0008631C" w:rsidRDefault="0008631C" w:rsidP="0008631C">
      <w:pPr>
        <w:pStyle w:val="ListParagraph"/>
        <w:numPr>
          <w:ilvl w:val="1"/>
          <w:numId w:val="36"/>
        </w:numPr>
        <w:spacing w:before="120" w:after="120"/>
        <w:rPr>
          <w:rFonts w:ascii="Arial" w:hAnsi="Arial" w:cs="Arial"/>
          <w:sz w:val="22"/>
          <w:szCs w:val="22"/>
          <w:lang w:val="es-ES"/>
        </w:rPr>
      </w:pPr>
      <w:r w:rsidRPr="0008631C">
        <w:rPr>
          <w:rFonts w:ascii="Arial" w:hAnsi="Arial" w:cs="Arial"/>
          <w:sz w:val="22"/>
          <w:szCs w:val="22"/>
          <w:lang w:val="es-ES"/>
        </w:rPr>
        <w:t>Datos Financieros e Inclusión</w:t>
      </w:r>
    </w:p>
    <w:p w14:paraId="0CB81DD0" w14:textId="77777777" w:rsidR="0008631C" w:rsidRPr="0008631C" w:rsidRDefault="0008631C" w:rsidP="0008631C">
      <w:pPr>
        <w:pStyle w:val="ListParagraph"/>
        <w:numPr>
          <w:ilvl w:val="0"/>
          <w:numId w:val="36"/>
        </w:numPr>
        <w:spacing w:before="120" w:after="120"/>
        <w:rPr>
          <w:rFonts w:ascii="Arial" w:hAnsi="Arial" w:cs="Arial"/>
          <w:sz w:val="22"/>
          <w:szCs w:val="22"/>
          <w:lang w:val="es-ES"/>
        </w:rPr>
      </w:pPr>
      <w:r w:rsidRPr="0008631C">
        <w:rPr>
          <w:rFonts w:ascii="Arial" w:hAnsi="Arial" w:cs="Arial"/>
          <w:sz w:val="22"/>
          <w:szCs w:val="22"/>
          <w:lang w:val="es-ES"/>
        </w:rPr>
        <w:t xml:space="preserve">Mejores </w:t>
      </w:r>
      <w:r w:rsidR="007316FF" w:rsidRPr="0008631C">
        <w:rPr>
          <w:rFonts w:ascii="Arial" w:hAnsi="Arial" w:cs="Arial"/>
          <w:sz w:val="22"/>
          <w:szCs w:val="22"/>
          <w:lang w:val="es-ES"/>
        </w:rPr>
        <w:t>Prácticas</w:t>
      </w:r>
      <w:r w:rsidRPr="0008631C">
        <w:rPr>
          <w:rFonts w:ascii="Arial" w:hAnsi="Arial" w:cs="Arial"/>
          <w:sz w:val="22"/>
          <w:szCs w:val="22"/>
          <w:lang w:val="es-ES"/>
        </w:rPr>
        <w:t xml:space="preserve"> de Indicadores Financieros Desagregados Por Genero</w:t>
      </w:r>
    </w:p>
    <w:p w14:paraId="0E5C6FFC" w14:textId="77777777" w:rsidR="0008631C" w:rsidRPr="0008631C" w:rsidRDefault="0008631C" w:rsidP="0008631C">
      <w:pPr>
        <w:pStyle w:val="ListParagraph"/>
        <w:numPr>
          <w:ilvl w:val="1"/>
          <w:numId w:val="36"/>
        </w:numPr>
        <w:spacing w:before="120" w:after="120"/>
        <w:rPr>
          <w:rFonts w:ascii="Arial" w:hAnsi="Arial" w:cs="Arial"/>
          <w:sz w:val="22"/>
          <w:szCs w:val="22"/>
          <w:lang w:val="es-ES"/>
        </w:rPr>
      </w:pPr>
      <w:r w:rsidRPr="0008631C">
        <w:rPr>
          <w:rFonts w:ascii="Arial" w:hAnsi="Arial" w:cs="Arial"/>
          <w:sz w:val="22"/>
          <w:szCs w:val="22"/>
          <w:lang w:val="es-ES"/>
        </w:rPr>
        <w:t xml:space="preserve">Mejores </w:t>
      </w:r>
      <w:r w:rsidR="007316FF" w:rsidRPr="0008631C">
        <w:rPr>
          <w:rFonts w:ascii="Arial" w:hAnsi="Arial" w:cs="Arial"/>
          <w:sz w:val="22"/>
          <w:szCs w:val="22"/>
          <w:lang w:val="es-ES"/>
        </w:rPr>
        <w:t>Prácticas</w:t>
      </w:r>
      <w:r w:rsidRPr="0008631C">
        <w:rPr>
          <w:rFonts w:ascii="Arial" w:hAnsi="Arial" w:cs="Arial"/>
          <w:sz w:val="22"/>
          <w:szCs w:val="22"/>
          <w:lang w:val="es-ES"/>
        </w:rPr>
        <w:t xml:space="preserve"> Internacionales</w:t>
      </w:r>
    </w:p>
    <w:p w14:paraId="0B40CB9A" w14:textId="77777777" w:rsidR="0008631C" w:rsidRPr="0008631C" w:rsidRDefault="0008631C" w:rsidP="0008631C">
      <w:pPr>
        <w:pStyle w:val="ListParagraph"/>
        <w:numPr>
          <w:ilvl w:val="2"/>
          <w:numId w:val="36"/>
        </w:numPr>
        <w:spacing w:before="120" w:after="120"/>
        <w:rPr>
          <w:rFonts w:ascii="Arial" w:hAnsi="Arial" w:cs="Arial"/>
          <w:sz w:val="22"/>
          <w:szCs w:val="22"/>
          <w:lang w:val="es-ES"/>
        </w:rPr>
      </w:pPr>
      <w:r w:rsidRPr="0008631C">
        <w:rPr>
          <w:rFonts w:ascii="Arial" w:hAnsi="Arial" w:cs="Arial"/>
          <w:sz w:val="22"/>
          <w:szCs w:val="22"/>
          <w:lang w:val="es-ES"/>
        </w:rPr>
        <w:t>Multilaterales</w:t>
      </w:r>
    </w:p>
    <w:p w14:paraId="4FCF7723" w14:textId="77777777" w:rsidR="0008631C" w:rsidRPr="0008631C" w:rsidRDefault="0008631C" w:rsidP="0008631C">
      <w:pPr>
        <w:pStyle w:val="ListParagraph"/>
        <w:numPr>
          <w:ilvl w:val="3"/>
          <w:numId w:val="36"/>
        </w:numPr>
        <w:spacing w:before="120" w:after="120"/>
        <w:rPr>
          <w:rFonts w:ascii="Arial" w:hAnsi="Arial" w:cs="Arial"/>
          <w:sz w:val="22"/>
          <w:szCs w:val="22"/>
          <w:lang w:val="es-ES"/>
        </w:rPr>
      </w:pPr>
      <w:r w:rsidRPr="0008631C">
        <w:rPr>
          <w:rFonts w:ascii="Arial" w:hAnsi="Arial" w:cs="Arial"/>
          <w:sz w:val="22"/>
          <w:szCs w:val="22"/>
          <w:lang w:val="es-ES"/>
        </w:rPr>
        <w:t>IDB</w:t>
      </w:r>
    </w:p>
    <w:p w14:paraId="651A4949" w14:textId="77777777" w:rsidR="0008631C" w:rsidRPr="0008631C" w:rsidRDefault="0008631C" w:rsidP="0008631C">
      <w:pPr>
        <w:pStyle w:val="ListParagraph"/>
        <w:numPr>
          <w:ilvl w:val="3"/>
          <w:numId w:val="36"/>
        </w:numPr>
        <w:spacing w:before="120" w:after="120"/>
        <w:rPr>
          <w:rFonts w:ascii="Arial" w:hAnsi="Arial" w:cs="Arial"/>
          <w:sz w:val="22"/>
          <w:szCs w:val="22"/>
          <w:lang w:val="es-ES"/>
        </w:rPr>
      </w:pPr>
      <w:proofErr w:type="spellStart"/>
      <w:r w:rsidRPr="0008631C">
        <w:rPr>
          <w:rFonts w:ascii="Arial" w:hAnsi="Arial" w:cs="Arial"/>
          <w:sz w:val="22"/>
          <w:szCs w:val="22"/>
          <w:lang w:val="es-ES"/>
        </w:rPr>
        <w:t>World</w:t>
      </w:r>
      <w:proofErr w:type="spellEnd"/>
      <w:r w:rsidRPr="0008631C">
        <w:rPr>
          <w:rFonts w:ascii="Arial" w:hAnsi="Arial" w:cs="Arial"/>
          <w:sz w:val="22"/>
          <w:szCs w:val="22"/>
          <w:lang w:val="es-ES"/>
        </w:rPr>
        <w:t xml:space="preserve"> Bank, FMI, etc.</w:t>
      </w:r>
    </w:p>
    <w:p w14:paraId="3C7A71FA" w14:textId="77777777" w:rsidR="0008631C" w:rsidRPr="0008631C" w:rsidRDefault="0008631C" w:rsidP="0008631C">
      <w:pPr>
        <w:pStyle w:val="ListParagraph"/>
        <w:numPr>
          <w:ilvl w:val="3"/>
          <w:numId w:val="36"/>
        </w:numPr>
        <w:spacing w:before="120" w:after="120"/>
        <w:rPr>
          <w:rFonts w:ascii="Arial" w:hAnsi="Arial" w:cs="Arial"/>
          <w:sz w:val="22"/>
          <w:szCs w:val="22"/>
          <w:lang w:val="es-ES"/>
        </w:rPr>
      </w:pPr>
      <w:r w:rsidRPr="0008631C">
        <w:rPr>
          <w:rFonts w:ascii="Arial" w:hAnsi="Arial" w:cs="Arial"/>
          <w:sz w:val="22"/>
          <w:szCs w:val="22"/>
          <w:lang w:val="es-ES"/>
        </w:rPr>
        <w:t>Banca Privada</w:t>
      </w:r>
    </w:p>
    <w:p w14:paraId="40735258" w14:textId="77777777" w:rsidR="0008631C" w:rsidRPr="0008631C" w:rsidRDefault="0008631C" w:rsidP="0008631C">
      <w:pPr>
        <w:pStyle w:val="ListParagraph"/>
        <w:numPr>
          <w:ilvl w:val="4"/>
          <w:numId w:val="36"/>
        </w:numPr>
        <w:spacing w:before="120" w:after="120"/>
        <w:rPr>
          <w:rFonts w:ascii="Arial" w:hAnsi="Arial" w:cs="Arial"/>
          <w:sz w:val="22"/>
          <w:szCs w:val="22"/>
          <w:lang w:val="es-ES"/>
        </w:rPr>
      </w:pPr>
      <w:r w:rsidRPr="0008631C">
        <w:rPr>
          <w:rFonts w:ascii="Arial" w:hAnsi="Arial" w:cs="Arial"/>
          <w:sz w:val="22"/>
          <w:szCs w:val="22"/>
          <w:lang w:val="es-ES"/>
        </w:rPr>
        <w:t>Casos de Estudio</w:t>
      </w:r>
    </w:p>
    <w:p w14:paraId="232AE199" w14:textId="77777777" w:rsidR="0008631C" w:rsidRPr="0008631C" w:rsidRDefault="0008631C" w:rsidP="0008631C">
      <w:pPr>
        <w:pStyle w:val="ListParagraph"/>
        <w:numPr>
          <w:ilvl w:val="3"/>
          <w:numId w:val="36"/>
        </w:numPr>
        <w:spacing w:before="120" w:after="120"/>
        <w:rPr>
          <w:rFonts w:ascii="Arial" w:hAnsi="Arial" w:cs="Arial"/>
          <w:sz w:val="22"/>
          <w:szCs w:val="22"/>
          <w:lang w:val="es-ES"/>
        </w:rPr>
      </w:pPr>
      <w:r w:rsidRPr="0008631C">
        <w:rPr>
          <w:rFonts w:ascii="Arial" w:hAnsi="Arial" w:cs="Arial"/>
          <w:sz w:val="22"/>
          <w:szCs w:val="22"/>
          <w:lang w:val="es-ES"/>
        </w:rPr>
        <w:t>Sociedad Civil</w:t>
      </w:r>
    </w:p>
    <w:p w14:paraId="3F1D6613" w14:textId="77777777" w:rsidR="0008631C" w:rsidRPr="0008631C" w:rsidRDefault="0008631C" w:rsidP="0008631C">
      <w:pPr>
        <w:pStyle w:val="ListParagraph"/>
        <w:numPr>
          <w:ilvl w:val="4"/>
          <w:numId w:val="36"/>
        </w:numPr>
        <w:spacing w:before="120" w:after="120"/>
        <w:rPr>
          <w:rFonts w:ascii="Arial" w:hAnsi="Arial" w:cs="Arial"/>
          <w:sz w:val="22"/>
          <w:szCs w:val="22"/>
          <w:lang w:val="es-ES"/>
        </w:rPr>
      </w:pPr>
      <w:proofErr w:type="spellStart"/>
      <w:r w:rsidRPr="0008631C">
        <w:rPr>
          <w:rFonts w:ascii="Arial" w:hAnsi="Arial" w:cs="Arial"/>
          <w:sz w:val="22"/>
          <w:szCs w:val="22"/>
          <w:lang w:val="es-ES"/>
        </w:rPr>
        <w:t>Financial</w:t>
      </w:r>
      <w:proofErr w:type="spellEnd"/>
      <w:r w:rsidRPr="0008631C">
        <w:rPr>
          <w:rFonts w:ascii="Arial" w:hAnsi="Arial" w:cs="Arial"/>
          <w:sz w:val="22"/>
          <w:szCs w:val="22"/>
          <w:lang w:val="es-ES"/>
        </w:rPr>
        <w:t xml:space="preserve"> Alliance for </w:t>
      </w:r>
      <w:proofErr w:type="spellStart"/>
      <w:r w:rsidRPr="0008631C">
        <w:rPr>
          <w:rFonts w:ascii="Arial" w:hAnsi="Arial" w:cs="Arial"/>
          <w:sz w:val="22"/>
          <w:szCs w:val="22"/>
          <w:lang w:val="es-ES"/>
        </w:rPr>
        <w:t>Women</w:t>
      </w:r>
      <w:proofErr w:type="spellEnd"/>
    </w:p>
    <w:p w14:paraId="65E1C948" w14:textId="77777777" w:rsidR="0008631C" w:rsidRPr="0008631C" w:rsidRDefault="0008631C" w:rsidP="0008631C">
      <w:pPr>
        <w:pStyle w:val="ListParagraph"/>
        <w:numPr>
          <w:ilvl w:val="2"/>
          <w:numId w:val="36"/>
        </w:numPr>
        <w:spacing w:before="120" w:after="120"/>
        <w:rPr>
          <w:rFonts w:ascii="Arial" w:hAnsi="Arial" w:cs="Arial"/>
          <w:sz w:val="22"/>
          <w:szCs w:val="22"/>
          <w:lang w:val="es-ES"/>
        </w:rPr>
      </w:pPr>
      <w:r w:rsidRPr="0008631C">
        <w:rPr>
          <w:rFonts w:ascii="Arial" w:hAnsi="Arial" w:cs="Arial"/>
          <w:sz w:val="22"/>
          <w:szCs w:val="22"/>
          <w:lang w:val="es-ES"/>
        </w:rPr>
        <w:t>Barreras de Indicadores Financieros Desagregados por Género</w:t>
      </w:r>
    </w:p>
    <w:p w14:paraId="21F3BBF4" w14:textId="77777777" w:rsidR="0008631C" w:rsidRPr="0008631C" w:rsidRDefault="0008631C" w:rsidP="0008631C">
      <w:pPr>
        <w:pStyle w:val="ListParagraph"/>
        <w:numPr>
          <w:ilvl w:val="0"/>
          <w:numId w:val="36"/>
        </w:numPr>
        <w:spacing w:before="120" w:after="120"/>
        <w:rPr>
          <w:rFonts w:ascii="Arial" w:hAnsi="Arial" w:cs="Arial"/>
          <w:sz w:val="22"/>
          <w:szCs w:val="22"/>
          <w:lang w:val="es-ES"/>
        </w:rPr>
      </w:pPr>
      <w:r w:rsidRPr="0008631C">
        <w:rPr>
          <w:rFonts w:ascii="Arial" w:hAnsi="Arial" w:cs="Arial"/>
          <w:sz w:val="22"/>
          <w:szCs w:val="22"/>
          <w:lang w:val="es-ES"/>
        </w:rPr>
        <w:t>Recopilación de Datos Financieros Desagregados por Género en El Salvador</w:t>
      </w:r>
    </w:p>
    <w:p w14:paraId="1E7E4F97" w14:textId="77777777" w:rsidR="0008631C" w:rsidRPr="0008631C" w:rsidRDefault="0008631C" w:rsidP="0008631C">
      <w:pPr>
        <w:pStyle w:val="ListParagraph"/>
        <w:numPr>
          <w:ilvl w:val="1"/>
          <w:numId w:val="36"/>
        </w:numPr>
        <w:spacing w:before="120" w:after="120"/>
        <w:rPr>
          <w:rFonts w:ascii="Arial" w:hAnsi="Arial" w:cs="Arial"/>
          <w:sz w:val="22"/>
          <w:szCs w:val="22"/>
          <w:lang w:val="es-ES"/>
        </w:rPr>
      </w:pPr>
      <w:r w:rsidRPr="0008631C">
        <w:rPr>
          <w:rFonts w:ascii="Arial" w:hAnsi="Arial" w:cs="Arial"/>
          <w:sz w:val="22"/>
          <w:szCs w:val="22"/>
          <w:lang w:val="es-ES"/>
        </w:rPr>
        <w:t>Marco Legal</w:t>
      </w:r>
    </w:p>
    <w:p w14:paraId="6EC0266D" w14:textId="77777777" w:rsidR="0008631C" w:rsidRPr="0008631C" w:rsidRDefault="0008631C" w:rsidP="0008631C">
      <w:pPr>
        <w:pStyle w:val="ListParagraph"/>
        <w:numPr>
          <w:ilvl w:val="1"/>
          <w:numId w:val="36"/>
        </w:numPr>
        <w:spacing w:before="120" w:after="120"/>
        <w:rPr>
          <w:rFonts w:ascii="Arial" w:hAnsi="Arial" w:cs="Arial"/>
          <w:sz w:val="22"/>
          <w:szCs w:val="22"/>
          <w:lang w:val="es-ES"/>
        </w:rPr>
      </w:pPr>
      <w:r w:rsidRPr="0008631C">
        <w:rPr>
          <w:rFonts w:ascii="Arial" w:hAnsi="Arial" w:cs="Arial"/>
          <w:sz w:val="22"/>
          <w:szCs w:val="22"/>
          <w:lang w:val="es-ES"/>
        </w:rPr>
        <w:t>Estado del Campo</w:t>
      </w:r>
    </w:p>
    <w:p w14:paraId="5C8F03E1" w14:textId="77777777" w:rsidR="0008631C" w:rsidRPr="0008631C" w:rsidRDefault="0008631C" w:rsidP="0008631C">
      <w:pPr>
        <w:pStyle w:val="ListParagraph"/>
        <w:numPr>
          <w:ilvl w:val="1"/>
          <w:numId w:val="36"/>
        </w:numPr>
        <w:spacing w:before="120" w:after="120"/>
        <w:rPr>
          <w:rFonts w:ascii="Arial" w:hAnsi="Arial" w:cs="Arial"/>
          <w:sz w:val="22"/>
          <w:szCs w:val="22"/>
          <w:lang w:val="es-ES"/>
        </w:rPr>
      </w:pPr>
      <w:r w:rsidRPr="0008631C">
        <w:rPr>
          <w:rFonts w:ascii="Arial" w:hAnsi="Arial" w:cs="Arial"/>
          <w:sz w:val="22"/>
          <w:szCs w:val="22"/>
          <w:lang w:val="es-ES"/>
        </w:rPr>
        <w:t>Definiciones</w:t>
      </w:r>
    </w:p>
    <w:p w14:paraId="7594B84F" w14:textId="77777777" w:rsidR="0008631C" w:rsidRPr="0008631C" w:rsidRDefault="0008631C" w:rsidP="0008631C">
      <w:pPr>
        <w:pStyle w:val="ListParagraph"/>
        <w:numPr>
          <w:ilvl w:val="1"/>
          <w:numId w:val="36"/>
        </w:numPr>
        <w:spacing w:before="120" w:after="120"/>
        <w:rPr>
          <w:rFonts w:ascii="Arial" w:hAnsi="Arial" w:cs="Arial"/>
          <w:sz w:val="22"/>
          <w:szCs w:val="22"/>
          <w:lang w:val="es-ES"/>
        </w:rPr>
      </w:pPr>
      <w:r w:rsidRPr="0008631C">
        <w:rPr>
          <w:rFonts w:ascii="Arial" w:hAnsi="Arial" w:cs="Arial"/>
          <w:sz w:val="22"/>
          <w:szCs w:val="22"/>
          <w:lang w:val="es-ES"/>
        </w:rPr>
        <w:t>Practicas Nacionales</w:t>
      </w:r>
    </w:p>
    <w:p w14:paraId="656FAC47" w14:textId="77777777" w:rsidR="0008631C" w:rsidRPr="0008631C" w:rsidRDefault="0008631C" w:rsidP="0008631C">
      <w:pPr>
        <w:pStyle w:val="ListParagraph"/>
        <w:numPr>
          <w:ilvl w:val="1"/>
          <w:numId w:val="36"/>
        </w:numPr>
        <w:spacing w:before="120" w:after="120"/>
        <w:rPr>
          <w:rFonts w:ascii="Arial" w:hAnsi="Arial" w:cs="Arial"/>
          <w:sz w:val="22"/>
          <w:szCs w:val="22"/>
          <w:lang w:val="es-ES"/>
        </w:rPr>
      </w:pPr>
      <w:r w:rsidRPr="0008631C">
        <w:rPr>
          <w:rFonts w:ascii="Arial" w:hAnsi="Arial" w:cs="Arial"/>
          <w:sz w:val="22"/>
          <w:szCs w:val="22"/>
          <w:lang w:val="es-ES"/>
        </w:rPr>
        <w:t>Otros</w:t>
      </w:r>
    </w:p>
    <w:p w14:paraId="08310A1F" w14:textId="77777777" w:rsidR="0008631C" w:rsidRPr="0008631C" w:rsidRDefault="0008631C" w:rsidP="0008631C">
      <w:pPr>
        <w:pStyle w:val="ListParagraph"/>
        <w:numPr>
          <w:ilvl w:val="1"/>
          <w:numId w:val="36"/>
        </w:numPr>
        <w:spacing w:before="120" w:after="120"/>
        <w:rPr>
          <w:rFonts w:ascii="Arial" w:hAnsi="Arial" w:cs="Arial"/>
          <w:sz w:val="22"/>
          <w:szCs w:val="22"/>
          <w:lang w:val="es-ES"/>
        </w:rPr>
      </w:pPr>
      <w:r w:rsidRPr="0008631C">
        <w:rPr>
          <w:rFonts w:ascii="Arial" w:hAnsi="Arial" w:cs="Arial"/>
          <w:sz w:val="22"/>
          <w:szCs w:val="22"/>
          <w:lang w:val="es-ES"/>
        </w:rPr>
        <w:t>Barreras de Indicadores Financieros Desagregados por Género</w:t>
      </w:r>
    </w:p>
    <w:p w14:paraId="5C5DF112" w14:textId="77777777" w:rsidR="0008631C" w:rsidRPr="0008631C" w:rsidRDefault="0008631C" w:rsidP="0008631C">
      <w:pPr>
        <w:pStyle w:val="ListParagraph"/>
        <w:numPr>
          <w:ilvl w:val="0"/>
          <w:numId w:val="36"/>
        </w:numPr>
        <w:spacing w:before="120" w:after="120"/>
        <w:rPr>
          <w:rFonts w:ascii="Arial" w:hAnsi="Arial" w:cs="Arial"/>
          <w:sz w:val="22"/>
          <w:szCs w:val="22"/>
          <w:lang w:val="es-ES"/>
        </w:rPr>
      </w:pPr>
      <w:r w:rsidRPr="0008631C">
        <w:rPr>
          <w:rFonts w:ascii="Arial" w:hAnsi="Arial" w:cs="Arial"/>
          <w:sz w:val="22"/>
          <w:szCs w:val="22"/>
          <w:lang w:val="es-ES"/>
        </w:rPr>
        <w:t xml:space="preserve">Estado de Datos Financieros Desagregados por Género en </w:t>
      </w:r>
      <w:r>
        <w:rPr>
          <w:rFonts w:ascii="Arial" w:hAnsi="Arial" w:cs="Arial"/>
          <w:sz w:val="22"/>
          <w:szCs w:val="22"/>
          <w:lang w:val="es-ES"/>
        </w:rPr>
        <w:t>BANDESAL</w:t>
      </w:r>
    </w:p>
    <w:p w14:paraId="1AF62705" w14:textId="77777777" w:rsidR="0008631C" w:rsidRPr="0008631C" w:rsidRDefault="0008631C" w:rsidP="0008631C">
      <w:pPr>
        <w:pStyle w:val="ListParagraph"/>
        <w:numPr>
          <w:ilvl w:val="1"/>
          <w:numId w:val="36"/>
        </w:numPr>
        <w:spacing w:before="120" w:after="120"/>
        <w:rPr>
          <w:rFonts w:ascii="Arial" w:hAnsi="Arial" w:cs="Arial"/>
          <w:sz w:val="22"/>
          <w:szCs w:val="22"/>
          <w:lang w:val="es-ES"/>
        </w:rPr>
      </w:pPr>
      <w:r w:rsidRPr="0008631C">
        <w:rPr>
          <w:rFonts w:ascii="Arial" w:hAnsi="Arial" w:cs="Arial"/>
          <w:sz w:val="22"/>
          <w:szCs w:val="22"/>
          <w:lang w:val="es-ES"/>
        </w:rPr>
        <w:t>Mandatos Internos</w:t>
      </w:r>
    </w:p>
    <w:p w14:paraId="7043985F" w14:textId="77777777" w:rsidR="0008631C" w:rsidRPr="0008631C" w:rsidRDefault="0008631C" w:rsidP="0008631C">
      <w:pPr>
        <w:pStyle w:val="ListParagraph"/>
        <w:numPr>
          <w:ilvl w:val="1"/>
          <w:numId w:val="36"/>
        </w:numPr>
        <w:spacing w:before="120" w:after="120"/>
        <w:rPr>
          <w:rFonts w:ascii="Arial" w:hAnsi="Arial" w:cs="Arial"/>
          <w:sz w:val="22"/>
          <w:szCs w:val="22"/>
          <w:lang w:val="es-ES"/>
        </w:rPr>
      </w:pPr>
      <w:r w:rsidRPr="0008631C">
        <w:rPr>
          <w:rFonts w:ascii="Arial" w:hAnsi="Arial" w:cs="Arial"/>
          <w:sz w:val="22"/>
          <w:szCs w:val="22"/>
          <w:lang w:val="es-ES"/>
        </w:rPr>
        <w:t>Sistemas de Recolección, Almacenamiento y Uso de Datos</w:t>
      </w:r>
    </w:p>
    <w:p w14:paraId="6C395F22" w14:textId="77777777" w:rsidR="0008631C" w:rsidRPr="0008631C" w:rsidRDefault="0008631C" w:rsidP="0008631C">
      <w:pPr>
        <w:pStyle w:val="ListParagraph"/>
        <w:numPr>
          <w:ilvl w:val="1"/>
          <w:numId w:val="36"/>
        </w:numPr>
        <w:spacing w:before="120" w:after="120"/>
        <w:rPr>
          <w:rFonts w:ascii="Arial" w:hAnsi="Arial" w:cs="Arial"/>
          <w:sz w:val="22"/>
          <w:szCs w:val="22"/>
          <w:lang w:val="es-ES"/>
        </w:rPr>
      </w:pPr>
      <w:r w:rsidRPr="0008631C">
        <w:rPr>
          <w:rFonts w:ascii="Arial" w:hAnsi="Arial" w:cs="Arial"/>
          <w:sz w:val="22"/>
          <w:szCs w:val="22"/>
          <w:lang w:val="es-ES"/>
        </w:rPr>
        <w:t>Estado Corriente</w:t>
      </w:r>
    </w:p>
    <w:p w14:paraId="70038778" w14:textId="77777777" w:rsidR="0008631C" w:rsidRPr="0008631C" w:rsidRDefault="0008631C" w:rsidP="0008631C">
      <w:pPr>
        <w:pStyle w:val="ListParagraph"/>
        <w:numPr>
          <w:ilvl w:val="2"/>
          <w:numId w:val="36"/>
        </w:numPr>
        <w:spacing w:before="120" w:after="120"/>
        <w:rPr>
          <w:rFonts w:ascii="Arial" w:hAnsi="Arial" w:cs="Arial"/>
          <w:sz w:val="22"/>
          <w:szCs w:val="22"/>
          <w:lang w:val="es-ES"/>
        </w:rPr>
      </w:pPr>
      <w:r w:rsidRPr="0008631C">
        <w:rPr>
          <w:rFonts w:ascii="Arial" w:hAnsi="Arial" w:cs="Arial"/>
          <w:sz w:val="22"/>
          <w:szCs w:val="22"/>
          <w:lang w:val="es-ES"/>
        </w:rPr>
        <w:t>Banca de Primer Piso</w:t>
      </w:r>
    </w:p>
    <w:p w14:paraId="52710AFE" w14:textId="77777777" w:rsidR="0008631C" w:rsidRPr="0008631C" w:rsidRDefault="0008631C" w:rsidP="0008631C">
      <w:pPr>
        <w:pStyle w:val="ListParagraph"/>
        <w:numPr>
          <w:ilvl w:val="2"/>
          <w:numId w:val="36"/>
        </w:numPr>
        <w:spacing w:before="120" w:after="120"/>
        <w:rPr>
          <w:rFonts w:ascii="Arial" w:hAnsi="Arial" w:cs="Arial"/>
          <w:sz w:val="22"/>
          <w:szCs w:val="22"/>
          <w:lang w:val="es-ES"/>
        </w:rPr>
      </w:pPr>
      <w:r w:rsidRPr="0008631C">
        <w:rPr>
          <w:rFonts w:ascii="Arial" w:hAnsi="Arial" w:cs="Arial"/>
          <w:sz w:val="22"/>
          <w:szCs w:val="22"/>
          <w:lang w:val="es-ES"/>
        </w:rPr>
        <w:t>Banca de Segundo Piso</w:t>
      </w:r>
    </w:p>
    <w:p w14:paraId="55BF8A9D" w14:textId="77777777" w:rsidR="0008631C" w:rsidRPr="0008631C" w:rsidRDefault="0008631C" w:rsidP="0008631C">
      <w:pPr>
        <w:pStyle w:val="ListParagraph"/>
        <w:numPr>
          <w:ilvl w:val="1"/>
          <w:numId w:val="36"/>
        </w:numPr>
        <w:spacing w:before="120" w:after="120"/>
        <w:rPr>
          <w:rFonts w:ascii="Arial" w:hAnsi="Arial" w:cs="Arial"/>
          <w:sz w:val="22"/>
          <w:szCs w:val="22"/>
          <w:lang w:val="es-ES"/>
        </w:rPr>
      </w:pPr>
      <w:r w:rsidRPr="0008631C">
        <w:rPr>
          <w:rFonts w:ascii="Arial" w:hAnsi="Arial" w:cs="Arial"/>
          <w:sz w:val="22"/>
          <w:szCs w:val="22"/>
          <w:lang w:val="es-ES"/>
        </w:rPr>
        <w:t>Barreras y Retos de Indicadores Financieros Desagregados por Género</w:t>
      </w:r>
    </w:p>
    <w:p w14:paraId="303588CB" w14:textId="77777777" w:rsidR="0008631C" w:rsidRPr="0008631C" w:rsidRDefault="0008631C" w:rsidP="0008631C">
      <w:pPr>
        <w:pStyle w:val="ListParagraph"/>
        <w:numPr>
          <w:ilvl w:val="0"/>
          <w:numId w:val="36"/>
        </w:numPr>
        <w:spacing w:before="120" w:after="120"/>
        <w:rPr>
          <w:rFonts w:ascii="Arial" w:hAnsi="Arial" w:cs="Arial"/>
          <w:sz w:val="22"/>
          <w:szCs w:val="22"/>
          <w:lang w:val="es-ES"/>
        </w:rPr>
      </w:pPr>
      <w:r w:rsidRPr="0008631C">
        <w:rPr>
          <w:rFonts w:ascii="Arial" w:hAnsi="Arial" w:cs="Arial"/>
          <w:sz w:val="22"/>
          <w:szCs w:val="22"/>
          <w:lang w:val="es-ES"/>
        </w:rPr>
        <w:t xml:space="preserve">Propuesta de Indicadores, Sistemas de </w:t>
      </w:r>
      <w:r w:rsidR="007316FF" w:rsidRPr="0008631C">
        <w:rPr>
          <w:rFonts w:ascii="Arial" w:hAnsi="Arial" w:cs="Arial"/>
          <w:sz w:val="22"/>
          <w:szCs w:val="22"/>
          <w:lang w:val="es-ES"/>
        </w:rPr>
        <w:t>Recopilación</w:t>
      </w:r>
      <w:r w:rsidRPr="0008631C">
        <w:rPr>
          <w:rFonts w:ascii="Arial" w:hAnsi="Arial" w:cs="Arial"/>
          <w:sz w:val="22"/>
          <w:szCs w:val="22"/>
          <w:lang w:val="es-ES"/>
        </w:rPr>
        <w:t xml:space="preserve"> y </w:t>
      </w:r>
      <w:r w:rsidR="007316FF" w:rsidRPr="0008631C">
        <w:rPr>
          <w:rFonts w:ascii="Arial" w:hAnsi="Arial" w:cs="Arial"/>
          <w:sz w:val="22"/>
          <w:szCs w:val="22"/>
          <w:lang w:val="es-ES"/>
        </w:rPr>
        <w:t>Políticas</w:t>
      </w:r>
      <w:r w:rsidRPr="0008631C">
        <w:rPr>
          <w:rFonts w:ascii="Arial" w:hAnsi="Arial" w:cs="Arial"/>
          <w:sz w:val="22"/>
          <w:szCs w:val="22"/>
          <w:lang w:val="es-ES"/>
        </w:rPr>
        <w:t xml:space="preserve"> de Mantenimiento de Datos Financieros Desagregados por Género en </w:t>
      </w:r>
      <w:r>
        <w:rPr>
          <w:rFonts w:ascii="Arial" w:hAnsi="Arial" w:cs="Arial"/>
          <w:sz w:val="22"/>
          <w:szCs w:val="22"/>
          <w:lang w:val="es-ES"/>
        </w:rPr>
        <w:t>BANDESAL</w:t>
      </w:r>
    </w:p>
    <w:p w14:paraId="10CDB2D5" w14:textId="77777777" w:rsidR="0008631C" w:rsidRPr="0008631C" w:rsidRDefault="0008631C" w:rsidP="0008631C">
      <w:pPr>
        <w:pStyle w:val="ListParagraph"/>
        <w:numPr>
          <w:ilvl w:val="1"/>
          <w:numId w:val="36"/>
        </w:numPr>
        <w:spacing w:before="120" w:after="120"/>
        <w:rPr>
          <w:rFonts w:ascii="Arial" w:hAnsi="Arial" w:cs="Arial"/>
          <w:sz w:val="22"/>
          <w:szCs w:val="22"/>
          <w:lang w:val="es-ES"/>
        </w:rPr>
      </w:pPr>
      <w:r w:rsidRPr="0008631C">
        <w:rPr>
          <w:rFonts w:ascii="Arial" w:hAnsi="Arial" w:cs="Arial"/>
          <w:sz w:val="22"/>
          <w:szCs w:val="22"/>
          <w:lang w:val="es-ES"/>
        </w:rPr>
        <w:t>Propuesta de Indicadores</w:t>
      </w:r>
    </w:p>
    <w:p w14:paraId="3E525C1D" w14:textId="77777777" w:rsidR="0008631C" w:rsidRPr="0008631C" w:rsidRDefault="0008631C" w:rsidP="0008631C">
      <w:pPr>
        <w:pStyle w:val="ListParagraph"/>
        <w:numPr>
          <w:ilvl w:val="2"/>
          <w:numId w:val="36"/>
        </w:numPr>
        <w:spacing w:before="120" w:after="120"/>
        <w:rPr>
          <w:rFonts w:ascii="Arial" w:hAnsi="Arial" w:cs="Arial"/>
          <w:sz w:val="22"/>
          <w:szCs w:val="22"/>
          <w:lang w:val="es-ES"/>
        </w:rPr>
      </w:pPr>
      <w:r w:rsidRPr="0008631C">
        <w:rPr>
          <w:rFonts w:ascii="Arial" w:hAnsi="Arial" w:cs="Arial"/>
          <w:sz w:val="22"/>
          <w:szCs w:val="22"/>
          <w:lang w:val="es-ES"/>
        </w:rPr>
        <w:t>Sustento</w:t>
      </w:r>
    </w:p>
    <w:p w14:paraId="78A489FE" w14:textId="77777777" w:rsidR="0008631C" w:rsidRPr="0008631C" w:rsidRDefault="0008631C" w:rsidP="0008631C">
      <w:pPr>
        <w:pStyle w:val="ListParagraph"/>
        <w:numPr>
          <w:ilvl w:val="1"/>
          <w:numId w:val="36"/>
        </w:numPr>
        <w:spacing w:before="120" w:after="120"/>
        <w:rPr>
          <w:rFonts w:ascii="Arial" w:hAnsi="Arial" w:cs="Arial"/>
          <w:sz w:val="22"/>
          <w:szCs w:val="22"/>
          <w:lang w:val="es-ES"/>
        </w:rPr>
      </w:pPr>
      <w:r w:rsidRPr="0008631C">
        <w:rPr>
          <w:rFonts w:ascii="Arial" w:hAnsi="Arial" w:cs="Arial"/>
          <w:sz w:val="22"/>
          <w:szCs w:val="22"/>
          <w:lang w:val="es-ES"/>
        </w:rPr>
        <w:t>Propuesta de Sistemas de Recolección, Almacenamiento y Uso de Datos</w:t>
      </w:r>
    </w:p>
    <w:p w14:paraId="5B4EBDB9" w14:textId="77777777" w:rsidR="0008631C" w:rsidRPr="0008631C" w:rsidRDefault="0008631C" w:rsidP="0008631C">
      <w:pPr>
        <w:pStyle w:val="ListParagraph"/>
        <w:numPr>
          <w:ilvl w:val="1"/>
          <w:numId w:val="36"/>
        </w:numPr>
        <w:spacing w:before="120" w:after="120"/>
        <w:rPr>
          <w:rFonts w:ascii="Arial" w:hAnsi="Arial" w:cs="Arial"/>
          <w:sz w:val="22"/>
          <w:szCs w:val="22"/>
          <w:lang w:val="es-ES"/>
        </w:rPr>
      </w:pPr>
      <w:r w:rsidRPr="0008631C">
        <w:rPr>
          <w:rFonts w:ascii="Arial" w:hAnsi="Arial" w:cs="Arial"/>
          <w:sz w:val="22"/>
          <w:szCs w:val="22"/>
          <w:lang w:val="es-ES"/>
        </w:rPr>
        <w:t xml:space="preserve">Propuesta de </w:t>
      </w:r>
      <w:r w:rsidR="007316FF" w:rsidRPr="0008631C">
        <w:rPr>
          <w:rFonts w:ascii="Arial" w:hAnsi="Arial" w:cs="Arial"/>
          <w:sz w:val="22"/>
          <w:szCs w:val="22"/>
          <w:lang w:val="es-ES"/>
        </w:rPr>
        <w:t>Políticas</w:t>
      </w:r>
      <w:r w:rsidRPr="0008631C">
        <w:rPr>
          <w:rFonts w:ascii="Arial" w:hAnsi="Arial" w:cs="Arial"/>
          <w:sz w:val="22"/>
          <w:szCs w:val="22"/>
          <w:lang w:val="es-ES"/>
        </w:rPr>
        <w:t xml:space="preserve"> sobre Datos Financieros Desagregados por Género</w:t>
      </w:r>
    </w:p>
    <w:p w14:paraId="76D14423" w14:textId="77777777" w:rsidR="0008631C" w:rsidRPr="0008631C" w:rsidRDefault="007316FF" w:rsidP="0008631C">
      <w:pPr>
        <w:pStyle w:val="ListParagraph"/>
        <w:numPr>
          <w:ilvl w:val="0"/>
          <w:numId w:val="36"/>
        </w:numPr>
        <w:spacing w:before="120" w:after="120"/>
        <w:rPr>
          <w:rFonts w:ascii="Arial" w:hAnsi="Arial" w:cs="Arial"/>
          <w:sz w:val="22"/>
          <w:szCs w:val="22"/>
          <w:lang w:val="es-ES"/>
        </w:rPr>
      </w:pPr>
      <w:r w:rsidRPr="0008631C">
        <w:rPr>
          <w:rFonts w:ascii="Arial" w:hAnsi="Arial" w:cs="Arial"/>
          <w:sz w:val="22"/>
          <w:szCs w:val="22"/>
          <w:lang w:val="es-ES"/>
        </w:rPr>
        <w:t>Conclusión</w:t>
      </w:r>
    </w:p>
    <w:p w14:paraId="552FDC10" w14:textId="77777777" w:rsidR="0008631C" w:rsidRPr="0008631C" w:rsidRDefault="007316FF" w:rsidP="0008631C">
      <w:pPr>
        <w:pStyle w:val="ListParagraph"/>
        <w:numPr>
          <w:ilvl w:val="0"/>
          <w:numId w:val="36"/>
        </w:numPr>
        <w:spacing w:before="120" w:after="120"/>
        <w:rPr>
          <w:rFonts w:ascii="Arial" w:hAnsi="Arial" w:cs="Arial"/>
          <w:sz w:val="22"/>
          <w:szCs w:val="22"/>
          <w:lang w:val="es-ES"/>
        </w:rPr>
      </w:pPr>
      <w:r w:rsidRPr="0008631C">
        <w:rPr>
          <w:rFonts w:ascii="Arial" w:hAnsi="Arial" w:cs="Arial"/>
          <w:sz w:val="22"/>
          <w:szCs w:val="22"/>
          <w:lang w:val="es-ES"/>
        </w:rPr>
        <w:t>Bibliografía</w:t>
      </w:r>
    </w:p>
    <w:p w14:paraId="281A3AA4" w14:textId="77777777" w:rsidR="0008631C" w:rsidRPr="0008631C" w:rsidRDefault="0008631C" w:rsidP="004235DC">
      <w:pPr>
        <w:pStyle w:val="ListParagraph"/>
        <w:numPr>
          <w:ilvl w:val="0"/>
          <w:numId w:val="36"/>
        </w:numPr>
        <w:spacing w:before="120" w:after="160" w:line="259" w:lineRule="auto"/>
        <w:rPr>
          <w:rFonts w:ascii="Arial" w:hAnsi="Arial" w:cs="Arial"/>
          <w:lang w:val="es-ES"/>
        </w:rPr>
      </w:pPr>
      <w:r w:rsidRPr="0008631C">
        <w:rPr>
          <w:rFonts w:ascii="Arial" w:hAnsi="Arial" w:cs="Arial"/>
          <w:sz w:val="22"/>
          <w:szCs w:val="22"/>
          <w:lang w:val="es-ES"/>
        </w:rPr>
        <w:t>Agradecimientos</w:t>
      </w:r>
      <w:r w:rsidRPr="0008631C">
        <w:rPr>
          <w:rFonts w:ascii="Arial" w:hAnsi="Arial" w:cs="Arial"/>
          <w:sz w:val="22"/>
          <w:szCs w:val="22"/>
          <w:lang w:val="es-ES"/>
        </w:rPr>
        <w:br w:type="page"/>
      </w:r>
    </w:p>
    <w:p w14:paraId="11485D7A" w14:textId="77777777" w:rsidR="0008631C" w:rsidRPr="0008631C" w:rsidRDefault="0008631C" w:rsidP="0008631C">
      <w:pPr>
        <w:spacing w:before="120" w:after="120"/>
        <w:rPr>
          <w:rFonts w:ascii="Arial" w:hAnsi="Arial" w:cs="Arial"/>
          <w:b/>
          <w:bCs/>
          <w:lang w:val="es-ES"/>
        </w:rPr>
      </w:pPr>
      <w:r w:rsidRPr="0008631C">
        <w:rPr>
          <w:rFonts w:ascii="Arial" w:hAnsi="Arial" w:cs="Arial"/>
          <w:b/>
          <w:bCs/>
          <w:lang w:val="es-ES"/>
        </w:rPr>
        <w:lastRenderedPageBreak/>
        <w:t>Cronograma de Trabajo</w:t>
      </w:r>
    </w:p>
    <w:p w14:paraId="2036D821" w14:textId="77777777" w:rsidR="0008631C" w:rsidRPr="0008631C" w:rsidRDefault="0008631C" w:rsidP="0008631C">
      <w:pPr>
        <w:spacing w:before="120" w:after="120"/>
        <w:jc w:val="both"/>
        <w:rPr>
          <w:rFonts w:ascii="Arial" w:hAnsi="Arial" w:cs="Arial"/>
          <w:lang w:val="es-ES"/>
        </w:rPr>
      </w:pPr>
      <w:r w:rsidRPr="0008631C">
        <w:rPr>
          <w:rFonts w:ascii="Arial" w:hAnsi="Arial" w:cs="Arial"/>
          <w:lang w:val="es-ES"/>
        </w:rPr>
        <w:t>La consultoría se llevaría a cabo a lo largo de un cronograma de cerca de 3.5 meses dependiendo de la fecha inicial y consistiría en 3 fases:</w:t>
      </w:r>
    </w:p>
    <w:p w14:paraId="730E366A" w14:textId="77777777" w:rsidR="0008631C" w:rsidRPr="0008631C" w:rsidRDefault="0008631C" w:rsidP="0008631C">
      <w:pPr>
        <w:pStyle w:val="ListParagraph"/>
        <w:numPr>
          <w:ilvl w:val="0"/>
          <w:numId w:val="38"/>
        </w:numPr>
        <w:spacing w:before="120" w:after="120"/>
        <w:jc w:val="both"/>
        <w:rPr>
          <w:rFonts w:ascii="Arial" w:hAnsi="Arial" w:cs="Arial"/>
          <w:sz w:val="22"/>
          <w:szCs w:val="22"/>
          <w:lang w:val="es-ES"/>
        </w:rPr>
      </w:pPr>
      <w:r w:rsidRPr="0008631C">
        <w:rPr>
          <w:rFonts w:ascii="Arial" w:hAnsi="Arial" w:cs="Arial"/>
          <w:sz w:val="22"/>
          <w:szCs w:val="22"/>
          <w:lang w:val="es-ES"/>
        </w:rPr>
        <w:t>Investigación/Estudio</w:t>
      </w:r>
    </w:p>
    <w:p w14:paraId="034A64D7" w14:textId="77777777" w:rsidR="0008631C" w:rsidRPr="0008631C" w:rsidRDefault="0008631C" w:rsidP="0008631C">
      <w:pPr>
        <w:pStyle w:val="ListParagraph"/>
        <w:numPr>
          <w:ilvl w:val="0"/>
          <w:numId w:val="38"/>
        </w:numPr>
        <w:spacing w:before="120" w:after="120"/>
        <w:jc w:val="both"/>
        <w:rPr>
          <w:rFonts w:ascii="Arial" w:hAnsi="Arial" w:cs="Arial"/>
          <w:sz w:val="22"/>
          <w:szCs w:val="22"/>
          <w:lang w:val="es-ES"/>
        </w:rPr>
      </w:pPr>
      <w:r w:rsidRPr="0008631C">
        <w:rPr>
          <w:rFonts w:ascii="Arial" w:hAnsi="Arial" w:cs="Arial"/>
          <w:sz w:val="22"/>
          <w:szCs w:val="22"/>
          <w:lang w:val="es-ES"/>
        </w:rPr>
        <w:t>Elaboración de Reporte</w:t>
      </w:r>
    </w:p>
    <w:p w14:paraId="580B47F9" w14:textId="77777777" w:rsidR="0008631C" w:rsidRPr="0008631C" w:rsidRDefault="0008631C" w:rsidP="0008631C">
      <w:pPr>
        <w:pStyle w:val="ListParagraph"/>
        <w:numPr>
          <w:ilvl w:val="0"/>
          <w:numId w:val="38"/>
        </w:numPr>
        <w:spacing w:before="120" w:after="120"/>
        <w:jc w:val="both"/>
        <w:rPr>
          <w:rFonts w:ascii="Arial" w:hAnsi="Arial" w:cs="Arial"/>
          <w:sz w:val="22"/>
          <w:szCs w:val="22"/>
          <w:lang w:val="es-ES"/>
        </w:rPr>
      </w:pPr>
      <w:r w:rsidRPr="0008631C">
        <w:rPr>
          <w:rFonts w:ascii="Arial" w:hAnsi="Arial" w:cs="Arial"/>
          <w:sz w:val="22"/>
          <w:szCs w:val="22"/>
          <w:lang w:val="es-ES"/>
        </w:rPr>
        <w:t>Presentación de Resultados</w:t>
      </w:r>
    </w:p>
    <w:p w14:paraId="43D4FA52" w14:textId="77777777" w:rsidR="0008631C" w:rsidRPr="0008631C" w:rsidRDefault="0008631C" w:rsidP="0008631C">
      <w:pPr>
        <w:spacing w:before="120" w:after="120"/>
        <w:jc w:val="both"/>
        <w:rPr>
          <w:rFonts w:ascii="Arial" w:hAnsi="Arial" w:cs="Arial"/>
          <w:lang w:val="es-ES"/>
        </w:rPr>
      </w:pPr>
      <w:r w:rsidRPr="0008631C">
        <w:rPr>
          <w:rFonts w:ascii="Arial" w:hAnsi="Arial" w:cs="Arial"/>
          <w:lang w:val="es-ES"/>
        </w:rPr>
        <w:t xml:space="preserve">Al inferior, un cronograma con tiempos indicativos de cómo podría progresar el proyecto. Una vez aprobado el plan de trabajo y cronograma, se actualizarán las fechas del plan de acuerdo al cronograma acordado con </w:t>
      </w:r>
      <w:r>
        <w:rPr>
          <w:rFonts w:ascii="Arial" w:hAnsi="Arial" w:cs="Arial"/>
          <w:lang w:val="es-ES"/>
        </w:rPr>
        <w:t>BANDESAL</w:t>
      </w:r>
      <w:r w:rsidRPr="0008631C">
        <w:rPr>
          <w:rFonts w:ascii="Arial" w:hAnsi="Arial" w:cs="Arial"/>
          <w:lang w:val="es-ES"/>
        </w:rPr>
        <w:t xml:space="preserve"> siguiendo los lineamientos establecidos en el plan propuesto con tiempos indicativos al inferior.</w:t>
      </w:r>
    </w:p>
    <w:p w14:paraId="5C93E49E" w14:textId="77777777" w:rsidR="0008631C" w:rsidRPr="0008631C" w:rsidRDefault="0008631C" w:rsidP="0008631C">
      <w:pPr>
        <w:pStyle w:val="ListParagraph"/>
        <w:ind w:left="0"/>
        <w:rPr>
          <w:rFonts w:ascii="Arial" w:hAnsi="Arial" w:cs="Arial"/>
          <w:sz w:val="22"/>
          <w:szCs w:val="22"/>
          <w:lang w:val="es-ES"/>
        </w:rPr>
      </w:pPr>
      <w:r>
        <w:rPr>
          <w:noProof/>
        </w:rPr>
        <w:drawing>
          <wp:inline distT="0" distB="0" distL="0" distR="0" wp14:anchorId="7E88D391" wp14:editId="16C598F1">
            <wp:extent cx="5979362" cy="3419606"/>
            <wp:effectExtent l="0" t="0" r="2540" b="0"/>
            <wp:docPr id="20337429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23">
                      <a:extLst>
                        <a:ext uri="{28A0092B-C50C-407E-A947-70E740481C1C}">
                          <a14:useLocalDpi xmlns:a14="http://schemas.microsoft.com/office/drawing/2010/main" val="0"/>
                        </a:ext>
                      </a:extLst>
                    </a:blip>
                    <a:stretch>
                      <a:fillRect/>
                    </a:stretch>
                  </pic:blipFill>
                  <pic:spPr>
                    <a:xfrm>
                      <a:off x="0" y="0"/>
                      <a:ext cx="5979362" cy="3419606"/>
                    </a:xfrm>
                    <a:prstGeom prst="rect">
                      <a:avLst/>
                    </a:prstGeom>
                  </pic:spPr>
                </pic:pic>
              </a:graphicData>
            </a:graphic>
          </wp:inline>
        </w:drawing>
      </w:r>
    </w:p>
    <w:p w14:paraId="277CDA65" w14:textId="77777777" w:rsidR="002F348C" w:rsidRPr="00503915" w:rsidRDefault="002F348C">
      <w:pPr>
        <w:rPr>
          <w:rFonts w:ascii="Arial" w:hAnsi="Arial"/>
        </w:rPr>
      </w:pPr>
    </w:p>
    <w:sectPr w:rsidR="002F348C" w:rsidRPr="00503915" w:rsidSect="0004165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A3098A" w14:textId="77777777" w:rsidR="007642C9" w:rsidRDefault="007642C9" w:rsidP="00145881">
      <w:pPr>
        <w:spacing w:after="0" w:line="240" w:lineRule="auto"/>
      </w:pPr>
      <w:r>
        <w:separator/>
      </w:r>
    </w:p>
  </w:endnote>
  <w:endnote w:type="continuationSeparator" w:id="0">
    <w:p w14:paraId="56A2A709" w14:textId="77777777" w:rsidR="007642C9" w:rsidRDefault="007642C9" w:rsidP="00145881">
      <w:pPr>
        <w:spacing w:after="0" w:line="240" w:lineRule="auto"/>
      </w:pPr>
      <w:r>
        <w:continuationSeparator/>
      </w:r>
    </w:p>
  </w:endnote>
  <w:endnote w:type="continuationNotice" w:id="1">
    <w:p w14:paraId="43355705" w14:textId="77777777" w:rsidR="007642C9" w:rsidRDefault="007642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4281859"/>
      <w:docPartObj>
        <w:docPartGallery w:val="Page Numbers (Bottom of Page)"/>
        <w:docPartUnique/>
      </w:docPartObj>
    </w:sdtPr>
    <w:sdtEndPr>
      <w:rPr>
        <w:rFonts w:ascii="Times New Roman" w:hAnsi="Times New Roman" w:cs="Times New Roman"/>
        <w:noProof/>
      </w:rPr>
    </w:sdtEndPr>
    <w:sdtContent>
      <w:p w14:paraId="1627272C" w14:textId="77777777" w:rsidR="00CB0E0F" w:rsidRPr="00352714" w:rsidRDefault="00CB0E0F">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Pr>
            <w:rFonts w:ascii="Times New Roman" w:hAnsi="Times New Roman" w:cs="Times New Roman"/>
            <w:noProof/>
          </w:rPr>
          <w:t>2</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14:paraId="77168EA9" w14:textId="77777777" w:rsidR="00CB0E0F" w:rsidRDefault="00CB0E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7059657"/>
      <w:docPartObj>
        <w:docPartGallery w:val="Page Numbers (Bottom of Page)"/>
        <w:docPartUnique/>
      </w:docPartObj>
    </w:sdtPr>
    <w:sdtEndPr>
      <w:rPr>
        <w:rFonts w:ascii="Arial" w:hAnsi="Arial" w:cs="Arial"/>
        <w:noProof/>
        <w:sz w:val="18"/>
      </w:rPr>
    </w:sdtEndPr>
    <w:sdtContent>
      <w:p w14:paraId="3ECE4848" w14:textId="77777777" w:rsidR="00CB0E0F" w:rsidRPr="00AA7936" w:rsidRDefault="00CB0E0F">
        <w:pPr>
          <w:pStyle w:val="Footer"/>
          <w:jc w:val="center"/>
          <w:rPr>
            <w:rFonts w:ascii="Arial" w:hAnsi="Arial" w:cs="Arial"/>
            <w:sz w:val="18"/>
          </w:rPr>
        </w:pPr>
        <w:r w:rsidRPr="00AA7936">
          <w:rPr>
            <w:rFonts w:ascii="Arial" w:hAnsi="Arial" w:cs="Arial"/>
            <w:sz w:val="18"/>
          </w:rPr>
          <w:t>-</w:t>
        </w:r>
        <w:r w:rsidRPr="00AA7936">
          <w:rPr>
            <w:rFonts w:ascii="Arial" w:hAnsi="Arial" w:cs="Arial"/>
            <w:sz w:val="18"/>
          </w:rPr>
          <w:fldChar w:fldCharType="begin"/>
        </w:r>
        <w:r w:rsidRPr="00AA7936">
          <w:rPr>
            <w:rFonts w:ascii="Arial" w:hAnsi="Arial" w:cs="Arial"/>
            <w:sz w:val="18"/>
          </w:rPr>
          <w:instrText xml:space="preserve"> PAGE   \* MERGEFORMAT </w:instrText>
        </w:r>
        <w:r w:rsidRPr="00AA7936">
          <w:rPr>
            <w:rFonts w:ascii="Arial" w:hAnsi="Arial" w:cs="Arial"/>
            <w:sz w:val="18"/>
          </w:rPr>
          <w:fldChar w:fldCharType="separate"/>
        </w:r>
        <w:r w:rsidRPr="00AA7936">
          <w:rPr>
            <w:rFonts w:ascii="Arial" w:hAnsi="Arial" w:cs="Arial"/>
            <w:noProof/>
            <w:sz w:val="18"/>
          </w:rPr>
          <w:t>10</w:t>
        </w:r>
        <w:r w:rsidRPr="00AA7936">
          <w:rPr>
            <w:rFonts w:ascii="Arial" w:hAnsi="Arial" w:cs="Arial"/>
            <w:noProof/>
            <w:sz w:val="18"/>
          </w:rPr>
          <w:fldChar w:fldCharType="end"/>
        </w:r>
        <w:r w:rsidRPr="00AA7936">
          <w:rPr>
            <w:rFonts w:ascii="Arial" w:hAnsi="Arial" w:cs="Arial"/>
            <w:noProof/>
            <w:sz w:val="18"/>
          </w:rPr>
          <w:t>-</w:t>
        </w:r>
      </w:p>
    </w:sdtContent>
  </w:sdt>
  <w:p w14:paraId="0AB7CD46" w14:textId="77777777" w:rsidR="00CB0E0F" w:rsidRDefault="00CB0E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DF06F4" w14:textId="77777777" w:rsidR="007642C9" w:rsidRDefault="007642C9" w:rsidP="00145881">
      <w:pPr>
        <w:spacing w:after="0" w:line="240" w:lineRule="auto"/>
      </w:pPr>
      <w:r>
        <w:separator/>
      </w:r>
    </w:p>
  </w:footnote>
  <w:footnote w:type="continuationSeparator" w:id="0">
    <w:p w14:paraId="4CE7DADE" w14:textId="77777777" w:rsidR="007642C9" w:rsidRDefault="007642C9" w:rsidP="00145881">
      <w:pPr>
        <w:spacing w:after="0" w:line="240" w:lineRule="auto"/>
      </w:pPr>
      <w:r>
        <w:continuationSeparator/>
      </w:r>
    </w:p>
  </w:footnote>
  <w:footnote w:type="continuationNotice" w:id="1">
    <w:p w14:paraId="0A2ABC3D" w14:textId="77777777" w:rsidR="007642C9" w:rsidRDefault="007642C9">
      <w:pPr>
        <w:spacing w:after="0" w:line="240" w:lineRule="auto"/>
      </w:pPr>
    </w:p>
  </w:footnote>
  <w:footnote w:id="2">
    <w:p w14:paraId="3DDBF101" w14:textId="77777777" w:rsidR="00CB0E0F" w:rsidRPr="009A2657" w:rsidRDefault="00CB0E0F" w:rsidP="007B71D2">
      <w:pPr>
        <w:pStyle w:val="FootnoteText"/>
        <w:tabs>
          <w:tab w:val="left" w:pos="0"/>
          <w:tab w:val="left" w:pos="180"/>
          <w:tab w:val="left" w:pos="270"/>
        </w:tabs>
        <w:spacing w:after="0"/>
        <w:ind w:left="270" w:hanging="270"/>
        <w:rPr>
          <w:rFonts w:ascii="Arial" w:hAnsi="Arial" w:cs="Arial"/>
          <w:sz w:val="18"/>
          <w:szCs w:val="18"/>
          <w:lang w:val="es-BO"/>
        </w:rPr>
      </w:pPr>
      <w:r w:rsidRPr="009A2657">
        <w:rPr>
          <w:rStyle w:val="FootnoteReference"/>
          <w:rFonts w:ascii="Arial" w:hAnsi="Arial" w:cs="Arial"/>
          <w:sz w:val="18"/>
          <w:szCs w:val="18"/>
        </w:rPr>
        <w:footnoteRef/>
      </w:r>
      <w:r w:rsidRPr="009A2657">
        <w:rPr>
          <w:rFonts w:ascii="Arial" w:hAnsi="Arial" w:cs="Arial"/>
          <w:sz w:val="18"/>
          <w:szCs w:val="18"/>
          <w:lang w:val="es-BO"/>
        </w:rPr>
        <w:t xml:space="preserve"> </w:t>
      </w:r>
      <w:r w:rsidRPr="009A2657">
        <w:rPr>
          <w:rFonts w:ascii="Arial" w:hAnsi="Arial" w:cs="Arial"/>
          <w:sz w:val="18"/>
          <w:szCs w:val="18"/>
          <w:lang w:val="es-BO"/>
        </w:rPr>
        <w:tab/>
      </w:r>
      <w:r>
        <w:rPr>
          <w:rFonts w:ascii="Arial" w:hAnsi="Arial" w:cs="Arial"/>
          <w:sz w:val="18"/>
          <w:szCs w:val="18"/>
          <w:lang w:val="es-BO"/>
        </w:rPr>
        <w:tab/>
      </w:r>
      <w:r w:rsidRPr="009A2657">
        <w:rPr>
          <w:rFonts w:ascii="Arial" w:hAnsi="Arial" w:cs="Arial"/>
          <w:spacing w:val="0"/>
          <w:sz w:val="18"/>
          <w:szCs w:val="18"/>
          <w:lang w:val="es-ES"/>
        </w:rPr>
        <w:t>Mayor información sobre indicadores económicos del</w:t>
      </w:r>
      <w:r w:rsidRPr="009A2657">
        <w:rPr>
          <w:rFonts w:ascii="Arial" w:hAnsi="Arial" w:cs="Arial"/>
          <w:sz w:val="18"/>
          <w:szCs w:val="18"/>
          <w:lang w:val="es-BO"/>
        </w:rPr>
        <w:t xml:space="preserve"> país y comparativos a nivel regional están a disposición en </w:t>
      </w:r>
      <w:r w:rsidR="007642C9">
        <w:fldChar w:fldCharType="begin"/>
      </w:r>
      <w:r w:rsidR="007642C9" w:rsidRPr="00015230">
        <w:rPr>
          <w:lang w:val="es-ES_tradnl"/>
        </w:rPr>
        <w:instrText xml:space="preserve"> HYPERLINK "https://www.imf.org/external/pubs/ft/weo/2020/01/weodata/index.aspx" </w:instrText>
      </w:r>
      <w:r w:rsidR="007642C9">
        <w:fldChar w:fldCharType="separate"/>
      </w:r>
      <w:proofErr w:type="spellStart"/>
      <w:r w:rsidRPr="009A2657">
        <w:rPr>
          <w:rStyle w:val="Hyperlink"/>
          <w:rFonts w:ascii="Arial" w:eastAsiaTheme="minorHAnsi" w:hAnsi="Arial" w:cs="Arial"/>
          <w:i/>
          <w:sz w:val="18"/>
          <w:szCs w:val="18"/>
          <w:lang w:val="es-ES"/>
        </w:rPr>
        <w:t>World</w:t>
      </w:r>
      <w:proofErr w:type="spellEnd"/>
      <w:r w:rsidRPr="009A2657">
        <w:rPr>
          <w:rStyle w:val="Hyperlink"/>
          <w:rFonts w:ascii="Arial" w:eastAsiaTheme="minorHAnsi" w:hAnsi="Arial" w:cs="Arial"/>
          <w:i/>
          <w:sz w:val="18"/>
          <w:szCs w:val="18"/>
          <w:lang w:val="es-ES"/>
        </w:rPr>
        <w:t xml:space="preserve"> </w:t>
      </w:r>
      <w:proofErr w:type="spellStart"/>
      <w:r w:rsidRPr="009A2657">
        <w:rPr>
          <w:rStyle w:val="Hyperlink"/>
          <w:rFonts w:ascii="Arial" w:eastAsiaTheme="minorHAnsi" w:hAnsi="Arial" w:cs="Arial"/>
          <w:i/>
          <w:sz w:val="18"/>
          <w:szCs w:val="18"/>
          <w:lang w:val="es-ES"/>
        </w:rPr>
        <w:t>Economic</w:t>
      </w:r>
      <w:proofErr w:type="spellEnd"/>
      <w:r w:rsidRPr="009A2657">
        <w:rPr>
          <w:rStyle w:val="Hyperlink"/>
          <w:rFonts w:ascii="Arial" w:eastAsiaTheme="minorHAnsi" w:hAnsi="Arial" w:cs="Arial"/>
          <w:i/>
          <w:sz w:val="18"/>
          <w:szCs w:val="18"/>
          <w:lang w:val="es-ES"/>
        </w:rPr>
        <w:t xml:space="preserve"> Outlook</w:t>
      </w:r>
      <w:r w:rsidR="007642C9">
        <w:rPr>
          <w:rStyle w:val="Hyperlink"/>
          <w:rFonts w:ascii="Arial" w:eastAsiaTheme="minorHAnsi" w:hAnsi="Arial" w:cs="Arial"/>
          <w:i/>
          <w:sz w:val="18"/>
          <w:szCs w:val="18"/>
          <w:lang w:val="es-ES"/>
        </w:rPr>
        <w:fldChar w:fldCharType="end"/>
      </w:r>
      <w:r w:rsidRPr="009A2657">
        <w:rPr>
          <w:rFonts w:ascii="Arial" w:eastAsiaTheme="minorHAnsi" w:hAnsi="Arial" w:cs="Arial"/>
          <w:i/>
          <w:iCs/>
          <w:color w:val="333333"/>
          <w:sz w:val="18"/>
          <w:szCs w:val="18"/>
          <w:lang w:val="es-ES"/>
        </w:rPr>
        <w:t xml:space="preserve"> </w:t>
      </w:r>
      <w:r w:rsidRPr="009A2657">
        <w:rPr>
          <w:rFonts w:ascii="Arial" w:eastAsiaTheme="minorHAnsi" w:hAnsi="Arial" w:cs="Arial"/>
          <w:color w:val="333333"/>
          <w:sz w:val="18"/>
          <w:szCs w:val="18"/>
          <w:lang w:val="es-ES"/>
        </w:rPr>
        <w:t xml:space="preserve">y </w:t>
      </w:r>
      <w:r w:rsidR="007642C9">
        <w:fldChar w:fldCharType="begin"/>
      </w:r>
      <w:r w:rsidR="007642C9" w:rsidRPr="00015230">
        <w:rPr>
          <w:lang w:val="es-ES_tradnl"/>
        </w:rPr>
        <w:instrText xml:space="preserve"> HYPERLINK "http://www.secmca.org/" </w:instrText>
      </w:r>
      <w:r w:rsidR="007642C9">
        <w:fldChar w:fldCharType="separate"/>
      </w:r>
      <w:r w:rsidRPr="009A2657">
        <w:rPr>
          <w:rStyle w:val="Hyperlink"/>
          <w:rFonts w:ascii="Arial" w:eastAsiaTheme="minorHAnsi" w:hAnsi="Arial" w:cs="Arial"/>
          <w:sz w:val="18"/>
          <w:szCs w:val="18"/>
          <w:lang w:val="es-ES"/>
        </w:rPr>
        <w:t>Consejo Monetario Centroamericano</w:t>
      </w:r>
      <w:r w:rsidR="007642C9">
        <w:rPr>
          <w:rStyle w:val="Hyperlink"/>
          <w:rFonts w:ascii="Arial" w:eastAsiaTheme="minorHAnsi" w:hAnsi="Arial" w:cs="Arial"/>
          <w:sz w:val="18"/>
          <w:szCs w:val="18"/>
          <w:lang w:val="es-ES"/>
        </w:rPr>
        <w:fldChar w:fldCharType="end"/>
      </w:r>
      <w:r w:rsidRPr="009A2657">
        <w:rPr>
          <w:rFonts w:ascii="Arial" w:eastAsiaTheme="minorHAnsi" w:hAnsi="Arial" w:cs="Arial"/>
          <w:sz w:val="18"/>
          <w:szCs w:val="18"/>
          <w:lang w:val="es-ES"/>
        </w:rPr>
        <w:t>.</w:t>
      </w:r>
    </w:p>
  </w:footnote>
  <w:footnote w:id="3">
    <w:p w14:paraId="39B97C7E" w14:textId="77777777" w:rsidR="00CB0E0F" w:rsidRPr="009A2657" w:rsidRDefault="00CB0E0F" w:rsidP="007B71D2">
      <w:pPr>
        <w:pStyle w:val="FootnoteText"/>
        <w:tabs>
          <w:tab w:val="left" w:pos="0"/>
          <w:tab w:val="left" w:pos="180"/>
          <w:tab w:val="left" w:pos="270"/>
        </w:tabs>
        <w:spacing w:after="0"/>
        <w:ind w:left="270" w:hanging="270"/>
        <w:rPr>
          <w:rFonts w:ascii="Arial" w:hAnsi="Arial" w:cs="Arial"/>
          <w:sz w:val="18"/>
          <w:szCs w:val="18"/>
          <w:lang w:val="es-BO"/>
        </w:rPr>
      </w:pPr>
      <w:r w:rsidRPr="009A2657">
        <w:rPr>
          <w:rStyle w:val="FootnoteReference"/>
          <w:rFonts w:ascii="Arial" w:hAnsi="Arial" w:cs="Arial"/>
          <w:sz w:val="18"/>
          <w:szCs w:val="18"/>
        </w:rPr>
        <w:footnoteRef/>
      </w:r>
      <w:r w:rsidRPr="009A2657">
        <w:rPr>
          <w:rFonts w:ascii="Arial" w:hAnsi="Arial" w:cs="Arial"/>
          <w:sz w:val="18"/>
          <w:szCs w:val="18"/>
          <w:lang w:val="es-ES"/>
        </w:rPr>
        <w:t xml:space="preserve"> </w:t>
      </w:r>
      <w:r w:rsidRPr="009A2657">
        <w:rPr>
          <w:rFonts w:ascii="Arial" w:hAnsi="Arial" w:cs="Arial"/>
          <w:sz w:val="18"/>
          <w:szCs w:val="18"/>
          <w:lang w:val="es-ES"/>
        </w:rPr>
        <w:tab/>
      </w:r>
      <w:r>
        <w:rPr>
          <w:rFonts w:ascii="Arial" w:hAnsi="Arial" w:cs="Arial"/>
          <w:sz w:val="18"/>
          <w:szCs w:val="18"/>
          <w:lang w:val="es-ES"/>
        </w:rPr>
        <w:tab/>
      </w:r>
      <w:r w:rsidRPr="009A2657">
        <w:rPr>
          <w:rFonts w:ascii="Arial" w:hAnsi="Arial" w:cs="Arial"/>
          <w:spacing w:val="0"/>
          <w:sz w:val="18"/>
          <w:szCs w:val="18"/>
          <w:lang w:val="es-ES"/>
        </w:rPr>
        <w:t>Datos</w:t>
      </w:r>
      <w:r w:rsidRPr="009A2657">
        <w:rPr>
          <w:rFonts w:ascii="Arial" w:hAnsi="Arial" w:cs="Arial"/>
          <w:sz w:val="18"/>
          <w:szCs w:val="18"/>
          <w:lang w:val="es-BO"/>
        </w:rPr>
        <w:t xml:space="preserve"> oficiales del </w:t>
      </w:r>
      <w:r w:rsidR="007642C9">
        <w:fldChar w:fldCharType="begin"/>
      </w:r>
      <w:r w:rsidR="007642C9" w:rsidRPr="00015230">
        <w:rPr>
          <w:lang w:val="es-ES_tradnl"/>
        </w:rPr>
        <w:instrText xml:space="preserve"> HYPERLINK "https://www.bcr.gob.sv/esp/index.php?option=com_content&amp;view=category&amp;id=78&amp;Itemid=163" </w:instrText>
      </w:r>
      <w:r w:rsidR="007642C9">
        <w:fldChar w:fldCharType="separate"/>
      </w:r>
      <w:r w:rsidRPr="009A2657">
        <w:rPr>
          <w:rStyle w:val="Hyperlink"/>
          <w:rFonts w:ascii="Arial" w:eastAsiaTheme="majorEastAsia" w:hAnsi="Arial" w:cs="Arial"/>
          <w:sz w:val="18"/>
          <w:szCs w:val="18"/>
          <w:lang w:val="es-BO"/>
        </w:rPr>
        <w:t>Banco Central de Reserva (BCR) de El Salvador</w:t>
      </w:r>
      <w:r w:rsidR="007642C9">
        <w:rPr>
          <w:rStyle w:val="Hyperlink"/>
          <w:rFonts w:ascii="Arial" w:eastAsiaTheme="majorEastAsia" w:hAnsi="Arial" w:cs="Arial"/>
          <w:sz w:val="18"/>
          <w:szCs w:val="18"/>
          <w:lang w:val="es-BO"/>
        </w:rPr>
        <w:fldChar w:fldCharType="end"/>
      </w:r>
      <w:r w:rsidRPr="009A2657">
        <w:rPr>
          <w:rFonts w:ascii="Arial" w:hAnsi="Arial" w:cs="Arial"/>
          <w:sz w:val="18"/>
          <w:szCs w:val="18"/>
          <w:lang w:val="es-BO"/>
        </w:rPr>
        <w:t>.</w:t>
      </w:r>
    </w:p>
  </w:footnote>
  <w:footnote w:id="4">
    <w:p w14:paraId="1BE9D268" w14:textId="77777777" w:rsidR="00CB0E0F" w:rsidRPr="009A2657" w:rsidRDefault="00CB0E0F" w:rsidP="007B71D2">
      <w:pPr>
        <w:pStyle w:val="FootnoteText"/>
        <w:tabs>
          <w:tab w:val="left" w:pos="180"/>
          <w:tab w:val="left" w:pos="270"/>
        </w:tabs>
        <w:spacing w:after="0"/>
        <w:ind w:left="270" w:hanging="270"/>
        <w:rPr>
          <w:rFonts w:ascii="Arial" w:hAnsi="Arial" w:cs="Arial"/>
          <w:sz w:val="18"/>
          <w:szCs w:val="18"/>
          <w:lang w:val="es-ES"/>
        </w:rPr>
      </w:pPr>
      <w:r w:rsidRPr="009A2657">
        <w:rPr>
          <w:rStyle w:val="FootnoteReference"/>
          <w:rFonts w:ascii="Arial" w:hAnsi="Arial" w:cs="Arial"/>
          <w:sz w:val="18"/>
          <w:szCs w:val="18"/>
        </w:rPr>
        <w:footnoteRef/>
      </w:r>
      <w:r w:rsidRPr="009A2657">
        <w:rPr>
          <w:rFonts w:ascii="Arial" w:hAnsi="Arial" w:cs="Arial"/>
          <w:sz w:val="18"/>
          <w:szCs w:val="18"/>
          <w:lang w:val="es-ES"/>
        </w:rPr>
        <w:t xml:space="preserve"> </w:t>
      </w:r>
      <w:r w:rsidRPr="009A2657">
        <w:rPr>
          <w:rFonts w:ascii="Arial" w:hAnsi="Arial" w:cs="Arial"/>
          <w:sz w:val="18"/>
          <w:szCs w:val="18"/>
          <w:lang w:val="es-ES"/>
        </w:rPr>
        <w:tab/>
      </w:r>
      <w:r>
        <w:rPr>
          <w:rFonts w:ascii="Arial" w:hAnsi="Arial" w:cs="Arial"/>
          <w:sz w:val="18"/>
          <w:szCs w:val="18"/>
          <w:lang w:val="es-ES"/>
        </w:rPr>
        <w:tab/>
      </w:r>
      <w:r w:rsidRPr="009A2657">
        <w:rPr>
          <w:rFonts w:ascii="Arial" w:hAnsi="Arial" w:cs="Arial"/>
          <w:sz w:val="18"/>
          <w:szCs w:val="18"/>
          <w:lang w:val="es-SV"/>
        </w:rPr>
        <w:t>Barrios</w:t>
      </w:r>
      <w:r w:rsidRPr="009A2657">
        <w:rPr>
          <w:rFonts w:ascii="Arial" w:hAnsi="Arial" w:cs="Arial"/>
          <w:sz w:val="18"/>
          <w:szCs w:val="18"/>
          <w:lang w:val="es-BO"/>
        </w:rPr>
        <w:t>, J.J. et al (2019): Impulsando el Crecimiento Inclusivo y Sostenible.</w:t>
      </w:r>
    </w:p>
  </w:footnote>
  <w:footnote w:id="5">
    <w:p w14:paraId="74399115" w14:textId="49D6D153" w:rsidR="00CB0E0F" w:rsidRPr="009A2657" w:rsidRDefault="00CB0E0F" w:rsidP="007B71D2">
      <w:pPr>
        <w:pStyle w:val="FootnoteText"/>
        <w:tabs>
          <w:tab w:val="left" w:pos="0"/>
          <w:tab w:val="left" w:pos="180"/>
          <w:tab w:val="left" w:pos="270"/>
        </w:tabs>
        <w:spacing w:after="0"/>
        <w:ind w:left="270" w:hanging="270"/>
        <w:rPr>
          <w:rFonts w:ascii="Arial" w:hAnsi="Arial" w:cs="Arial"/>
          <w:sz w:val="18"/>
          <w:szCs w:val="18"/>
          <w:lang w:val="es-ES"/>
        </w:rPr>
      </w:pPr>
      <w:r w:rsidRPr="009A2657">
        <w:rPr>
          <w:rStyle w:val="FootnoteReference"/>
          <w:rFonts w:ascii="Arial" w:hAnsi="Arial" w:cs="Arial"/>
          <w:sz w:val="18"/>
          <w:szCs w:val="18"/>
        </w:rPr>
        <w:footnoteRef/>
      </w:r>
      <w:r w:rsidRPr="009A2657">
        <w:rPr>
          <w:rFonts w:ascii="Arial" w:hAnsi="Arial" w:cs="Arial"/>
          <w:sz w:val="18"/>
          <w:szCs w:val="18"/>
          <w:lang w:val="es-ES"/>
        </w:rPr>
        <w:t xml:space="preserve"> </w:t>
      </w:r>
      <w:r w:rsidRPr="009A2657">
        <w:rPr>
          <w:rFonts w:ascii="Arial" w:hAnsi="Arial" w:cs="Arial"/>
          <w:sz w:val="18"/>
          <w:szCs w:val="18"/>
          <w:lang w:val="es-ES"/>
        </w:rPr>
        <w:tab/>
      </w:r>
      <w:r>
        <w:rPr>
          <w:rFonts w:ascii="Arial" w:hAnsi="Arial" w:cs="Arial"/>
          <w:sz w:val="18"/>
          <w:szCs w:val="18"/>
          <w:lang w:val="es-ES"/>
        </w:rPr>
        <w:tab/>
      </w:r>
      <w:r w:rsidRPr="009A2657">
        <w:rPr>
          <w:rFonts w:ascii="Arial" w:hAnsi="Arial" w:cs="Arial"/>
          <w:spacing w:val="0"/>
          <w:sz w:val="18"/>
          <w:szCs w:val="18"/>
          <w:lang w:val="es-ES"/>
        </w:rPr>
        <w:t>Debido</w:t>
      </w:r>
      <w:r w:rsidRPr="009A2657">
        <w:rPr>
          <w:rFonts w:ascii="Arial" w:hAnsi="Arial" w:cs="Arial"/>
          <w:sz w:val="18"/>
          <w:szCs w:val="18"/>
          <w:lang w:val="es-ES"/>
        </w:rPr>
        <w:t xml:space="preserve"> a su contagio y expansión a nivel internacional, el COVID-19 fue clasificado como pandemia el 11 de marzo de 2020. A fines de </w:t>
      </w:r>
      <w:r>
        <w:rPr>
          <w:rFonts w:ascii="Arial" w:hAnsi="Arial" w:cs="Arial"/>
          <w:sz w:val="18"/>
          <w:szCs w:val="18"/>
          <w:lang w:val="es-ES"/>
        </w:rPr>
        <w:t>mayo</w:t>
      </w:r>
      <w:r w:rsidRPr="009A2657">
        <w:rPr>
          <w:rFonts w:ascii="Arial" w:hAnsi="Arial" w:cs="Arial"/>
          <w:sz w:val="18"/>
          <w:szCs w:val="18"/>
          <w:lang w:val="es-ES"/>
        </w:rPr>
        <w:t xml:space="preserve"> en el mundo existían </w:t>
      </w:r>
      <w:r>
        <w:rPr>
          <w:rFonts w:ascii="Arial" w:hAnsi="Arial" w:cs="Arial"/>
          <w:sz w:val="18"/>
          <w:szCs w:val="18"/>
          <w:lang w:val="es-ES"/>
        </w:rPr>
        <w:t>5,9</w:t>
      </w:r>
      <w:r w:rsidRPr="009A2657">
        <w:rPr>
          <w:rFonts w:ascii="Arial" w:hAnsi="Arial" w:cs="Arial"/>
          <w:sz w:val="18"/>
          <w:szCs w:val="18"/>
          <w:lang w:val="es-ES"/>
        </w:rPr>
        <w:t xml:space="preserve"> millones de infectados y </w:t>
      </w:r>
      <w:r>
        <w:rPr>
          <w:rFonts w:ascii="Arial" w:hAnsi="Arial" w:cs="Arial"/>
          <w:sz w:val="18"/>
          <w:szCs w:val="18"/>
          <w:lang w:val="es-ES"/>
        </w:rPr>
        <w:t>366.000</w:t>
      </w:r>
      <w:r w:rsidRPr="009A2657">
        <w:rPr>
          <w:rFonts w:ascii="Arial" w:hAnsi="Arial" w:cs="Arial"/>
          <w:sz w:val="18"/>
          <w:szCs w:val="18"/>
          <w:lang w:val="es-ES"/>
        </w:rPr>
        <w:t xml:space="preserve"> fallecidos por causa del virus. Las cifras para El Salvador a la misma fecha eran de </w:t>
      </w:r>
      <w:r>
        <w:rPr>
          <w:rFonts w:ascii="Arial" w:hAnsi="Arial" w:cs="Arial"/>
          <w:sz w:val="18"/>
          <w:szCs w:val="18"/>
          <w:lang w:val="es-ES"/>
        </w:rPr>
        <w:t>2.395</w:t>
      </w:r>
      <w:r w:rsidRPr="009A2657">
        <w:rPr>
          <w:rFonts w:ascii="Arial" w:hAnsi="Arial" w:cs="Arial"/>
          <w:sz w:val="18"/>
          <w:szCs w:val="18"/>
          <w:lang w:val="es-ES"/>
        </w:rPr>
        <w:t xml:space="preserve"> infectados y </w:t>
      </w:r>
      <w:r>
        <w:rPr>
          <w:rFonts w:ascii="Arial" w:hAnsi="Arial" w:cs="Arial"/>
          <w:sz w:val="18"/>
          <w:szCs w:val="18"/>
          <w:lang w:val="es-ES"/>
        </w:rPr>
        <w:t>44</w:t>
      </w:r>
      <w:r w:rsidRPr="009A2657">
        <w:rPr>
          <w:rFonts w:ascii="Arial" w:hAnsi="Arial" w:cs="Arial"/>
          <w:sz w:val="18"/>
          <w:szCs w:val="18"/>
          <w:lang w:val="es-ES"/>
        </w:rPr>
        <w:t xml:space="preserve"> fallecidos.</w:t>
      </w:r>
    </w:p>
  </w:footnote>
  <w:footnote w:id="6">
    <w:p w14:paraId="5F7FC066" w14:textId="77777777" w:rsidR="00CB0E0F" w:rsidRPr="009A2657" w:rsidRDefault="00CB0E0F" w:rsidP="007B71D2">
      <w:pPr>
        <w:pStyle w:val="FootnoteText"/>
        <w:tabs>
          <w:tab w:val="left" w:pos="0"/>
          <w:tab w:val="left" w:pos="180"/>
          <w:tab w:val="left" w:pos="270"/>
        </w:tabs>
        <w:spacing w:after="0"/>
        <w:ind w:left="270" w:hanging="270"/>
        <w:rPr>
          <w:rFonts w:ascii="Arial" w:hAnsi="Arial" w:cs="Arial"/>
          <w:sz w:val="18"/>
          <w:szCs w:val="18"/>
          <w:lang w:val="es-ES"/>
        </w:rPr>
      </w:pPr>
      <w:r w:rsidRPr="009A2657">
        <w:rPr>
          <w:rStyle w:val="FootnoteReference"/>
          <w:rFonts w:ascii="Arial" w:hAnsi="Arial" w:cs="Arial"/>
          <w:sz w:val="18"/>
          <w:szCs w:val="18"/>
        </w:rPr>
        <w:footnoteRef/>
      </w:r>
      <w:r w:rsidRPr="009A2657">
        <w:rPr>
          <w:rFonts w:ascii="Arial" w:hAnsi="Arial" w:cs="Arial"/>
          <w:sz w:val="18"/>
          <w:szCs w:val="18"/>
          <w:lang w:val="es-ES"/>
        </w:rPr>
        <w:t xml:space="preserve"> </w:t>
      </w:r>
      <w:r w:rsidRPr="009A2657">
        <w:rPr>
          <w:rFonts w:ascii="Arial" w:hAnsi="Arial" w:cs="Arial"/>
          <w:sz w:val="18"/>
          <w:szCs w:val="18"/>
          <w:lang w:val="es-ES"/>
        </w:rPr>
        <w:tab/>
      </w:r>
      <w:r>
        <w:rPr>
          <w:rFonts w:ascii="Arial" w:hAnsi="Arial" w:cs="Arial"/>
          <w:sz w:val="18"/>
          <w:szCs w:val="18"/>
          <w:lang w:val="es-ES"/>
        </w:rPr>
        <w:tab/>
      </w:r>
      <w:r w:rsidRPr="009A2657">
        <w:rPr>
          <w:rFonts w:ascii="Arial" w:hAnsi="Arial" w:cs="Arial"/>
          <w:spacing w:val="0"/>
          <w:sz w:val="18"/>
          <w:szCs w:val="18"/>
          <w:lang w:val="es-ES"/>
        </w:rPr>
        <w:t>El</w:t>
      </w:r>
      <w:r w:rsidRPr="009A2657">
        <w:rPr>
          <w:rFonts w:ascii="Arial" w:hAnsi="Arial" w:cs="Arial"/>
          <w:sz w:val="18"/>
          <w:szCs w:val="18"/>
          <w:lang w:val="es-ES"/>
        </w:rPr>
        <w:t xml:space="preserve"> 14 de marzo de 2020, la Asamblea Legislativa aprobó el </w:t>
      </w:r>
      <w:r w:rsidR="007642C9">
        <w:fldChar w:fldCharType="begin"/>
      </w:r>
      <w:r w:rsidR="007642C9" w:rsidRPr="00015230">
        <w:rPr>
          <w:lang w:val="es-ES_tradnl"/>
        </w:rPr>
        <w:instrText xml:space="preserve"> HYPERLINK "https://www.diariooficial.gob.sv/diarios/do-2020/03-marzo/14-03-2020.pdf" </w:instrText>
      </w:r>
      <w:r w:rsidR="007642C9">
        <w:fldChar w:fldCharType="separate"/>
      </w:r>
      <w:r w:rsidRPr="009A2657">
        <w:rPr>
          <w:rStyle w:val="Hyperlink"/>
          <w:rFonts w:ascii="Arial" w:eastAsiaTheme="majorEastAsia" w:hAnsi="Arial" w:cs="Arial"/>
          <w:sz w:val="18"/>
          <w:szCs w:val="18"/>
          <w:lang w:val="es-ES"/>
        </w:rPr>
        <w:t>Decreto 593</w:t>
      </w:r>
      <w:r w:rsidR="007642C9">
        <w:rPr>
          <w:rStyle w:val="Hyperlink"/>
          <w:rFonts w:ascii="Arial" w:eastAsiaTheme="majorEastAsia" w:hAnsi="Arial" w:cs="Arial"/>
          <w:sz w:val="18"/>
          <w:szCs w:val="18"/>
          <w:lang w:val="es-ES"/>
        </w:rPr>
        <w:fldChar w:fldCharType="end"/>
      </w:r>
      <w:r w:rsidRPr="009A2657">
        <w:rPr>
          <w:rFonts w:ascii="Arial" w:hAnsi="Arial" w:cs="Arial"/>
          <w:sz w:val="18"/>
          <w:szCs w:val="18"/>
          <w:lang w:val="es-ES"/>
        </w:rPr>
        <w:t xml:space="preserve"> que estableció un estado de emergencia nacional por la pandemia del COVID-19. El Decreto incluye una serie de medidas de prevención, contención y respuesta, como ser la limitación o restricción de la circulación de las personas.</w:t>
      </w:r>
    </w:p>
  </w:footnote>
  <w:footnote w:id="7">
    <w:p w14:paraId="4304E6F1" w14:textId="51293EDC" w:rsidR="00CB0E0F" w:rsidRPr="009A2657" w:rsidRDefault="00CB0E0F" w:rsidP="007B71D2">
      <w:pPr>
        <w:pStyle w:val="FootnoteText"/>
        <w:tabs>
          <w:tab w:val="left" w:pos="0"/>
          <w:tab w:val="left" w:pos="180"/>
          <w:tab w:val="left" w:pos="270"/>
        </w:tabs>
        <w:spacing w:after="0"/>
        <w:ind w:left="270" w:hanging="270"/>
        <w:rPr>
          <w:rFonts w:ascii="Arial" w:hAnsi="Arial" w:cs="Arial"/>
          <w:sz w:val="18"/>
          <w:szCs w:val="18"/>
          <w:lang w:val="es-SV"/>
        </w:rPr>
      </w:pPr>
      <w:r w:rsidRPr="009A2657">
        <w:rPr>
          <w:rStyle w:val="FootnoteReference"/>
          <w:rFonts w:ascii="Arial" w:hAnsi="Arial" w:cs="Arial"/>
          <w:sz w:val="18"/>
          <w:szCs w:val="18"/>
        </w:rPr>
        <w:footnoteRef/>
      </w:r>
      <w:r w:rsidRPr="009A2657">
        <w:rPr>
          <w:rFonts w:ascii="Arial" w:hAnsi="Arial" w:cs="Arial"/>
          <w:sz w:val="18"/>
          <w:szCs w:val="18"/>
          <w:lang w:val="es-ES"/>
        </w:rPr>
        <w:t xml:space="preserve"> </w:t>
      </w:r>
      <w:r w:rsidRPr="009A2657">
        <w:rPr>
          <w:rFonts w:ascii="Arial" w:hAnsi="Arial" w:cs="Arial"/>
          <w:sz w:val="18"/>
          <w:szCs w:val="18"/>
          <w:lang w:val="es-ES"/>
        </w:rPr>
        <w:tab/>
      </w:r>
      <w:r>
        <w:rPr>
          <w:rFonts w:ascii="Arial" w:hAnsi="Arial" w:cs="Arial"/>
          <w:sz w:val="18"/>
          <w:szCs w:val="18"/>
          <w:lang w:val="es-ES"/>
        </w:rPr>
        <w:tab/>
      </w:r>
      <w:r w:rsidRPr="002C6AE7">
        <w:rPr>
          <w:rFonts w:ascii="Arial" w:hAnsi="Arial" w:cs="Arial"/>
          <w:sz w:val="18"/>
          <w:szCs w:val="18"/>
          <w:lang w:val="es-SV"/>
        </w:rPr>
        <w:t xml:space="preserve">Las medidas económicas y fiscales del plan están publicadas en el </w:t>
      </w:r>
      <w:r w:rsidR="007642C9">
        <w:fldChar w:fldCharType="begin"/>
      </w:r>
      <w:r w:rsidR="007642C9" w:rsidRPr="00015230">
        <w:rPr>
          <w:lang w:val="es-ES_tradnl"/>
        </w:rPr>
        <w:instrText xml:space="preserve"> HYPERLINK "https://www.mh.gob.sv/pmh/es/Temas/Medidas-Economicas-Fiscales-emergencia-COVID-19.html" </w:instrText>
      </w:r>
      <w:r w:rsidR="007642C9">
        <w:fldChar w:fldCharType="separate"/>
      </w:r>
      <w:r w:rsidRPr="00A56632">
        <w:rPr>
          <w:rStyle w:val="Hyperlink"/>
          <w:rFonts w:ascii="Arial" w:hAnsi="Arial" w:cs="Arial"/>
          <w:sz w:val="18"/>
          <w:szCs w:val="18"/>
          <w:lang w:val="es-SV"/>
        </w:rPr>
        <w:t>sitio web del Ministerio de Hacienda</w:t>
      </w:r>
      <w:r w:rsidR="007642C9">
        <w:rPr>
          <w:rStyle w:val="Hyperlink"/>
          <w:rFonts w:ascii="Arial" w:hAnsi="Arial" w:cs="Arial"/>
          <w:sz w:val="18"/>
          <w:szCs w:val="18"/>
          <w:lang w:val="es-SV"/>
        </w:rPr>
        <w:fldChar w:fldCharType="end"/>
      </w:r>
      <w:r>
        <w:rPr>
          <w:rFonts w:ascii="Arial" w:hAnsi="Arial" w:cs="Arial"/>
          <w:sz w:val="18"/>
          <w:szCs w:val="18"/>
          <w:lang w:val="es-SV"/>
        </w:rPr>
        <w:t>.</w:t>
      </w:r>
    </w:p>
  </w:footnote>
  <w:footnote w:id="8">
    <w:p w14:paraId="14E319C6" w14:textId="77777777" w:rsidR="00CB0E0F" w:rsidRPr="009A2657" w:rsidRDefault="00CB0E0F" w:rsidP="007B71D2">
      <w:pPr>
        <w:pStyle w:val="FootnoteText"/>
        <w:tabs>
          <w:tab w:val="left" w:pos="0"/>
          <w:tab w:val="left" w:pos="180"/>
          <w:tab w:val="left" w:pos="270"/>
        </w:tabs>
        <w:spacing w:after="0"/>
        <w:ind w:left="270" w:hanging="270"/>
        <w:rPr>
          <w:rFonts w:ascii="Arial" w:hAnsi="Arial" w:cs="Arial"/>
          <w:sz w:val="18"/>
          <w:szCs w:val="18"/>
          <w:lang w:val="es-ES"/>
        </w:rPr>
      </w:pPr>
      <w:r w:rsidRPr="009A2657">
        <w:rPr>
          <w:rStyle w:val="FootnoteReference"/>
          <w:rFonts w:ascii="Arial" w:hAnsi="Arial" w:cs="Arial"/>
          <w:sz w:val="18"/>
          <w:szCs w:val="18"/>
        </w:rPr>
        <w:footnoteRef/>
      </w:r>
      <w:r w:rsidRPr="009A2657">
        <w:rPr>
          <w:rFonts w:ascii="Arial" w:hAnsi="Arial" w:cs="Arial"/>
          <w:sz w:val="18"/>
          <w:szCs w:val="18"/>
          <w:lang w:val="es-ES"/>
        </w:rPr>
        <w:t xml:space="preserve"> </w:t>
      </w:r>
      <w:r w:rsidRPr="009A2657">
        <w:rPr>
          <w:rFonts w:ascii="Arial" w:hAnsi="Arial" w:cs="Arial"/>
          <w:sz w:val="18"/>
          <w:szCs w:val="18"/>
          <w:lang w:val="es-ES"/>
        </w:rPr>
        <w:tab/>
      </w:r>
      <w:r>
        <w:rPr>
          <w:rFonts w:ascii="Arial" w:hAnsi="Arial" w:cs="Arial"/>
          <w:sz w:val="18"/>
          <w:szCs w:val="18"/>
          <w:lang w:val="es-ES"/>
        </w:rPr>
        <w:tab/>
      </w:r>
      <w:r w:rsidRPr="009A2657">
        <w:rPr>
          <w:rFonts w:ascii="Arial" w:hAnsi="Arial" w:cs="Arial"/>
          <w:sz w:val="18"/>
          <w:szCs w:val="18"/>
          <w:lang w:val="es-SV"/>
        </w:rPr>
        <w:t>El</w:t>
      </w:r>
      <w:r w:rsidRPr="009A2657">
        <w:rPr>
          <w:rFonts w:ascii="Arial" w:hAnsi="Arial" w:cs="Arial"/>
          <w:sz w:val="18"/>
          <w:szCs w:val="18"/>
          <w:lang w:val="es-ES"/>
        </w:rPr>
        <w:t xml:space="preserve"> Comité de Normas del BCR, en atención al </w:t>
      </w:r>
      <w:r w:rsidR="007642C9">
        <w:fldChar w:fldCharType="begin"/>
      </w:r>
      <w:r w:rsidR="007642C9" w:rsidRPr="00015230">
        <w:rPr>
          <w:lang w:val="es-ES_tradnl"/>
        </w:rPr>
        <w:instrText xml:space="preserve"> HYPERLINK "https://www.diariooficial.gob.sv/diarios/do-2020/03-marzo/14-03-2020.pdf" </w:instrText>
      </w:r>
      <w:r w:rsidR="007642C9">
        <w:fldChar w:fldCharType="separate"/>
      </w:r>
      <w:r w:rsidRPr="009A2657">
        <w:rPr>
          <w:rStyle w:val="Hyperlink"/>
          <w:rFonts w:ascii="Arial" w:eastAsiaTheme="majorEastAsia" w:hAnsi="Arial" w:cs="Arial"/>
          <w:sz w:val="18"/>
          <w:szCs w:val="18"/>
          <w:lang w:val="es-ES"/>
        </w:rPr>
        <w:t>Decreto 593</w:t>
      </w:r>
      <w:r w:rsidR="007642C9">
        <w:rPr>
          <w:rStyle w:val="Hyperlink"/>
          <w:rFonts w:ascii="Arial" w:eastAsiaTheme="majorEastAsia" w:hAnsi="Arial" w:cs="Arial"/>
          <w:sz w:val="18"/>
          <w:szCs w:val="18"/>
          <w:lang w:val="es-ES"/>
        </w:rPr>
        <w:fldChar w:fldCharType="end"/>
      </w:r>
      <w:r w:rsidRPr="009A2657">
        <w:rPr>
          <w:rFonts w:ascii="Arial" w:hAnsi="Arial" w:cs="Arial"/>
          <w:sz w:val="18"/>
          <w:szCs w:val="18"/>
          <w:lang w:val="es-ES"/>
        </w:rPr>
        <w:t xml:space="preserve">, aprobó el 20 de marzo las </w:t>
      </w:r>
      <w:r w:rsidR="007642C9">
        <w:fldChar w:fldCharType="begin"/>
      </w:r>
      <w:r w:rsidR="007642C9" w:rsidRPr="00015230">
        <w:rPr>
          <w:lang w:val="es-ES_tradnl"/>
        </w:rPr>
        <w:instrText xml:space="preserve"> HYPERLINK "https://www.bcr.gob.sv/regulaciones/" </w:instrText>
      </w:r>
      <w:r w:rsidR="007642C9">
        <w:fldChar w:fldCharType="separate"/>
      </w:r>
      <w:r w:rsidRPr="009A2657">
        <w:rPr>
          <w:rStyle w:val="Hyperlink"/>
          <w:rFonts w:ascii="Arial" w:eastAsiaTheme="majorEastAsia" w:hAnsi="Arial" w:cs="Arial"/>
          <w:sz w:val="18"/>
          <w:szCs w:val="18"/>
          <w:lang w:val="es-ES"/>
        </w:rPr>
        <w:t>Normas Técnicas Temporales</w:t>
      </w:r>
      <w:r w:rsidR="007642C9">
        <w:rPr>
          <w:rStyle w:val="Hyperlink"/>
          <w:rFonts w:ascii="Arial" w:eastAsiaTheme="majorEastAsia" w:hAnsi="Arial" w:cs="Arial"/>
          <w:sz w:val="18"/>
          <w:szCs w:val="18"/>
          <w:lang w:val="es-ES"/>
        </w:rPr>
        <w:fldChar w:fldCharType="end"/>
      </w:r>
      <w:r w:rsidRPr="009A2657">
        <w:rPr>
          <w:rFonts w:ascii="Arial" w:hAnsi="Arial" w:cs="Arial"/>
          <w:sz w:val="18"/>
          <w:szCs w:val="18"/>
          <w:lang w:val="es-ES"/>
        </w:rPr>
        <w:t xml:space="preserve"> para: (i) enfrentar incumplimientos y obligaciones contractuales; (</w:t>
      </w:r>
      <w:proofErr w:type="spellStart"/>
      <w:r w:rsidRPr="009A2657">
        <w:rPr>
          <w:rFonts w:ascii="Arial" w:hAnsi="Arial" w:cs="Arial"/>
          <w:sz w:val="18"/>
          <w:szCs w:val="18"/>
          <w:lang w:val="es-ES"/>
        </w:rPr>
        <w:t>ii</w:t>
      </w:r>
      <w:proofErr w:type="spellEnd"/>
      <w:r w:rsidRPr="009A2657">
        <w:rPr>
          <w:rFonts w:ascii="Arial" w:hAnsi="Arial" w:cs="Arial"/>
          <w:sz w:val="18"/>
          <w:szCs w:val="18"/>
          <w:lang w:val="es-ES"/>
        </w:rPr>
        <w:t>) el otorgamiento de créditos; y (</w:t>
      </w:r>
      <w:proofErr w:type="spellStart"/>
      <w:r w:rsidRPr="009A2657">
        <w:rPr>
          <w:rFonts w:ascii="Arial" w:hAnsi="Arial" w:cs="Arial"/>
          <w:sz w:val="18"/>
          <w:szCs w:val="18"/>
          <w:lang w:val="es-ES"/>
        </w:rPr>
        <w:t>iii</w:t>
      </w:r>
      <w:proofErr w:type="spellEnd"/>
      <w:r w:rsidRPr="009A2657">
        <w:rPr>
          <w:rFonts w:ascii="Arial" w:hAnsi="Arial" w:cs="Arial"/>
          <w:sz w:val="18"/>
          <w:szCs w:val="18"/>
          <w:lang w:val="es-ES"/>
        </w:rPr>
        <w:t xml:space="preserve">) relativas al sistema previsional.  </w:t>
      </w:r>
    </w:p>
  </w:footnote>
  <w:footnote w:id="9">
    <w:p w14:paraId="67607D05" w14:textId="77777777" w:rsidR="00CB0E0F" w:rsidRPr="009A2657" w:rsidRDefault="00CB0E0F" w:rsidP="007B71D2">
      <w:pPr>
        <w:pStyle w:val="FootnoteText"/>
        <w:tabs>
          <w:tab w:val="left" w:pos="0"/>
          <w:tab w:val="left" w:pos="180"/>
          <w:tab w:val="left" w:pos="270"/>
        </w:tabs>
        <w:spacing w:after="0"/>
        <w:ind w:left="270" w:hanging="270"/>
        <w:rPr>
          <w:rFonts w:ascii="Arial" w:hAnsi="Arial" w:cs="Arial"/>
          <w:sz w:val="18"/>
          <w:szCs w:val="18"/>
          <w:lang w:val="es-BO"/>
        </w:rPr>
      </w:pPr>
      <w:r w:rsidRPr="009A2657">
        <w:rPr>
          <w:rStyle w:val="FootnoteReference"/>
          <w:rFonts w:ascii="Arial" w:hAnsi="Arial" w:cs="Arial"/>
          <w:sz w:val="18"/>
          <w:szCs w:val="18"/>
        </w:rPr>
        <w:footnoteRef/>
      </w:r>
      <w:r w:rsidRPr="009A2657">
        <w:rPr>
          <w:rFonts w:ascii="Arial" w:hAnsi="Arial" w:cs="Arial"/>
          <w:sz w:val="18"/>
          <w:szCs w:val="18"/>
          <w:lang w:val="es-BO"/>
        </w:rPr>
        <w:t xml:space="preserve"> </w:t>
      </w:r>
      <w:r w:rsidRPr="009A2657">
        <w:rPr>
          <w:rFonts w:ascii="Arial" w:hAnsi="Arial" w:cs="Arial"/>
          <w:sz w:val="18"/>
          <w:szCs w:val="18"/>
          <w:lang w:val="es-BO"/>
        </w:rPr>
        <w:tab/>
      </w:r>
      <w:r>
        <w:rPr>
          <w:rFonts w:ascii="Arial" w:hAnsi="Arial" w:cs="Arial"/>
          <w:sz w:val="18"/>
          <w:szCs w:val="18"/>
          <w:lang w:val="es-BO"/>
        </w:rPr>
        <w:tab/>
      </w:r>
      <w:r w:rsidRPr="009A2657">
        <w:rPr>
          <w:rFonts w:ascii="Arial" w:hAnsi="Arial" w:cs="Arial"/>
          <w:sz w:val="18"/>
          <w:szCs w:val="18"/>
          <w:lang w:val="es-BO"/>
        </w:rPr>
        <w:t>BID (2020): Políticas para Combatir la Pandemia. Informe Macroeconómico de 2020.</w:t>
      </w:r>
    </w:p>
  </w:footnote>
  <w:footnote w:id="10">
    <w:p w14:paraId="7BA91C94" w14:textId="0757962D" w:rsidR="00CB0E0F" w:rsidRPr="009A2657" w:rsidRDefault="00CB0E0F" w:rsidP="007B71D2">
      <w:pPr>
        <w:pStyle w:val="FootnoteText"/>
        <w:tabs>
          <w:tab w:val="left" w:pos="180"/>
          <w:tab w:val="left" w:pos="270"/>
        </w:tabs>
        <w:spacing w:after="0"/>
        <w:ind w:left="270" w:hanging="270"/>
        <w:rPr>
          <w:rFonts w:ascii="Arial" w:hAnsi="Arial" w:cs="Arial"/>
          <w:sz w:val="18"/>
          <w:szCs w:val="18"/>
          <w:lang w:val="es-BO"/>
        </w:rPr>
      </w:pPr>
      <w:r w:rsidRPr="009A2657">
        <w:rPr>
          <w:rStyle w:val="FootnoteReference"/>
          <w:rFonts w:ascii="Arial" w:hAnsi="Arial" w:cs="Arial"/>
          <w:sz w:val="18"/>
          <w:szCs w:val="18"/>
        </w:rPr>
        <w:footnoteRef/>
      </w:r>
      <w:r w:rsidRPr="009A2657">
        <w:rPr>
          <w:rFonts w:ascii="Arial" w:hAnsi="Arial" w:cs="Arial"/>
          <w:sz w:val="18"/>
          <w:szCs w:val="18"/>
          <w:lang w:val="es-ES"/>
        </w:rPr>
        <w:t xml:space="preserve"> </w:t>
      </w:r>
      <w:r w:rsidRPr="009A2657">
        <w:rPr>
          <w:rFonts w:ascii="Arial" w:hAnsi="Arial" w:cs="Arial"/>
          <w:sz w:val="18"/>
          <w:szCs w:val="18"/>
          <w:lang w:val="es-ES"/>
        </w:rPr>
        <w:tab/>
      </w:r>
      <w:r>
        <w:rPr>
          <w:rFonts w:ascii="Arial" w:hAnsi="Arial" w:cs="Arial"/>
          <w:sz w:val="18"/>
          <w:szCs w:val="18"/>
          <w:lang w:val="es-ES"/>
        </w:rPr>
        <w:tab/>
      </w:r>
      <w:r w:rsidRPr="009A2657">
        <w:rPr>
          <w:rFonts w:ascii="Arial" w:hAnsi="Arial" w:cs="Arial"/>
          <w:sz w:val="18"/>
          <w:szCs w:val="18"/>
          <w:lang w:val="es-ES"/>
        </w:rPr>
        <w:t>Todos los datos y cálculos</w:t>
      </w:r>
      <w:r w:rsidRPr="009A2657">
        <w:rPr>
          <w:rFonts w:ascii="Arial" w:hAnsi="Arial" w:cs="Arial"/>
          <w:sz w:val="18"/>
          <w:szCs w:val="18"/>
          <w:lang w:val="es-BO"/>
        </w:rPr>
        <w:t xml:space="preserve"> de la Central de Información.</w:t>
      </w:r>
    </w:p>
  </w:footnote>
  <w:footnote w:id="11">
    <w:p w14:paraId="21BA4BF5" w14:textId="77777777" w:rsidR="00CB0E0F" w:rsidRPr="0065348E" w:rsidRDefault="00CB0E0F" w:rsidP="007B71D2">
      <w:pPr>
        <w:pStyle w:val="FootnoteText"/>
        <w:tabs>
          <w:tab w:val="left" w:pos="0"/>
          <w:tab w:val="left" w:pos="180"/>
          <w:tab w:val="left" w:pos="270"/>
        </w:tabs>
        <w:spacing w:after="0"/>
        <w:ind w:left="270" w:hanging="270"/>
        <w:rPr>
          <w:rFonts w:ascii="Arial" w:hAnsi="Arial" w:cs="Arial"/>
          <w:sz w:val="18"/>
          <w:szCs w:val="18"/>
          <w:lang w:val="es-BO"/>
        </w:rPr>
      </w:pPr>
      <w:r w:rsidRPr="009A2657">
        <w:rPr>
          <w:rStyle w:val="FootnoteReference"/>
          <w:rFonts w:ascii="Arial" w:hAnsi="Arial" w:cs="Arial"/>
          <w:sz w:val="18"/>
          <w:szCs w:val="18"/>
        </w:rPr>
        <w:footnoteRef/>
      </w:r>
      <w:r w:rsidRPr="009A2657">
        <w:rPr>
          <w:rFonts w:ascii="Arial" w:hAnsi="Arial" w:cs="Arial"/>
          <w:sz w:val="18"/>
          <w:szCs w:val="18"/>
          <w:lang w:val="es-ES"/>
        </w:rPr>
        <w:t xml:space="preserve"> </w:t>
      </w:r>
      <w:r w:rsidRPr="009A2657">
        <w:rPr>
          <w:rFonts w:ascii="Arial" w:hAnsi="Arial" w:cs="Arial"/>
          <w:sz w:val="18"/>
          <w:szCs w:val="18"/>
          <w:lang w:val="es-ES"/>
        </w:rPr>
        <w:tab/>
      </w:r>
      <w:r w:rsidRPr="009A2657">
        <w:rPr>
          <w:rFonts w:ascii="Arial" w:eastAsia="Calibri" w:hAnsi="Arial" w:cs="Arial"/>
          <w:sz w:val="18"/>
          <w:szCs w:val="18"/>
          <w:lang w:val="es-BO" w:eastAsia="es-PE"/>
        </w:rPr>
        <w:t>Los datos sugieren que a partir de 2008 el sistema financiero tiene mayor apetito por créditos de consumo y reemplaza la pérdida de capilaridad en los créditos de vivienda y empresariales por operaciones en estos sectores con montos promedio paulatinamente más altos.</w:t>
      </w:r>
    </w:p>
  </w:footnote>
  <w:footnote w:id="12">
    <w:p w14:paraId="0300C8F4" w14:textId="4B25CE12" w:rsidR="00CB0E0F" w:rsidRPr="0081623B" w:rsidRDefault="00CB0E0F" w:rsidP="007B71D2">
      <w:pPr>
        <w:pStyle w:val="FootnoteText"/>
        <w:tabs>
          <w:tab w:val="left" w:pos="0"/>
        </w:tabs>
        <w:spacing w:after="0"/>
        <w:ind w:left="270" w:hanging="270"/>
        <w:rPr>
          <w:rFonts w:ascii="Arial" w:hAnsi="Arial" w:cs="Arial"/>
          <w:sz w:val="18"/>
          <w:szCs w:val="18"/>
          <w:lang w:val="es-ES"/>
        </w:rPr>
      </w:pPr>
      <w:r w:rsidRPr="0081623B">
        <w:rPr>
          <w:rStyle w:val="FootnoteReference"/>
          <w:rFonts w:ascii="Arial" w:hAnsi="Arial" w:cs="Arial"/>
          <w:sz w:val="18"/>
          <w:szCs w:val="18"/>
        </w:rPr>
        <w:footnoteRef/>
      </w:r>
      <w:r w:rsidRPr="0081623B">
        <w:rPr>
          <w:rFonts w:ascii="Arial" w:hAnsi="Arial" w:cs="Arial"/>
          <w:sz w:val="18"/>
          <w:szCs w:val="18"/>
          <w:lang w:val="es-BO"/>
        </w:rPr>
        <w:t xml:space="preserve"> </w:t>
      </w:r>
      <w:r w:rsidRPr="0081623B">
        <w:rPr>
          <w:rFonts w:ascii="Arial" w:hAnsi="Arial" w:cs="Arial"/>
          <w:sz w:val="18"/>
          <w:szCs w:val="18"/>
          <w:lang w:val="es-BO"/>
        </w:rPr>
        <w:tab/>
      </w:r>
      <w:r w:rsidRPr="0081623B">
        <w:rPr>
          <w:rFonts w:ascii="Arial" w:hAnsi="Arial" w:cs="Arial"/>
          <w:sz w:val="18"/>
          <w:szCs w:val="18"/>
          <w:lang w:val="es-SV"/>
        </w:rPr>
        <w:t>Según</w:t>
      </w:r>
      <w:r w:rsidRPr="0081623B">
        <w:rPr>
          <w:rFonts w:ascii="Arial" w:hAnsi="Arial" w:cs="Arial"/>
          <w:sz w:val="18"/>
          <w:szCs w:val="18"/>
          <w:lang w:val="es-BO"/>
        </w:rPr>
        <w:t xml:space="preserve"> la </w:t>
      </w:r>
      <w:r w:rsidRPr="0081623B">
        <w:rPr>
          <w:rFonts w:ascii="Arial" w:hAnsi="Arial" w:cs="Arial"/>
          <w:sz w:val="18"/>
          <w:szCs w:val="18"/>
          <w:lang w:val="es-ES"/>
        </w:rPr>
        <w:t xml:space="preserve">Encuesta Nacional de Acceso a Servicios Financieros </w:t>
      </w:r>
      <w:r>
        <w:rPr>
          <w:rFonts w:ascii="Arial" w:hAnsi="Arial" w:cs="Arial"/>
          <w:sz w:val="18"/>
          <w:szCs w:val="18"/>
          <w:lang w:val="es-ES"/>
        </w:rPr>
        <w:t xml:space="preserve">2016 </w:t>
      </w:r>
      <w:r w:rsidRPr="0081623B">
        <w:rPr>
          <w:rFonts w:ascii="Arial" w:hAnsi="Arial" w:cs="Arial"/>
          <w:sz w:val="18"/>
          <w:szCs w:val="18"/>
          <w:lang w:val="es-ES"/>
        </w:rPr>
        <w:t>del BCR.</w:t>
      </w:r>
    </w:p>
  </w:footnote>
  <w:footnote w:id="13">
    <w:p w14:paraId="5029EF0A" w14:textId="77777777" w:rsidR="00CB0E0F" w:rsidRPr="001F0EB2" w:rsidRDefault="00CB0E0F" w:rsidP="007B71D2">
      <w:pPr>
        <w:pStyle w:val="FootnoteText"/>
        <w:tabs>
          <w:tab w:val="left" w:pos="0"/>
        </w:tabs>
        <w:spacing w:after="0"/>
        <w:ind w:left="270" w:hanging="270"/>
        <w:rPr>
          <w:rFonts w:ascii="Arial" w:hAnsi="Arial" w:cs="Arial"/>
          <w:sz w:val="18"/>
          <w:szCs w:val="18"/>
          <w:lang w:val="es-BO"/>
        </w:rPr>
      </w:pPr>
      <w:r w:rsidRPr="001F0EB2">
        <w:rPr>
          <w:rStyle w:val="FootnoteReference"/>
          <w:rFonts w:ascii="Arial" w:hAnsi="Arial" w:cs="Arial"/>
          <w:sz w:val="18"/>
          <w:szCs w:val="18"/>
        </w:rPr>
        <w:footnoteRef/>
      </w:r>
      <w:r w:rsidRPr="001F0EB2">
        <w:rPr>
          <w:rFonts w:ascii="Arial" w:hAnsi="Arial" w:cs="Arial"/>
          <w:sz w:val="18"/>
          <w:szCs w:val="18"/>
          <w:lang w:val="es-ES"/>
        </w:rPr>
        <w:t xml:space="preserve"> </w:t>
      </w:r>
      <w:r w:rsidRPr="001F0EB2">
        <w:rPr>
          <w:rFonts w:ascii="Arial" w:hAnsi="Arial" w:cs="Arial"/>
          <w:sz w:val="18"/>
          <w:szCs w:val="18"/>
          <w:lang w:val="es-ES"/>
        </w:rPr>
        <w:tab/>
      </w:r>
      <w:r w:rsidRPr="001F0EB2">
        <w:rPr>
          <w:rFonts w:ascii="Arial" w:hAnsi="Arial" w:cs="Arial"/>
          <w:sz w:val="18"/>
          <w:szCs w:val="18"/>
          <w:lang w:val="es-SV"/>
        </w:rPr>
        <w:t>Según</w:t>
      </w:r>
      <w:r w:rsidRPr="001F0EB2">
        <w:rPr>
          <w:rFonts w:ascii="Arial" w:hAnsi="Arial" w:cs="Arial"/>
          <w:sz w:val="18"/>
          <w:szCs w:val="18"/>
          <w:lang w:val="es-ES"/>
        </w:rPr>
        <w:t xml:space="preserve"> </w:t>
      </w:r>
      <w:r w:rsidR="007642C9">
        <w:fldChar w:fldCharType="begin"/>
      </w:r>
      <w:r w:rsidR="007642C9" w:rsidRPr="00015230">
        <w:rPr>
          <w:lang w:val="es-ES_tradnl"/>
        </w:rPr>
        <w:instrText xml:space="preserve"> HYPERLINK "https://globalfindex.worldbank.org/" </w:instrText>
      </w:r>
      <w:r w:rsidR="007642C9">
        <w:fldChar w:fldCharType="separate"/>
      </w:r>
      <w:r w:rsidRPr="001F0EB2">
        <w:rPr>
          <w:rStyle w:val="Hyperlink"/>
          <w:rFonts w:ascii="Arial" w:eastAsiaTheme="majorEastAsia" w:hAnsi="Arial" w:cs="Arial"/>
          <w:i/>
          <w:sz w:val="18"/>
          <w:szCs w:val="18"/>
          <w:lang w:val="es-ES"/>
        </w:rPr>
        <w:t xml:space="preserve">Global </w:t>
      </w:r>
      <w:proofErr w:type="spellStart"/>
      <w:r w:rsidRPr="001F0EB2">
        <w:rPr>
          <w:rStyle w:val="Hyperlink"/>
          <w:rFonts w:ascii="Arial" w:eastAsiaTheme="majorEastAsia" w:hAnsi="Arial" w:cs="Arial"/>
          <w:i/>
          <w:sz w:val="18"/>
          <w:szCs w:val="18"/>
          <w:lang w:val="es-ES"/>
        </w:rPr>
        <w:t>Financial</w:t>
      </w:r>
      <w:proofErr w:type="spellEnd"/>
      <w:r w:rsidRPr="001F0EB2">
        <w:rPr>
          <w:rStyle w:val="Hyperlink"/>
          <w:rFonts w:ascii="Arial" w:eastAsiaTheme="majorEastAsia" w:hAnsi="Arial" w:cs="Arial"/>
          <w:i/>
          <w:sz w:val="18"/>
          <w:szCs w:val="18"/>
          <w:lang w:val="es-ES"/>
        </w:rPr>
        <w:t xml:space="preserve"> </w:t>
      </w:r>
      <w:proofErr w:type="spellStart"/>
      <w:r w:rsidRPr="001F0EB2">
        <w:rPr>
          <w:rStyle w:val="Hyperlink"/>
          <w:rFonts w:ascii="Arial" w:eastAsiaTheme="majorEastAsia" w:hAnsi="Arial" w:cs="Arial"/>
          <w:i/>
          <w:sz w:val="18"/>
          <w:szCs w:val="18"/>
          <w:lang w:val="es-ES"/>
        </w:rPr>
        <w:t>Index</w:t>
      </w:r>
      <w:proofErr w:type="spellEnd"/>
      <w:r w:rsidR="007642C9">
        <w:rPr>
          <w:rStyle w:val="Hyperlink"/>
          <w:rFonts w:ascii="Arial" w:eastAsiaTheme="majorEastAsia" w:hAnsi="Arial" w:cs="Arial"/>
          <w:i/>
          <w:sz w:val="18"/>
          <w:szCs w:val="18"/>
          <w:lang w:val="es-ES"/>
        </w:rPr>
        <w:fldChar w:fldCharType="end"/>
      </w:r>
      <w:r w:rsidRPr="001F0EB2">
        <w:rPr>
          <w:rFonts w:ascii="Arial" w:hAnsi="Arial" w:cs="Arial"/>
          <w:sz w:val="18"/>
          <w:szCs w:val="18"/>
          <w:lang w:val="es-ES"/>
        </w:rPr>
        <w:t xml:space="preserve"> del Banco Mundial.</w:t>
      </w:r>
    </w:p>
  </w:footnote>
  <w:footnote w:id="14">
    <w:p w14:paraId="73C42787" w14:textId="51FDAE4B" w:rsidR="00CB0E0F" w:rsidRPr="0081623B" w:rsidRDefault="00CB0E0F" w:rsidP="007B71D2">
      <w:pPr>
        <w:pStyle w:val="FootnoteText"/>
        <w:tabs>
          <w:tab w:val="left" w:pos="0"/>
        </w:tabs>
        <w:spacing w:after="0"/>
        <w:ind w:left="270" w:hanging="270"/>
        <w:rPr>
          <w:rFonts w:ascii="Arial" w:hAnsi="Arial" w:cs="Arial"/>
          <w:sz w:val="18"/>
          <w:szCs w:val="18"/>
          <w:lang w:val="es-BO"/>
        </w:rPr>
      </w:pPr>
      <w:r w:rsidRPr="001F0EB2">
        <w:rPr>
          <w:rStyle w:val="FootnoteReference"/>
          <w:rFonts w:ascii="Arial" w:hAnsi="Arial" w:cs="Arial"/>
          <w:sz w:val="18"/>
          <w:szCs w:val="18"/>
        </w:rPr>
        <w:footnoteRef/>
      </w:r>
      <w:r w:rsidRPr="001F0EB2">
        <w:rPr>
          <w:rFonts w:ascii="Arial" w:hAnsi="Arial" w:cs="Arial"/>
          <w:sz w:val="18"/>
          <w:szCs w:val="18"/>
          <w:lang w:val="es-BO"/>
        </w:rPr>
        <w:t xml:space="preserve"> </w:t>
      </w:r>
      <w:r w:rsidRPr="001F0EB2">
        <w:rPr>
          <w:rFonts w:ascii="Arial" w:hAnsi="Arial" w:cs="Arial"/>
          <w:sz w:val="18"/>
          <w:szCs w:val="18"/>
          <w:lang w:val="es-BO"/>
        </w:rPr>
        <w:tab/>
      </w:r>
      <w:r w:rsidRPr="001F0EB2">
        <w:rPr>
          <w:rFonts w:ascii="Arial" w:hAnsi="Arial" w:cs="Arial"/>
          <w:sz w:val="18"/>
          <w:szCs w:val="18"/>
          <w:lang w:val="es-SV"/>
        </w:rPr>
        <w:t>Según</w:t>
      </w:r>
      <w:r w:rsidRPr="001F0EB2">
        <w:rPr>
          <w:rFonts w:ascii="Arial" w:hAnsi="Arial" w:cs="Arial"/>
          <w:sz w:val="18"/>
          <w:szCs w:val="18"/>
          <w:lang w:val="es-BO"/>
        </w:rPr>
        <w:t xml:space="preserve"> la </w:t>
      </w:r>
      <w:r w:rsidRPr="001F0EB2">
        <w:rPr>
          <w:rFonts w:ascii="Arial" w:hAnsi="Arial" w:cs="Arial"/>
          <w:sz w:val="18"/>
          <w:szCs w:val="18"/>
          <w:lang w:val="es-ES"/>
        </w:rPr>
        <w:t>Encuesta</w:t>
      </w:r>
      <w:r w:rsidRPr="0081623B">
        <w:rPr>
          <w:rFonts w:ascii="Arial" w:hAnsi="Arial" w:cs="Arial"/>
          <w:sz w:val="18"/>
          <w:szCs w:val="18"/>
          <w:lang w:val="es-ES"/>
        </w:rPr>
        <w:t xml:space="preserve"> Nacional de Acceso a Servicios Financieros </w:t>
      </w:r>
      <w:r>
        <w:rPr>
          <w:rFonts w:ascii="Arial" w:hAnsi="Arial" w:cs="Arial"/>
          <w:sz w:val="18"/>
          <w:szCs w:val="18"/>
          <w:lang w:val="es-ES"/>
        </w:rPr>
        <w:t xml:space="preserve">2016 </w:t>
      </w:r>
      <w:r w:rsidRPr="0081623B">
        <w:rPr>
          <w:rFonts w:ascii="Arial" w:hAnsi="Arial" w:cs="Arial"/>
          <w:sz w:val="18"/>
          <w:szCs w:val="18"/>
          <w:lang w:val="es-ES"/>
        </w:rPr>
        <w:t>del BCR.</w:t>
      </w:r>
    </w:p>
  </w:footnote>
  <w:footnote w:id="15">
    <w:p w14:paraId="472D4F2B" w14:textId="6588D3DB" w:rsidR="00CB0E0F" w:rsidRPr="0081623B" w:rsidRDefault="00CB0E0F" w:rsidP="007B71D2">
      <w:pPr>
        <w:pStyle w:val="FootnoteText"/>
        <w:tabs>
          <w:tab w:val="left" w:pos="0"/>
        </w:tabs>
        <w:spacing w:after="0"/>
        <w:ind w:left="270" w:hanging="270"/>
        <w:rPr>
          <w:rFonts w:ascii="Arial" w:hAnsi="Arial" w:cs="Arial"/>
          <w:sz w:val="18"/>
          <w:szCs w:val="18"/>
          <w:lang w:val="es-ES"/>
        </w:rPr>
      </w:pPr>
      <w:r w:rsidRPr="0081623B">
        <w:rPr>
          <w:rStyle w:val="FootnoteReference"/>
          <w:rFonts w:ascii="Arial" w:hAnsi="Arial" w:cs="Arial"/>
          <w:sz w:val="18"/>
          <w:szCs w:val="18"/>
        </w:rPr>
        <w:footnoteRef/>
      </w:r>
      <w:r w:rsidRPr="0081623B">
        <w:rPr>
          <w:rFonts w:ascii="Arial" w:hAnsi="Arial" w:cs="Arial"/>
          <w:sz w:val="18"/>
          <w:szCs w:val="18"/>
          <w:lang w:val="es-ES"/>
        </w:rPr>
        <w:t xml:space="preserve"> </w:t>
      </w:r>
      <w:r>
        <w:rPr>
          <w:rFonts w:ascii="Arial" w:hAnsi="Arial" w:cs="Arial"/>
          <w:sz w:val="18"/>
          <w:szCs w:val="18"/>
          <w:lang w:val="es-ES"/>
        </w:rPr>
        <w:tab/>
      </w:r>
      <w:r w:rsidRPr="0081623B">
        <w:rPr>
          <w:rFonts w:ascii="Arial" w:hAnsi="Arial" w:cs="Arial"/>
          <w:sz w:val="18"/>
          <w:szCs w:val="18"/>
          <w:lang w:val="es-ES"/>
        </w:rPr>
        <w:t xml:space="preserve">Las definiciones de según tamaño de empresa se establecen en Ley de Fomento, Protección y Desarrollo de la Micro y Pequeña Empresa, y en documentos del Ministerio de Economía según el detalle del </w:t>
      </w:r>
      <w:r w:rsidR="007642C9">
        <w:fldChar w:fldCharType="begin"/>
      </w:r>
      <w:r w:rsidR="007642C9" w:rsidRPr="00015230">
        <w:rPr>
          <w:lang w:val="es-ES_tradnl"/>
        </w:rPr>
        <w:instrText xml:space="preserve"> HYPERLINK "http://idbdocs.iadb.org/wsdocs/getDocument.asp</w:instrText>
      </w:r>
      <w:r w:rsidR="007642C9" w:rsidRPr="00015230">
        <w:rPr>
          <w:lang w:val="es-ES_tradnl"/>
        </w:rPr>
        <w:instrText xml:space="preserve">x?DOCNUM=EZSHARE-780044944-40" </w:instrText>
      </w:r>
      <w:r w:rsidR="007642C9">
        <w:fldChar w:fldCharType="separate"/>
      </w:r>
      <w:r w:rsidRPr="00911F87">
        <w:rPr>
          <w:rStyle w:val="Hyperlink"/>
          <w:rFonts w:ascii="Arial" w:hAnsi="Arial" w:cs="Arial"/>
          <w:sz w:val="18"/>
          <w:szCs w:val="18"/>
          <w:lang w:val="es-ES"/>
        </w:rPr>
        <w:t>EEO#</w:t>
      </w:r>
      <w:r>
        <w:rPr>
          <w:rStyle w:val="Hyperlink"/>
          <w:rFonts w:ascii="Arial" w:hAnsi="Arial" w:cs="Arial"/>
          <w:sz w:val="18"/>
          <w:szCs w:val="18"/>
          <w:lang w:val="es-ES"/>
        </w:rPr>
        <w:t>3</w:t>
      </w:r>
      <w:r w:rsidR="007642C9">
        <w:rPr>
          <w:rStyle w:val="Hyperlink"/>
          <w:rFonts w:ascii="Arial" w:hAnsi="Arial" w:cs="Arial"/>
          <w:sz w:val="18"/>
          <w:szCs w:val="18"/>
          <w:lang w:val="es-ES"/>
        </w:rPr>
        <w:fldChar w:fldCharType="end"/>
      </w:r>
      <w:r w:rsidRPr="0081623B">
        <w:rPr>
          <w:rFonts w:ascii="Arial" w:hAnsi="Arial" w:cs="Arial"/>
          <w:sz w:val="18"/>
          <w:szCs w:val="18"/>
          <w:lang w:val="es-ES"/>
        </w:rPr>
        <w:t>.</w:t>
      </w:r>
    </w:p>
  </w:footnote>
  <w:footnote w:id="16">
    <w:p w14:paraId="3042F878" w14:textId="77777777" w:rsidR="00CB0E0F" w:rsidRPr="0081623B" w:rsidRDefault="00CB0E0F" w:rsidP="007B71D2">
      <w:pPr>
        <w:pStyle w:val="FootnoteText"/>
        <w:tabs>
          <w:tab w:val="left" w:pos="0"/>
        </w:tabs>
        <w:spacing w:after="0"/>
        <w:ind w:left="270" w:hanging="270"/>
        <w:rPr>
          <w:rFonts w:ascii="Arial" w:hAnsi="Arial" w:cs="Arial"/>
          <w:sz w:val="18"/>
          <w:szCs w:val="18"/>
          <w:lang w:val="es-BO"/>
        </w:rPr>
      </w:pPr>
      <w:r w:rsidRPr="0081623B">
        <w:rPr>
          <w:rStyle w:val="FootnoteReference"/>
          <w:rFonts w:ascii="Arial" w:hAnsi="Arial" w:cs="Arial"/>
          <w:sz w:val="18"/>
          <w:szCs w:val="18"/>
        </w:rPr>
        <w:footnoteRef/>
      </w:r>
      <w:r w:rsidRPr="0081623B">
        <w:rPr>
          <w:rFonts w:ascii="Arial" w:hAnsi="Arial" w:cs="Arial"/>
          <w:sz w:val="18"/>
          <w:szCs w:val="18"/>
          <w:lang w:val="es-ES"/>
        </w:rPr>
        <w:t xml:space="preserve"> </w:t>
      </w:r>
      <w:r>
        <w:rPr>
          <w:rFonts w:ascii="Arial" w:hAnsi="Arial" w:cs="Arial"/>
          <w:sz w:val="18"/>
          <w:szCs w:val="18"/>
          <w:lang w:val="es-ES"/>
        </w:rPr>
        <w:tab/>
      </w:r>
      <w:r w:rsidRPr="0081623B">
        <w:rPr>
          <w:rFonts w:ascii="Arial" w:hAnsi="Arial" w:cs="Arial"/>
          <w:sz w:val="18"/>
          <w:szCs w:val="18"/>
          <w:lang w:val="es-ES"/>
        </w:rPr>
        <w:t>En este documento además MIPYME se utilizan los acrónimos MYPE y PYME para identificar a los grupos de la “micro y pequeña empresa”, y la “pequeña y mediana empresa”, respectivamente, según las agrupaciones realizadas en las fuentes de información consultadas</w:t>
      </w:r>
      <w:r w:rsidRPr="0081623B">
        <w:rPr>
          <w:rFonts w:ascii="Arial" w:hAnsi="Arial" w:cs="Arial"/>
          <w:sz w:val="18"/>
          <w:szCs w:val="18"/>
          <w:lang w:val="es-BO"/>
        </w:rPr>
        <w:t xml:space="preserve">. </w:t>
      </w:r>
    </w:p>
  </w:footnote>
  <w:footnote w:id="17">
    <w:p w14:paraId="1442D0E3" w14:textId="77777777" w:rsidR="00CB0E0F" w:rsidRPr="0081623B" w:rsidRDefault="00CB0E0F" w:rsidP="007B71D2">
      <w:pPr>
        <w:pStyle w:val="FootnoteText"/>
        <w:spacing w:after="0"/>
        <w:ind w:left="270" w:hanging="270"/>
        <w:rPr>
          <w:rFonts w:ascii="Arial" w:hAnsi="Arial" w:cs="Arial"/>
          <w:sz w:val="18"/>
          <w:szCs w:val="18"/>
          <w:lang w:val="es-ES"/>
        </w:rPr>
      </w:pPr>
      <w:r w:rsidRPr="0081623B">
        <w:rPr>
          <w:rStyle w:val="FootnoteReference"/>
          <w:rFonts w:ascii="Arial" w:hAnsi="Arial" w:cs="Arial"/>
          <w:sz w:val="18"/>
          <w:szCs w:val="18"/>
        </w:rPr>
        <w:footnoteRef/>
      </w:r>
      <w:r w:rsidRPr="0081623B">
        <w:rPr>
          <w:rFonts w:ascii="Arial" w:hAnsi="Arial" w:cs="Arial"/>
          <w:sz w:val="18"/>
          <w:szCs w:val="18"/>
          <w:lang w:val="es-ES"/>
        </w:rPr>
        <w:t xml:space="preserve"> </w:t>
      </w:r>
      <w:r w:rsidRPr="0081623B">
        <w:rPr>
          <w:rFonts w:ascii="Arial" w:hAnsi="Arial" w:cs="Arial"/>
          <w:sz w:val="18"/>
          <w:szCs w:val="18"/>
          <w:lang w:val="es-ES"/>
        </w:rPr>
        <w:tab/>
        <w:t xml:space="preserve">Ver: </w:t>
      </w:r>
      <w:r w:rsidR="007642C9">
        <w:fldChar w:fldCharType="begin"/>
      </w:r>
      <w:r w:rsidR="007642C9" w:rsidRPr="00015230">
        <w:rPr>
          <w:lang w:val="es-ES_tradnl"/>
        </w:rPr>
        <w:instrText xml:space="preserve"> HYPERLINK "https://www.cepal.org/es/comunicados/covid-19-tendra-graves-efectos-la-economia-mundial-impactara-paises-america-latina" </w:instrText>
      </w:r>
      <w:r w:rsidR="007642C9">
        <w:fldChar w:fldCharType="separate"/>
      </w:r>
      <w:r w:rsidRPr="0081623B">
        <w:rPr>
          <w:rStyle w:val="Hyperlink"/>
          <w:rFonts w:ascii="Arial" w:hAnsi="Arial" w:cs="Arial"/>
          <w:sz w:val="18"/>
          <w:szCs w:val="18"/>
          <w:lang w:val="es-ES"/>
        </w:rPr>
        <w:t>Comunicado de CEPAL</w:t>
      </w:r>
      <w:r w:rsidR="007642C9">
        <w:rPr>
          <w:rStyle w:val="Hyperlink"/>
          <w:rFonts w:ascii="Arial" w:hAnsi="Arial" w:cs="Arial"/>
          <w:sz w:val="18"/>
          <w:szCs w:val="18"/>
          <w:lang w:val="es-ES"/>
        </w:rPr>
        <w:fldChar w:fldCharType="end"/>
      </w:r>
      <w:r w:rsidRPr="0081623B">
        <w:rPr>
          <w:rFonts w:ascii="Arial" w:hAnsi="Arial" w:cs="Arial"/>
          <w:sz w:val="18"/>
          <w:szCs w:val="18"/>
          <w:lang w:val="es-ES"/>
        </w:rPr>
        <w:t xml:space="preserve"> (19 de marzo, 2020)</w:t>
      </w:r>
    </w:p>
  </w:footnote>
  <w:footnote w:id="18">
    <w:p w14:paraId="62545E44" w14:textId="77777777" w:rsidR="00CB0E0F" w:rsidRPr="00D87BEC" w:rsidRDefault="00CB0E0F" w:rsidP="007B71D2">
      <w:pPr>
        <w:pStyle w:val="FootnoteText"/>
        <w:tabs>
          <w:tab w:val="left" w:pos="0"/>
        </w:tabs>
        <w:spacing w:after="0"/>
        <w:ind w:left="270" w:hanging="270"/>
        <w:rPr>
          <w:rFonts w:ascii="Arial" w:hAnsi="Arial" w:cs="Arial"/>
          <w:sz w:val="18"/>
          <w:szCs w:val="18"/>
          <w:lang w:val="es-ES"/>
        </w:rPr>
      </w:pPr>
      <w:r w:rsidRPr="00D87BEC">
        <w:rPr>
          <w:rStyle w:val="FootnoteReference"/>
          <w:rFonts w:ascii="Arial" w:hAnsi="Arial" w:cs="Arial"/>
          <w:sz w:val="18"/>
          <w:szCs w:val="18"/>
        </w:rPr>
        <w:footnoteRef/>
      </w:r>
      <w:r w:rsidRPr="00D87BEC">
        <w:rPr>
          <w:rFonts w:ascii="Arial" w:hAnsi="Arial" w:cs="Arial"/>
          <w:sz w:val="18"/>
          <w:szCs w:val="18"/>
          <w:lang w:val="es-ES"/>
        </w:rPr>
        <w:t xml:space="preserve"> </w:t>
      </w:r>
      <w:r w:rsidRPr="00D87BEC">
        <w:rPr>
          <w:rFonts w:ascii="Arial" w:hAnsi="Arial" w:cs="Arial"/>
          <w:sz w:val="18"/>
          <w:szCs w:val="18"/>
          <w:lang w:val="es-ES"/>
        </w:rPr>
        <w:tab/>
      </w:r>
      <w:r w:rsidRPr="00D87BEC">
        <w:rPr>
          <w:rFonts w:ascii="Arial" w:hAnsi="Arial" w:cs="Arial"/>
          <w:sz w:val="18"/>
          <w:szCs w:val="18"/>
          <w:lang w:val="es-SV"/>
        </w:rPr>
        <w:t>Según</w:t>
      </w:r>
      <w:r w:rsidRPr="00D87BEC">
        <w:rPr>
          <w:rFonts w:ascii="Arial" w:hAnsi="Arial" w:cs="Arial"/>
          <w:sz w:val="18"/>
          <w:szCs w:val="18"/>
          <w:lang w:val="es-ES"/>
        </w:rPr>
        <w:t xml:space="preserve"> Encuesta Empresarial de El Salvador 2019 de la Organización Mundial del Trabajo. </w:t>
      </w:r>
    </w:p>
  </w:footnote>
  <w:footnote w:id="19">
    <w:p w14:paraId="59B153AF" w14:textId="77777777" w:rsidR="00CB0E0F" w:rsidRPr="00D87BEC" w:rsidRDefault="00CB0E0F" w:rsidP="007B71D2">
      <w:pPr>
        <w:pStyle w:val="FootnoteText"/>
        <w:tabs>
          <w:tab w:val="left" w:pos="0"/>
        </w:tabs>
        <w:spacing w:after="0"/>
        <w:ind w:left="270" w:hanging="270"/>
        <w:rPr>
          <w:rFonts w:ascii="Arial" w:hAnsi="Arial" w:cs="Arial"/>
          <w:sz w:val="18"/>
          <w:szCs w:val="18"/>
          <w:lang w:val="es-BO"/>
        </w:rPr>
      </w:pPr>
      <w:r w:rsidRPr="00D87BEC">
        <w:rPr>
          <w:rStyle w:val="FootnoteReference"/>
          <w:rFonts w:ascii="Arial" w:hAnsi="Arial" w:cs="Arial"/>
          <w:sz w:val="18"/>
          <w:szCs w:val="18"/>
        </w:rPr>
        <w:footnoteRef/>
      </w:r>
      <w:r w:rsidRPr="00D87BEC">
        <w:rPr>
          <w:rFonts w:ascii="Arial" w:hAnsi="Arial" w:cs="Arial"/>
          <w:sz w:val="18"/>
          <w:szCs w:val="18"/>
          <w:lang w:val="es-BO"/>
        </w:rPr>
        <w:t xml:space="preserve"> </w:t>
      </w:r>
      <w:r w:rsidRPr="00D87BEC">
        <w:rPr>
          <w:rFonts w:ascii="Arial" w:hAnsi="Arial" w:cs="Arial"/>
          <w:sz w:val="18"/>
          <w:szCs w:val="18"/>
          <w:lang w:val="es-BO"/>
        </w:rPr>
        <w:tab/>
      </w:r>
      <w:r w:rsidRPr="00D87BEC">
        <w:rPr>
          <w:rFonts w:ascii="Arial" w:hAnsi="Arial" w:cs="Arial"/>
          <w:sz w:val="18"/>
          <w:szCs w:val="18"/>
          <w:lang w:val="es-SV"/>
        </w:rPr>
        <w:t>Según</w:t>
      </w:r>
      <w:r w:rsidRPr="00D87BEC">
        <w:rPr>
          <w:rFonts w:ascii="Arial" w:hAnsi="Arial" w:cs="Arial"/>
          <w:sz w:val="18"/>
          <w:szCs w:val="18"/>
          <w:lang w:val="es-BO"/>
        </w:rPr>
        <w:t xml:space="preserve"> </w:t>
      </w:r>
      <w:r w:rsidR="007642C9">
        <w:fldChar w:fldCharType="begin"/>
      </w:r>
      <w:r w:rsidR="007642C9" w:rsidRPr="00015230">
        <w:rPr>
          <w:lang w:val="es-ES_tradnl"/>
        </w:rPr>
        <w:instrText xml:space="preserve"> HYPERLINK "https://www.enterprisesurveys.org/" </w:instrText>
      </w:r>
      <w:r w:rsidR="007642C9">
        <w:fldChar w:fldCharType="separate"/>
      </w:r>
      <w:r w:rsidRPr="00D87BEC">
        <w:rPr>
          <w:rStyle w:val="Hyperlink"/>
          <w:rFonts w:ascii="Arial" w:eastAsiaTheme="majorEastAsia" w:hAnsi="Arial" w:cs="Arial"/>
          <w:i/>
          <w:sz w:val="18"/>
          <w:szCs w:val="18"/>
          <w:lang w:val="es-BO"/>
        </w:rPr>
        <w:t xml:space="preserve">Enterprise </w:t>
      </w:r>
      <w:proofErr w:type="spellStart"/>
      <w:r w:rsidRPr="00D87BEC">
        <w:rPr>
          <w:rStyle w:val="Hyperlink"/>
          <w:rFonts w:ascii="Arial" w:eastAsiaTheme="majorEastAsia" w:hAnsi="Arial" w:cs="Arial"/>
          <w:i/>
          <w:sz w:val="18"/>
          <w:szCs w:val="18"/>
          <w:lang w:val="es-BO"/>
        </w:rPr>
        <w:t>Surveys</w:t>
      </w:r>
      <w:proofErr w:type="spellEnd"/>
      <w:r w:rsidR="007642C9">
        <w:rPr>
          <w:rStyle w:val="Hyperlink"/>
          <w:rFonts w:ascii="Arial" w:eastAsiaTheme="majorEastAsia" w:hAnsi="Arial" w:cs="Arial"/>
          <w:i/>
          <w:sz w:val="18"/>
          <w:szCs w:val="18"/>
          <w:lang w:val="es-BO"/>
        </w:rPr>
        <w:fldChar w:fldCharType="end"/>
      </w:r>
      <w:r w:rsidRPr="00D87BEC">
        <w:rPr>
          <w:rFonts w:ascii="Arial" w:hAnsi="Arial" w:cs="Arial"/>
          <w:sz w:val="18"/>
          <w:szCs w:val="18"/>
          <w:lang w:val="es-BO"/>
        </w:rPr>
        <w:t xml:space="preserve"> del Banco Mundial.</w:t>
      </w:r>
    </w:p>
  </w:footnote>
  <w:footnote w:id="20">
    <w:p w14:paraId="02E43985" w14:textId="77777777" w:rsidR="00CB0E0F" w:rsidRPr="00D87BEC" w:rsidRDefault="00CB0E0F" w:rsidP="007B71D2">
      <w:pPr>
        <w:pStyle w:val="FootnoteText"/>
        <w:tabs>
          <w:tab w:val="left" w:pos="0"/>
        </w:tabs>
        <w:spacing w:after="0"/>
        <w:ind w:left="270" w:hanging="270"/>
        <w:rPr>
          <w:rFonts w:ascii="Arial" w:hAnsi="Arial" w:cs="Arial"/>
          <w:sz w:val="18"/>
          <w:szCs w:val="18"/>
          <w:lang w:val="es-ES"/>
        </w:rPr>
      </w:pPr>
      <w:r w:rsidRPr="00D87BEC">
        <w:rPr>
          <w:rStyle w:val="FootnoteReference"/>
          <w:rFonts w:ascii="Arial" w:hAnsi="Arial" w:cs="Arial"/>
          <w:sz w:val="18"/>
          <w:szCs w:val="18"/>
        </w:rPr>
        <w:footnoteRef/>
      </w:r>
      <w:r w:rsidRPr="00D87BEC">
        <w:rPr>
          <w:rFonts w:ascii="Arial" w:hAnsi="Arial" w:cs="Arial"/>
          <w:sz w:val="18"/>
          <w:szCs w:val="18"/>
          <w:lang w:val="es-ES"/>
        </w:rPr>
        <w:t xml:space="preserve"> </w:t>
      </w:r>
      <w:r w:rsidRPr="00D87BEC">
        <w:rPr>
          <w:rFonts w:ascii="Arial" w:hAnsi="Arial" w:cs="Arial"/>
          <w:sz w:val="18"/>
          <w:szCs w:val="18"/>
          <w:lang w:val="es-ES"/>
        </w:rPr>
        <w:tab/>
        <w:t>Según El Crédito en el Sector Informal 2019 de la Asociación Bancaria Salvadoreña (ABANSA).</w:t>
      </w:r>
    </w:p>
  </w:footnote>
  <w:footnote w:id="21">
    <w:p w14:paraId="087F47BC" w14:textId="77777777" w:rsidR="00CB0E0F" w:rsidRPr="00D87BEC" w:rsidRDefault="00CB0E0F" w:rsidP="007B71D2">
      <w:pPr>
        <w:pStyle w:val="FootnoteText"/>
        <w:spacing w:after="0"/>
        <w:ind w:left="270" w:hanging="270"/>
        <w:rPr>
          <w:rStyle w:val="FootnoteReference"/>
          <w:rFonts w:ascii="Arial" w:hAnsi="Arial" w:cs="Arial"/>
          <w:sz w:val="18"/>
          <w:szCs w:val="18"/>
        </w:rPr>
      </w:pPr>
      <w:r w:rsidRPr="00D87BEC">
        <w:rPr>
          <w:rStyle w:val="FootnoteReference"/>
          <w:rFonts w:ascii="Arial" w:hAnsi="Arial" w:cs="Arial"/>
          <w:sz w:val="18"/>
          <w:szCs w:val="18"/>
        </w:rPr>
        <w:footnoteRef/>
      </w:r>
      <w:r w:rsidRPr="00D87BEC">
        <w:rPr>
          <w:rStyle w:val="FootnoteReference"/>
          <w:rFonts w:ascii="Arial" w:hAnsi="Arial" w:cs="Arial"/>
          <w:sz w:val="18"/>
          <w:szCs w:val="18"/>
        </w:rPr>
        <w:t xml:space="preserve"> </w:t>
      </w:r>
      <w:r w:rsidRPr="00D87BEC">
        <w:rPr>
          <w:rStyle w:val="FootnoteReference"/>
          <w:rFonts w:ascii="Arial" w:hAnsi="Arial" w:cs="Arial"/>
          <w:sz w:val="18"/>
          <w:szCs w:val="18"/>
        </w:rPr>
        <w:tab/>
      </w:r>
      <w:proofErr w:type="spellStart"/>
      <w:r w:rsidRPr="00D87BEC">
        <w:rPr>
          <w:rStyle w:val="FootnoteReference"/>
          <w:rFonts w:ascii="Arial" w:hAnsi="Arial" w:cs="Arial"/>
          <w:sz w:val="18"/>
          <w:szCs w:val="18"/>
          <w:vertAlign w:val="baseline"/>
        </w:rPr>
        <w:t>Según</w:t>
      </w:r>
      <w:proofErr w:type="spellEnd"/>
      <w:r w:rsidRPr="00D87BEC">
        <w:rPr>
          <w:rStyle w:val="FootnoteReference"/>
          <w:rFonts w:ascii="Arial" w:hAnsi="Arial" w:cs="Arial"/>
          <w:sz w:val="18"/>
          <w:szCs w:val="18"/>
          <w:vertAlign w:val="baseline"/>
        </w:rPr>
        <w:t xml:space="preserve"> </w:t>
      </w:r>
      <w:proofErr w:type="spellStart"/>
      <w:r w:rsidRPr="00D87BEC">
        <w:rPr>
          <w:rStyle w:val="FootnoteReference"/>
          <w:rFonts w:ascii="Arial" w:hAnsi="Arial" w:cs="Arial"/>
          <w:sz w:val="18"/>
          <w:szCs w:val="18"/>
          <w:vertAlign w:val="baseline"/>
        </w:rPr>
        <w:t>Encuesta</w:t>
      </w:r>
      <w:proofErr w:type="spellEnd"/>
      <w:r w:rsidRPr="00D87BEC">
        <w:rPr>
          <w:rStyle w:val="FootnoteReference"/>
          <w:rFonts w:ascii="Arial" w:hAnsi="Arial" w:cs="Arial"/>
          <w:sz w:val="18"/>
          <w:szCs w:val="18"/>
          <w:vertAlign w:val="baseline"/>
        </w:rPr>
        <w:t xml:space="preserve"> Nacional de la MYPE 2017 del BCR.</w:t>
      </w:r>
    </w:p>
  </w:footnote>
  <w:footnote w:id="22">
    <w:p w14:paraId="15EFB56B" w14:textId="2D46BB8C" w:rsidR="00CB0E0F" w:rsidRPr="00D87BEC" w:rsidRDefault="00CB0E0F" w:rsidP="007B71D2">
      <w:pPr>
        <w:pStyle w:val="FootnoteText"/>
        <w:spacing w:after="0"/>
        <w:ind w:left="270" w:hanging="270"/>
        <w:rPr>
          <w:rStyle w:val="FootnoteReference"/>
          <w:rFonts w:ascii="Arial" w:hAnsi="Arial" w:cs="Arial"/>
          <w:sz w:val="18"/>
          <w:szCs w:val="18"/>
          <w:lang w:val="es-NI"/>
        </w:rPr>
      </w:pPr>
      <w:r w:rsidRPr="00D87BEC">
        <w:rPr>
          <w:rStyle w:val="FootnoteReference"/>
          <w:rFonts w:ascii="Arial" w:hAnsi="Arial" w:cs="Arial"/>
          <w:sz w:val="18"/>
          <w:szCs w:val="18"/>
        </w:rPr>
        <w:footnoteRef/>
      </w:r>
      <w:r w:rsidRPr="00D87BEC">
        <w:rPr>
          <w:rStyle w:val="FootnoteReference"/>
          <w:rFonts w:ascii="Arial" w:hAnsi="Arial" w:cs="Arial"/>
          <w:sz w:val="18"/>
          <w:szCs w:val="18"/>
          <w:lang w:val="es-NI"/>
        </w:rPr>
        <w:t xml:space="preserve"> </w:t>
      </w:r>
      <w:r w:rsidRPr="00D87BEC">
        <w:rPr>
          <w:rFonts w:ascii="Arial" w:hAnsi="Arial" w:cs="Arial"/>
          <w:sz w:val="18"/>
          <w:szCs w:val="18"/>
          <w:lang w:val="es-NI"/>
        </w:rPr>
        <w:tab/>
      </w:r>
      <w:r w:rsidRPr="00D87BEC">
        <w:rPr>
          <w:rStyle w:val="FootnoteReference"/>
          <w:rFonts w:ascii="Arial" w:hAnsi="Arial" w:cs="Arial"/>
          <w:sz w:val="18"/>
          <w:szCs w:val="18"/>
          <w:vertAlign w:val="baseline"/>
          <w:lang w:val="es-NI"/>
        </w:rPr>
        <w:t>S</w:t>
      </w:r>
      <w:r w:rsidRPr="00D87BEC">
        <w:rPr>
          <w:rFonts w:ascii="Arial" w:hAnsi="Arial" w:cs="Arial"/>
          <w:sz w:val="18"/>
          <w:szCs w:val="18"/>
          <w:lang w:val="es-NI"/>
        </w:rPr>
        <w:t>egún</w:t>
      </w:r>
      <w:r w:rsidRPr="00D87BEC">
        <w:rPr>
          <w:rStyle w:val="FootnoteReference"/>
          <w:rFonts w:ascii="Arial" w:hAnsi="Arial" w:cs="Arial"/>
          <w:sz w:val="18"/>
          <w:szCs w:val="18"/>
          <w:vertAlign w:val="baseline"/>
          <w:lang w:val="es-NI"/>
        </w:rPr>
        <w:t xml:space="preserve"> Encuesta Nacional de Acceso al Financiamiento de las MIPYME</w:t>
      </w:r>
      <w:r w:rsidRPr="00D87BEC">
        <w:rPr>
          <w:rFonts w:ascii="Arial" w:hAnsi="Arial" w:cs="Arial"/>
          <w:sz w:val="18"/>
          <w:szCs w:val="18"/>
          <w:lang w:val="es-NI"/>
        </w:rPr>
        <w:t xml:space="preserve"> 2019 del BCR.</w:t>
      </w:r>
    </w:p>
  </w:footnote>
  <w:footnote w:id="23">
    <w:p w14:paraId="280F843C" w14:textId="77777777" w:rsidR="00CB0E0F" w:rsidRPr="00D87BEC" w:rsidRDefault="00CB0E0F" w:rsidP="007B71D2">
      <w:pPr>
        <w:pStyle w:val="FootnoteText"/>
        <w:spacing w:after="0"/>
        <w:rPr>
          <w:rFonts w:ascii="Arial" w:hAnsi="Arial" w:cs="Arial"/>
          <w:sz w:val="18"/>
          <w:szCs w:val="18"/>
          <w:lang w:val="es-ES"/>
        </w:rPr>
      </w:pPr>
      <w:r w:rsidRPr="00D87BEC">
        <w:rPr>
          <w:rStyle w:val="FootnoteReference"/>
          <w:rFonts w:ascii="Arial" w:hAnsi="Arial" w:cs="Arial"/>
          <w:sz w:val="18"/>
          <w:szCs w:val="18"/>
        </w:rPr>
        <w:footnoteRef/>
      </w:r>
      <w:r w:rsidRPr="00D87BEC">
        <w:rPr>
          <w:rStyle w:val="FootnoteReference"/>
          <w:rFonts w:ascii="Arial" w:hAnsi="Arial" w:cs="Arial"/>
          <w:sz w:val="18"/>
          <w:szCs w:val="18"/>
          <w:lang w:val="es-ES"/>
        </w:rPr>
        <w:t xml:space="preserve"> </w:t>
      </w:r>
      <w:r w:rsidRPr="00D87BEC">
        <w:rPr>
          <w:rStyle w:val="FootnoteReference"/>
          <w:rFonts w:ascii="Arial" w:hAnsi="Arial" w:cs="Arial"/>
          <w:sz w:val="18"/>
          <w:szCs w:val="18"/>
          <w:lang w:val="es-ES"/>
        </w:rPr>
        <w:tab/>
      </w:r>
      <w:r w:rsidRPr="00D87BEC">
        <w:rPr>
          <w:rStyle w:val="FootnoteReference"/>
          <w:rFonts w:ascii="Arial" w:hAnsi="Arial" w:cs="Arial"/>
          <w:sz w:val="18"/>
          <w:szCs w:val="18"/>
          <w:vertAlign w:val="baseline"/>
          <w:lang w:val="es-ES"/>
        </w:rPr>
        <w:t>Ídem</w:t>
      </w:r>
      <w:r w:rsidRPr="00D87BEC">
        <w:rPr>
          <w:rStyle w:val="FootnoteReference"/>
          <w:rFonts w:ascii="Arial" w:hAnsi="Arial" w:cs="Arial"/>
          <w:sz w:val="18"/>
          <w:szCs w:val="18"/>
          <w:lang w:val="es-ES"/>
        </w:rPr>
        <w:t>.</w:t>
      </w:r>
      <w:r w:rsidRPr="00D87BEC">
        <w:rPr>
          <w:rFonts w:ascii="Arial" w:hAnsi="Arial" w:cs="Arial"/>
          <w:sz w:val="18"/>
          <w:szCs w:val="18"/>
          <w:lang w:val="es-ES"/>
        </w:rPr>
        <w:t xml:space="preserve">  </w:t>
      </w:r>
    </w:p>
  </w:footnote>
  <w:footnote w:id="24">
    <w:p w14:paraId="7650A921" w14:textId="77777777" w:rsidR="00CB0E0F" w:rsidRPr="00D87BEC" w:rsidRDefault="00CB0E0F" w:rsidP="007B71D2">
      <w:pPr>
        <w:pStyle w:val="FootnoteText"/>
        <w:spacing w:after="40"/>
        <w:rPr>
          <w:rFonts w:ascii="Arial" w:hAnsi="Arial" w:cs="Arial"/>
          <w:sz w:val="18"/>
          <w:szCs w:val="18"/>
          <w:lang w:val="es-ES"/>
        </w:rPr>
      </w:pPr>
      <w:r w:rsidRPr="00D87BEC">
        <w:rPr>
          <w:rStyle w:val="FootnoteReference"/>
          <w:rFonts w:ascii="Arial" w:hAnsi="Arial" w:cs="Arial"/>
          <w:sz w:val="18"/>
          <w:szCs w:val="18"/>
        </w:rPr>
        <w:footnoteRef/>
      </w:r>
      <w:r w:rsidRPr="00D87BEC">
        <w:rPr>
          <w:rFonts w:ascii="Arial" w:hAnsi="Arial" w:cs="Arial"/>
          <w:sz w:val="18"/>
          <w:szCs w:val="18"/>
          <w:lang w:val="es-ES"/>
        </w:rPr>
        <w:t xml:space="preserve">  </w:t>
      </w:r>
      <w:r w:rsidRPr="00D87BEC">
        <w:rPr>
          <w:rFonts w:ascii="Arial" w:hAnsi="Arial" w:cs="Arial"/>
          <w:sz w:val="18"/>
          <w:szCs w:val="18"/>
          <w:lang w:val="es-ES"/>
        </w:rPr>
        <w:tab/>
      </w:r>
      <w:r w:rsidRPr="00D87BEC">
        <w:rPr>
          <w:rFonts w:ascii="Arial" w:hAnsi="Arial" w:cs="Arial"/>
          <w:sz w:val="18"/>
          <w:szCs w:val="18"/>
          <w:lang w:val="es-PA"/>
        </w:rPr>
        <w:t>Existe evidencia cuantitativa y cualitativa de estos efectos durante la crisis global de 2008. Por ejemplo, para países miembros de la Organización para la Cooperación y el Desarrollo Económico (OCDE)</w:t>
      </w:r>
      <w:r w:rsidRPr="00D87BEC">
        <w:rPr>
          <w:rFonts w:ascii="Arial" w:hAnsi="Arial" w:cs="Arial"/>
          <w:sz w:val="18"/>
          <w:szCs w:val="18"/>
          <w:lang w:val="es-ES"/>
        </w:rPr>
        <w:t>, ver: “</w:t>
      </w:r>
      <w:r w:rsidRPr="00D87BEC">
        <w:rPr>
          <w:rFonts w:ascii="Arial" w:hAnsi="Arial" w:cs="Arial"/>
          <w:i/>
          <w:iCs/>
          <w:sz w:val="18"/>
          <w:szCs w:val="18"/>
          <w:lang w:val="es-ES"/>
        </w:rPr>
        <w:t xml:space="preserve">The </w:t>
      </w:r>
      <w:proofErr w:type="spellStart"/>
      <w:r w:rsidRPr="00D87BEC">
        <w:rPr>
          <w:rFonts w:ascii="Arial" w:hAnsi="Arial" w:cs="Arial"/>
          <w:i/>
          <w:iCs/>
          <w:sz w:val="18"/>
          <w:szCs w:val="18"/>
          <w:lang w:val="es-ES"/>
        </w:rPr>
        <w:t>Impact</w:t>
      </w:r>
      <w:proofErr w:type="spellEnd"/>
      <w:r w:rsidRPr="00D87BEC">
        <w:rPr>
          <w:rFonts w:ascii="Arial" w:hAnsi="Arial" w:cs="Arial"/>
          <w:i/>
          <w:iCs/>
          <w:sz w:val="18"/>
          <w:szCs w:val="18"/>
          <w:lang w:val="es-ES"/>
        </w:rPr>
        <w:t xml:space="preserve"> of the Global Crisis </w:t>
      </w:r>
      <w:proofErr w:type="spellStart"/>
      <w:r w:rsidRPr="00D87BEC">
        <w:rPr>
          <w:rFonts w:ascii="Arial" w:hAnsi="Arial" w:cs="Arial"/>
          <w:i/>
          <w:iCs/>
          <w:sz w:val="18"/>
          <w:szCs w:val="18"/>
          <w:lang w:val="es-ES"/>
        </w:rPr>
        <w:t>on</w:t>
      </w:r>
      <w:proofErr w:type="spellEnd"/>
      <w:r w:rsidRPr="00D87BEC">
        <w:rPr>
          <w:rFonts w:ascii="Arial" w:hAnsi="Arial" w:cs="Arial"/>
          <w:i/>
          <w:iCs/>
          <w:sz w:val="18"/>
          <w:szCs w:val="18"/>
          <w:lang w:val="es-ES"/>
        </w:rPr>
        <w:t xml:space="preserve"> SME and </w:t>
      </w:r>
      <w:proofErr w:type="spellStart"/>
      <w:r w:rsidRPr="00D87BEC">
        <w:rPr>
          <w:rFonts w:ascii="Arial" w:hAnsi="Arial" w:cs="Arial"/>
          <w:i/>
          <w:iCs/>
          <w:sz w:val="18"/>
          <w:szCs w:val="18"/>
          <w:lang w:val="es-ES"/>
        </w:rPr>
        <w:t>Entrepreneurship</w:t>
      </w:r>
      <w:proofErr w:type="spellEnd"/>
      <w:r w:rsidRPr="00D87BEC">
        <w:rPr>
          <w:rFonts w:ascii="Arial" w:hAnsi="Arial" w:cs="Arial"/>
          <w:i/>
          <w:iCs/>
          <w:sz w:val="18"/>
          <w:szCs w:val="18"/>
          <w:lang w:val="es-ES"/>
        </w:rPr>
        <w:t xml:space="preserve"> </w:t>
      </w:r>
      <w:proofErr w:type="spellStart"/>
      <w:r w:rsidRPr="00D87BEC">
        <w:rPr>
          <w:rFonts w:ascii="Arial" w:hAnsi="Arial" w:cs="Arial"/>
          <w:i/>
          <w:iCs/>
          <w:sz w:val="18"/>
          <w:szCs w:val="18"/>
          <w:lang w:val="es-ES"/>
        </w:rPr>
        <w:t>Financing</w:t>
      </w:r>
      <w:proofErr w:type="spellEnd"/>
      <w:r w:rsidRPr="00D87BEC">
        <w:rPr>
          <w:rFonts w:ascii="Arial" w:hAnsi="Arial" w:cs="Arial"/>
          <w:i/>
          <w:iCs/>
          <w:sz w:val="18"/>
          <w:szCs w:val="18"/>
          <w:lang w:val="es-ES"/>
        </w:rPr>
        <w:t xml:space="preserve"> and </w:t>
      </w:r>
      <w:proofErr w:type="spellStart"/>
      <w:r w:rsidRPr="00D87BEC">
        <w:rPr>
          <w:rFonts w:ascii="Arial" w:hAnsi="Arial" w:cs="Arial"/>
          <w:i/>
          <w:iCs/>
          <w:sz w:val="18"/>
          <w:szCs w:val="18"/>
          <w:lang w:val="es-ES"/>
        </w:rPr>
        <w:t>Policy</w:t>
      </w:r>
      <w:proofErr w:type="spellEnd"/>
      <w:r w:rsidRPr="00D87BEC">
        <w:rPr>
          <w:rFonts w:ascii="Arial" w:hAnsi="Arial" w:cs="Arial"/>
          <w:i/>
          <w:iCs/>
          <w:sz w:val="18"/>
          <w:szCs w:val="18"/>
          <w:lang w:val="es-ES"/>
        </w:rPr>
        <w:t xml:space="preserve"> Responses</w:t>
      </w:r>
      <w:r w:rsidRPr="00D87BEC">
        <w:rPr>
          <w:rFonts w:ascii="Arial" w:hAnsi="Arial" w:cs="Arial"/>
          <w:sz w:val="18"/>
          <w:szCs w:val="18"/>
          <w:lang w:val="es-ES"/>
        </w:rPr>
        <w:t>”, OCDE, 2009.</w:t>
      </w:r>
    </w:p>
  </w:footnote>
  <w:footnote w:id="25">
    <w:p w14:paraId="0F754972" w14:textId="77777777" w:rsidR="00CB0E0F" w:rsidRPr="0065348E" w:rsidRDefault="00CB0E0F" w:rsidP="007B71D2">
      <w:pPr>
        <w:pStyle w:val="FootnoteText"/>
        <w:spacing w:after="40"/>
        <w:rPr>
          <w:rFonts w:ascii="Arial" w:hAnsi="Arial" w:cs="Arial"/>
          <w:sz w:val="18"/>
          <w:szCs w:val="18"/>
        </w:rPr>
      </w:pPr>
      <w:r w:rsidRPr="00D87BEC">
        <w:rPr>
          <w:rStyle w:val="FootnoteReference"/>
          <w:rFonts w:ascii="Arial" w:hAnsi="Arial" w:cs="Arial"/>
          <w:sz w:val="18"/>
          <w:szCs w:val="18"/>
        </w:rPr>
        <w:footnoteRef/>
      </w:r>
      <w:r w:rsidRPr="00D87BEC">
        <w:rPr>
          <w:rFonts w:ascii="Arial" w:hAnsi="Arial" w:cs="Arial"/>
          <w:sz w:val="18"/>
          <w:szCs w:val="18"/>
          <w:lang w:val="es-ES"/>
        </w:rPr>
        <w:t xml:space="preserve"> </w:t>
      </w:r>
      <w:r w:rsidRPr="00D87BEC">
        <w:rPr>
          <w:rFonts w:ascii="Arial" w:hAnsi="Arial" w:cs="Arial"/>
          <w:sz w:val="18"/>
          <w:szCs w:val="18"/>
          <w:lang w:val="es-ES"/>
        </w:rPr>
        <w:tab/>
        <w:t xml:space="preserve">El principal factor de la reducción de la oferta es el aumento de la percepción de riesgo de crédito. Por ejemplo, existe evidencia de como durante épocas de crisis económica el número de solicitudes de préstamo rechazos a MIPYMES aumenta. </w:t>
      </w:r>
      <w:r w:rsidRPr="00D87BEC">
        <w:rPr>
          <w:rFonts w:ascii="Arial" w:hAnsi="Arial" w:cs="Arial"/>
          <w:sz w:val="18"/>
          <w:szCs w:val="18"/>
        </w:rPr>
        <w:t xml:space="preserve">Por </w:t>
      </w:r>
      <w:proofErr w:type="spellStart"/>
      <w:r w:rsidRPr="00D87BEC">
        <w:rPr>
          <w:rFonts w:ascii="Arial" w:hAnsi="Arial" w:cs="Arial"/>
          <w:sz w:val="18"/>
          <w:szCs w:val="18"/>
        </w:rPr>
        <w:t>ejemplo</w:t>
      </w:r>
      <w:proofErr w:type="spellEnd"/>
      <w:r w:rsidRPr="00D87BEC">
        <w:rPr>
          <w:rFonts w:ascii="Arial" w:hAnsi="Arial" w:cs="Arial"/>
          <w:sz w:val="18"/>
          <w:szCs w:val="18"/>
        </w:rPr>
        <w:t xml:space="preserve">, </w:t>
      </w:r>
      <w:proofErr w:type="spellStart"/>
      <w:r w:rsidRPr="00D87BEC">
        <w:rPr>
          <w:rFonts w:ascii="Arial" w:hAnsi="Arial" w:cs="Arial"/>
          <w:sz w:val="18"/>
          <w:szCs w:val="18"/>
        </w:rPr>
        <w:t>ver</w:t>
      </w:r>
      <w:proofErr w:type="spellEnd"/>
      <w:r w:rsidRPr="00D87BEC">
        <w:rPr>
          <w:rFonts w:ascii="Arial" w:hAnsi="Arial" w:cs="Arial"/>
          <w:sz w:val="18"/>
          <w:szCs w:val="18"/>
        </w:rPr>
        <w:t xml:space="preserve"> “</w:t>
      </w:r>
      <w:r w:rsidRPr="00D87BEC">
        <w:rPr>
          <w:rFonts w:ascii="Arial" w:hAnsi="Arial" w:cs="Arial"/>
          <w:i/>
          <w:iCs/>
          <w:sz w:val="18"/>
          <w:szCs w:val="18"/>
        </w:rPr>
        <w:t>The impact of the Financial Crisis on Bank Lending to SMEs in UK</w:t>
      </w:r>
      <w:r w:rsidRPr="00D87BEC">
        <w:rPr>
          <w:rFonts w:ascii="Arial" w:hAnsi="Arial" w:cs="Arial"/>
          <w:sz w:val="18"/>
          <w:szCs w:val="18"/>
        </w:rPr>
        <w:t>”, Department of Business, Innovation and Skills, 2012.</w:t>
      </w:r>
    </w:p>
  </w:footnote>
  <w:footnote w:id="26">
    <w:p w14:paraId="218F4C3E" w14:textId="77777777" w:rsidR="00CB0E0F" w:rsidRPr="0065348E" w:rsidRDefault="00CB0E0F" w:rsidP="007B71D2">
      <w:pPr>
        <w:pStyle w:val="FootnoteText"/>
        <w:spacing w:after="40"/>
        <w:rPr>
          <w:rFonts w:ascii="Arial" w:hAnsi="Arial" w:cs="Arial"/>
          <w:sz w:val="18"/>
          <w:szCs w:val="18"/>
        </w:rPr>
      </w:pPr>
      <w:r w:rsidRPr="0065348E">
        <w:rPr>
          <w:rStyle w:val="FootnoteReference"/>
          <w:rFonts w:ascii="Arial" w:hAnsi="Arial" w:cs="Arial"/>
          <w:sz w:val="18"/>
          <w:szCs w:val="18"/>
        </w:rPr>
        <w:footnoteRef/>
      </w:r>
      <w:r w:rsidRPr="0065348E">
        <w:rPr>
          <w:rFonts w:ascii="Arial" w:hAnsi="Arial" w:cs="Arial"/>
          <w:sz w:val="18"/>
          <w:szCs w:val="18"/>
        </w:rPr>
        <w:t xml:space="preserve"> </w:t>
      </w:r>
      <w:r w:rsidRPr="0065348E">
        <w:rPr>
          <w:rFonts w:ascii="Arial" w:hAnsi="Arial" w:cs="Arial"/>
          <w:sz w:val="18"/>
          <w:szCs w:val="18"/>
        </w:rPr>
        <w:tab/>
        <w:t>“Small and Medium Size Enterprises, Credit Supply Shocks, and Economic Recovery in Europe”, FMI, 2014.</w:t>
      </w:r>
    </w:p>
  </w:footnote>
  <w:footnote w:id="27">
    <w:p w14:paraId="116CB859" w14:textId="77777777" w:rsidR="00CB0E0F" w:rsidRPr="0065348E" w:rsidRDefault="00CB0E0F" w:rsidP="007B71D2">
      <w:pPr>
        <w:pStyle w:val="FootnoteText"/>
        <w:spacing w:after="40"/>
        <w:rPr>
          <w:rFonts w:ascii="Arial" w:hAnsi="Arial" w:cs="Arial"/>
          <w:sz w:val="18"/>
          <w:szCs w:val="18"/>
        </w:rPr>
      </w:pPr>
      <w:r w:rsidRPr="0065348E">
        <w:rPr>
          <w:rStyle w:val="FootnoteReference"/>
          <w:rFonts w:ascii="Arial" w:hAnsi="Arial" w:cs="Arial"/>
          <w:sz w:val="18"/>
          <w:szCs w:val="18"/>
        </w:rPr>
        <w:footnoteRef/>
      </w:r>
      <w:r w:rsidRPr="0065348E">
        <w:rPr>
          <w:rFonts w:ascii="Arial" w:hAnsi="Arial" w:cs="Arial"/>
          <w:sz w:val="18"/>
          <w:szCs w:val="18"/>
          <w:lang w:val="es-ES"/>
        </w:rPr>
        <w:t xml:space="preserve"> </w:t>
      </w:r>
      <w:r w:rsidRPr="0065348E">
        <w:rPr>
          <w:rFonts w:ascii="Arial" w:hAnsi="Arial" w:cs="Arial"/>
          <w:sz w:val="18"/>
          <w:szCs w:val="18"/>
          <w:lang w:val="es-ES"/>
        </w:rPr>
        <w:tab/>
        <w:t xml:space="preserve">Estudio realizado por el Fondo Monetario Internacional (FMI) en la zona euro encuentra que la oferta de crédito esta correlacionada con el tamaño de empresa, y que el crédito se redujo en mayor proporción en las MIPYMES. </w:t>
      </w:r>
      <w:r w:rsidRPr="0065348E">
        <w:rPr>
          <w:rFonts w:ascii="Arial" w:hAnsi="Arial" w:cs="Arial"/>
          <w:sz w:val="18"/>
          <w:szCs w:val="18"/>
        </w:rPr>
        <w:t>“</w:t>
      </w:r>
      <w:r w:rsidRPr="0065348E">
        <w:rPr>
          <w:rFonts w:ascii="Arial" w:hAnsi="Arial" w:cs="Arial"/>
          <w:i/>
          <w:iCs/>
          <w:sz w:val="18"/>
          <w:szCs w:val="18"/>
        </w:rPr>
        <w:t>Access to Finance by SMEs in the Euro Area—What Helps or Hampers?</w:t>
      </w:r>
      <w:r w:rsidRPr="0065348E">
        <w:rPr>
          <w:rFonts w:ascii="Arial" w:hAnsi="Arial" w:cs="Arial"/>
          <w:sz w:val="18"/>
          <w:szCs w:val="18"/>
        </w:rPr>
        <w:t>, FMI, 2013.</w:t>
      </w:r>
    </w:p>
  </w:footnote>
  <w:footnote w:id="28">
    <w:p w14:paraId="12E8EF4C" w14:textId="77777777" w:rsidR="00CB0E0F" w:rsidRPr="00AF2E22" w:rsidRDefault="00CB0E0F" w:rsidP="007B71D2">
      <w:pPr>
        <w:pStyle w:val="FootnoteText"/>
        <w:spacing w:after="0"/>
      </w:pPr>
      <w:r w:rsidRPr="0065348E">
        <w:rPr>
          <w:rStyle w:val="FootnoteReference"/>
          <w:rFonts w:ascii="Arial" w:hAnsi="Arial" w:cs="Arial"/>
          <w:sz w:val="18"/>
          <w:szCs w:val="18"/>
        </w:rPr>
        <w:footnoteRef/>
      </w:r>
      <w:r w:rsidRPr="0065348E">
        <w:rPr>
          <w:rFonts w:ascii="Arial" w:hAnsi="Arial" w:cs="Arial"/>
          <w:sz w:val="18"/>
          <w:szCs w:val="18"/>
        </w:rPr>
        <w:t xml:space="preserve"> </w:t>
      </w:r>
      <w:r w:rsidRPr="0065348E">
        <w:rPr>
          <w:rFonts w:ascii="Arial" w:hAnsi="Arial" w:cs="Arial"/>
          <w:sz w:val="18"/>
          <w:szCs w:val="18"/>
        </w:rPr>
        <w:tab/>
        <w:t xml:space="preserve">Por </w:t>
      </w:r>
      <w:proofErr w:type="spellStart"/>
      <w:r w:rsidRPr="0065348E">
        <w:rPr>
          <w:rFonts w:ascii="Arial" w:hAnsi="Arial" w:cs="Arial"/>
          <w:sz w:val="18"/>
          <w:szCs w:val="18"/>
        </w:rPr>
        <w:t>ejemplo</w:t>
      </w:r>
      <w:proofErr w:type="spellEnd"/>
      <w:r w:rsidRPr="0065348E">
        <w:rPr>
          <w:rFonts w:ascii="Arial" w:hAnsi="Arial" w:cs="Arial"/>
          <w:sz w:val="18"/>
          <w:szCs w:val="18"/>
        </w:rPr>
        <w:t xml:space="preserve">, </w:t>
      </w:r>
      <w:proofErr w:type="spellStart"/>
      <w:r w:rsidRPr="0065348E">
        <w:rPr>
          <w:rFonts w:ascii="Arial" w:hAnsi="Arial" w:cs="Arial"/>
          <w:sz w:val="18"/>
          <w:szCs w:val="18"/>
        </w:rPr>
        <w:t>ver</w:t>
      </w:r>
      <w:proofErr w:type="spellEnd"/>
      <w:r w:rsidRPr="0065348E">
        <w:rPr>
          <w:rFonts w:ascii="Arial" w:hAnsi="Arial" w:cs="Arial"/>
          <w:sz w:val="18"/>
          <w:szCs w:val="18"/>
        </w:rPr>
        <w:t xml:space="preserve"> </w:t>
      </w:r>
      <w:proofErr w:type="spellStart"/>
      <w:r w:rsidRPr="0065348E">
        <w:rPr>
          <w:rFonts w:ascii="Arial" w:hAnsi="Arial" w:cs="Arial"/>
          <w:sz w:val="18"/>
          <w:szCs w:val="18"/>
        </w:rPr>
        <w:t>evidencia</w:t>
      </w:r>
      <w:proofErr w:type="spellEnd"/>
      <w:r w:rsidRPr="0065348E">
        <w:rPr>
          <w:rFonts w:ascii="Arial" w:hAnsi="Arial" w:cs="Arial"/>
          <w:sz w:val="18"/>
          <w:szCs w:val="18"/>
        </w:rPr>
        <w:t xml:space="preserve"> para </w:t>
      </w:r>
      <w:proofErr w:type="spellStart"/>
      <w:r w:rsidRPr="0065348E">
        <w:rPr>
          <w:rFonts w:ascii="Arial" w:hAnsi="Arial" w:cs="Arial"/>
          <w:sz w:val="18"/>
          <w:szCs w:val="18"/>
        </w:rPr>
        <w:t>Estados</w:t>
      </w:r>
      <w:proofErr w:type="spellEnd"/>
      <w:r w:rsidRPr="0065348E">
        <w:rPr>
          <w:rFonts w:ascii="Arial" w:hAnsi="Arial" w:cs="Arial"/>
          <w:sz w:val="18"/>
          <w:szCs w:val="18"/>
        </w:rPr>
        <w:t xml:space="preserve"> Unidos </w:t>
      </w:r>
      <w:proofErr w:type="spellStart"/>
      <w:r w:rsidRPr="0065348E">
        <w:rPr>
          <w:rFonts w:ascii="Arial" w:hAnsi="Arial" w:cs="Arial"/>
          <w:sz w:val="18"/>
          <w:szCs w:val="18"/>
        </w:rPr>
        <w:t>en</w:t>
      </w:r>
      <w:proofErr w:type="spellEnd"/>
      <w:r w:rsidRPr="0065348E">
        <w:rPr>
          <w:rFonts w:ascii="Arial" w:hAnsi="Arial" w:cs="Arial"/>
          <w:sz w:val="18"/>
          <w:szCs w:val="18"/>
        </w:rPr>
        <w:t xml:space="preserve"> “</w:t>
      </w:r>
      <w:r w:rsidRPr="0065348E">
        <w:rPr>
          <w:rFonts w:ascii="Arial" w:hAnsi="Arial" w:cs="Arial"/>
          <w:i/>
          <w:iCs/>
          <w:sz w:val="18"/>
          <w:szCs w:val="18"/>
        </w:rPr>
        <w:t>Small Businesses and Small Business Finance during the Financial Crisis and the Great Recession - New Evidence from the Survey of  Consumer Finances</w:t>
      </w:r>
      <w:r w:rsidRPr="0065348E">
        <w:rPr>
          <w:rFonts w:ascii="Arial" w:hAnsi="Arial" w:cs="Arial"/>
          <w:sz w:val="18"/>
          <w:szCs w:val="18"/>
        </w:rPr>
        <w:t>”, National Bureau of Economic Research, 2017.</w:t>
      </w:r>
    </w:p>
  </w:footnote>
  <w:footnote w:id="29">
    <w:p w14:paraId="0D30FC99" w14:textId="77777777" w:rsidR="00CB0E0F" w:rsidRPr="00A52245" w:rsidRDefault="00CB0E0F" w:rsidP="007B71D2">
      <w:pPr>
        <w:pStyle w:val="FootnoteText"/>
        <w:spacing w:after="0"/>
        <w:rPr>
          <w:rFonts w:ascii="Arial" w:hAnsi="Arial" w:cs="Arial"/>
          <w:sz w:val="18"/>
          <w:szCs w:val="18"/>
          <w:lang w:val="es-ES"/>
        </w:rPr>
      </w:pPr>
      <w:r w:rsidRPr="00000951">
        <w:rPr>
          <w:rStyle w:val="FootnoteReference"/>
          <w:rFonts w:ascii="Arial" w:hAnsi="Arial" w:cs="Arial"/>
          <w:sz w:val="18"/>
          <w:szCs w:val="18"/>
        </w:rPr>
        <w:footnoteRef/>
      </w:r>
      <w:r w:rsidRPr="00514234">
        <w:rPr>
          <w:rFonts w:ascii="Arial" w:hAnsi="Arial" w:cs="Arial"/>
          <w:sz w:val="18"/>
          <w:szCs w:val="18"/>
          <w:lang w:val="es-ES"/>
        </w:rPr>
        <w:t xml:space="preserve"> </w:t>
      </w:r>
      <w:r w:rsidRPr="003D1AD6">
        <w:rPr>
          <w:rFonts w:ascii="Arial" w:hAnsi="Arial" w:cs="Arial"/>
          <w:sz w:val="18"/>
          <w:szCs w:val="18"/>
          <w:lang w:val="es-ES"/>
        </w:rPr>
        <w:tab/>
        <w:t>Un di</w:t>
      </w:r>
      <w:r w:rsidRPr="00514234">
        <w:rPr>
          <w:rFonts w:ascii="Arial" w:hAnsi="Arial" w:cs="Arial"/>
          <w:sz w:val="18"/>
          <w:szCs w:val="18"/>
          <w:lang w:val="es-ES"/>
        </w:rPr>
        <w:t xml:space="preserve">agnóstico detallado sobre los problemas de acceso a financiamiento de las MIPYME de la región, pueden </w:t>
      </w:r>
      <w:r w:rsidRPr="00A52245">
        <w:rPr>
          <w:rFonts w:ascii="Arial" w:hAnsi="Arial" w:cs="Arial"/>
          <w:sz w:val="18"/>
          <w:szCs w:val="18"/>
          <w:lang w:val="es-ES"/>
        </w:rPr>
        <w:t>encontrarse en Documento de Marco Sectorial de Respaldo para PYME y Acceso y Supervisión Financieros (GN-2768-7).</w:t>
      </w:r>
    </w:p>
  </w:footnote>
  <w:footnote w:id="30">
    <w:p w14:paraId="2B571FB9" w14:textId="77777777" w:rsidR="00CB0E0F" w:rsidRPr="00A52245" w:rsidRDefault="00CB0E0F" w:rsidP="007B71D2">
      <w:pPr>
        <w:pStyle w:val="FootnoteText"/>
        <w:spacing w:after="0"/>
        <w:rPr>
          <w:rFonts w:ascii="Arial" w:hAnsi="Arial" w:cs="Arial"/>
          <w:sz w:val="18"/>
          <w:szCs w:val="18"/>
          <w:lang w:val="es-ES"/>
        </w:rPr>
      </w:pPr>
      <w:r w:rsidRPr="00A52245">
        <w:rPr>
          <w:rStyle w:val="FootnoteReference"/>
          <w:rFonts w:ascii="Arial" w:hAnsi="Arial" w:cs="Arial"/>
          <w:sz w:val="18"/>
          <w:szCs w:val="18"/>
        </w:rPr>
        <w:footnoteRef/>
      </w:r>
      <w:r w:rsidRPr="00A52245">
        <w:rPr>
          <w:rFonts w:ascii="Arial" w:hAnsi="Arial" w:cs="Arial"/>
          <w:sz w:val="18"/>
          <w:szCs w:val="18"/>
          <w:lang w:val="es-ES"/>
        </w:rPr>
        <w:t xml:space="preserve"> </w:t>
      </w:r>
      <w:r w:rsidRPr="00A52245">
        <w:rPr>
          <w:rFonts w:ascii="Arial" w:hAnsi="Arial" w:cs="Arial"/>
          <w:sz w:val="18"/>
          <w:szCs w:val="18"/>
          <w:lang w:val="es-ES"/>
        </w:rPr>
        <w:tab/>
        <w:t xml:space="preserve">El segmento MIPYME presenta </w:t>
      </w:r>
      <w:r w:rsidRPr="00A52245">
        <w:rPr>
          <w:rFonts w:ascii="Arial" w:hAnsi="Arial" w:cs="Arial"/>
          <w:sz w:val="18"/>
          <w:szCs w:val="18"/>
          <w:lang w:val="es-ES_tradnl"/>
        </w:rPr>
        <w:t>obstáculos específicos para el acceso al financiamiento respecto a empresas de mayor tamaño como son: (i) ciclos comerciales más cortos con mayores necesidades de liquidez a corto plazo; (</w:t>
      </w:r>
      <w:proofErr w:type="spellStart"/>
      <w:r w:rsidRPr="00A52245">
        <w:rPr>
          <w:rFonts w:ascii="Arial" w:hAnsi="Arial" w:cs="Arial"/>
          <w:sz w:val="18"/>
          <w:szCs w:val="18"/>
          <w:lang w:val="es-ES_tradnl"/>
        </w:rPr>
        <w:t>ii</w:t>
      </w:r>
      <w:proofErr w:type="spellEnd"/>
      <w:r w:rsidRPr="00A52245">
        <w:rPr>
          <w:rFonts w:ascii="Arial" w:hAnsi="Arial" w:cs="Arial"/>
          <w:sz w:val="18"/>
          <w:szCs w:val="18"/>
          <w:lang w:val="es-ES_tradnl"/>
        </w:rPr>
        <w:t>) carencia de instrumentos para la gestión del riesgo asociado a su ciclo de proyectos; (</w:t>
      </w:r>
      <w:proofErr w:type="spellStart"/>
      <w:r w:rsidRPr="00A52245">
        <w:rPr>
          <w:rFonts w:ascii="Arial" w:hAnsi="Arial" w:cs="Arial"/>
          <w:sz w:val="18"/>
          <w:szCs w:val="18"/>
          <w:lang w:val="es-ES_tradnl"/>
        </w:rPr>
        <w:t>iii</w:t>
      </w:r>
      <w:proofErr w:type="spellEnd"/>
      <w:r w:rsidRPr="00A52245">
        <w:rPr>
          <w:rFonts w:ascii="Arial" w:hAnsi="Arial" w:cs="Arial"/>
          <w:sz w:val="18"/>
          <w:szCs w:val="18"/>
          <w:lang w:val="es-ES_tradnl"/>
        </w:rPr>
        <w:t>) mayores limitaciones de colateral disponible y su ejecución, debido a la falta de capital existente; (</w:t>
      </w:r>
      <w:proofErr w:type="spellStart"/>
      <w:r w:rsidRPr="00A52245">
        <w:rPr>
          <w:rFonts w:ascii="Arial" w:hAnsi="Arial" w:cs="Arial"/>
          <w:sz w:val="18"/>
          <w:szCs w:val="18"/>
          <w:lang w:val="es-ES_tradnl"/>
        </w:rPr>
        <w:t>iv</w:t>
      </w:r>
      <w:proofErr w:type="spellEnd"/>
      <w:r w:rsidRPr="00A52245">
        <w:rPr>
          <w:rFonts w:ascii="Arial" w:hAnsi="Arial" w:cs="Arial"/>
          <w:sz w:val="18"/>
          <w:szCs w:val="18"/>
          <w:lang w:val="es-ES_tradnl"/>
        </w:rPr>
        <w:t>) altos costos de operación para prestar a escalas pequeñas; y (v) menor rentabilidad que otros segmentos empresariales.</w:t>
      </w:r>
    </w:p>
  </w:footnote>
  <w:footnote w:id="31">
    <w:p w14:paraId="25125014" w14:textId="77777777" w:rsidR="00CB0E0F" w:rsidRPr="00C54C81" w:rsidRDefault="00CB0E0F" w:rsidP="00C54C81">
      <w:pPr>
        <w:pStyle w:val="FootnoteText"/>
        <w:spacing w:after="0"/>
        <w:ind w:left="270" w:hanging="270"/>
        <w:rPr>
          <w:rFonts w:ascii="Arial" w:hAnsi="Arial" w:cs="Arial"/>
          <w:sz w:val="18"/>
          <w:szCs w:val="18"/>
          <w:lang w:val="es-ES_tradnl"/>
        </w:rPr>
      </w:pPr>
      <w:r w:rsidRPr="00C54C81">
        <w:rPr>
          <w:rStyle w:val="FootnoteReference"/>
          <w:rFonts w:ascii="Arial" w:hAnsi="Arial" w:cs="Arial"/>
          <w:sz w:val="18"/>
          <w:szCs w:val="18"/>
        </w:rPr>
        <w:footnoteRef/>
      </w:r>
      <w:r w:rsidRPr="00C54C81">
        <w:rPr>
          <w:rFonts w:ascii="Arial" w:hAnsi="Arial" w:cs="Arial"/>
          <w:sz w:val="18"/>
          <w:szCs w:val="18"/>
          <w:lang w:val="es-BO"/>
        </w:rPr>
        <w:t xml:space="preserve"> </w:t>
      </w:r>
      <w:r w:rsidRPr="00C54C81">
        <w:rPr>
          <w:rFonts w:ascii="Arial" w:hAnsi="Arial" w:cs="Arial"/>
          <w:sz w:val="18"/>
          <w:szCs w:val="18"/>
          <w:lang w:val="es-BO"/>
        </w:rPr>
        <w:tab/>
        <w:t xml:space="preserve">Aproximaciones iniciales mencionan que un 19% de la </w:t>
      </w:r>
      <w:r w:rsidRPr="00C54C81">
        <w:rPr>
          <w:rFonts w:ascii="Arial" w:hAnsi="Arial" w:cs="Arial"/>
          <w:sz w:val="18"/>
          <w:szCs w:val="18"/>
          <w:lang w:val="es-ES_tradnl"/>
        </w:rPr>
        <w:t>brecha de financiamiento a la MIPYME podría corresponder a</w:t>
      </w:r>
      <w:r w:rsidRPr="00C54C81">
        <w:rPr>
          <w:rFonts w:ascii="Arial" w:hAnsi="Arial" w:cs="Arial"/>
          <w:sz w:val="18"/>
          <w:szCs w:val="18"/>
          <w:lang w:val="es-BO"/>
        </w:rPr>
        <w:t xml:space="preserve"> aquellas de propiedad o lideradas por </w:t>
      </w:r>
      <w:r w:rsidRPr="00C54C81">
        <w:rPr>
          <w:rFonts w:ascii="Arial" w:hAnsi="Arial" w:cs="Arial"/>
          <w:sz w:val="18"/>
          <w:szCs w:val="18"/>
          <w:lang w:val="es-ES_tradnl"/>
        </w:rPr>
        <w:t>mujeres.</w:t>
      </w:r>
      <w:r w:rsidRPr="00C54C81">
        <w:rPr>
          <w:rFonts w:ascii="Arial" w:hAnsi="Arial" w:cs="Arial"/>
          <w:sz w:val="18"/>
          <w:szCs w:val="18"/>
          <w:lang w:val="es-BO"/>
        </w:rPr>
        <w:t xml:space="preserve"> </w:t>
      </w:r>
    </w:p>
  </w:footnote>
  <w:footnote w:id="32">
    <w:p w14:paraId="00F5FA5B" w14:textId="77777777" w:rsidR="00CB0E0F" w:rsidRPr="00C54C81" w:rsidRDefault="00CB0E0F" w:rsidP="009841D0">
      <w:pPr>
        <w:pStyle w:val="FootnoteText"/>
        <w:tabs>
          <w:tab w:val="left" w:pos="0"/>
        </w:tabs>
        <w:spacing w:after="0"/>
        <w:ind w:left="270" w:hanging="270"/>
        <w:rPr>
          <w:rFonts w:ascii="Arial" w:hAnsi="Arial" w:cs="Arial"/>
          <w:sz w:val="18"/>
          <w:szCs w:val="18"/>
          <w:lang w:val="es-NI"/>
        </w:rPr>
      </w:pPr>
      <w:r w:rsidRPr="00C54C81">
        <w:rPr>
          <w:rStyle w:val="FootnoteReference"/>
          <w:rFonts w:ascii="Arial" w:hAnsi="Arial" w:cs="Arial"/>
          <w:sz w:val="18"/>
          <w:szCs w:val="18"/>
        </w:rPr>
        <w:footnoteRef/>
      </w:r>
      <w:r w:rsidRPr="00C54C81">
        <w:rPr>
          <w:rFonts w:ascii="Arial" w:hAnsi="Arial" w:cs="Arial"/>
          <w:sz w:val="18"/>
          <w:szCs w:val="18"/>
          <w:lang w:val="es-NI"/>
        </w:rPr>
        <w:t xml:space="preserve"> </w:t>
      </w:r>
      <w:r w:rsidRPr="00C54C81">
        <w:rPr>
          <w:rFonts w:ascii="Arial" w:hAnsi="Arial" w:cs="Arial"/>
          <w:sz w:val="18"/>
          <w:szCs w:val="18"/>
          <w:lang w:val="es-NI"/>
        </w:rPr>
        <w:tab/>
      </w:r>
      <w:r w:rsidR="007642C9">
        <w:fldChar w:fldCharType="begin"/>
      </w:r>
      <w:r w:rsidR="007642C9" w:rsidRPr="00015230">
        <w:rPr>
          <w:lang w:val="es-ES_tradnl"/>
        </w:rPr>
        <w:instrText xml:space="preserve"> HYPERLINK "https://globalfindex.worldbank.org/" </w:instrText>
      </w:r>
      <w:r w:rsidR="007642C9">
        <w:fldChar w:fldCharType="separate"/>
      </w:r>
      <w:r w:rsidRPr="00C54C81">
        <w:rPr>
          <w:rStyle w:val="Hyperlink"/>
          <w:rFonts w:ascii="Arial" w:eastAsiaTheme="majorEastAsia" w:hAnsi="Arial" w:cs="Arial"/>
          <w:i/>
          <w:sz w:val="18"/>
          <w:szCs w:val="18"/>
          <w:lang w:val="es-BO"/>
        </w:rPr>
        <w:t xml:space="preserve">Global </w:t>
      </w:r>
      <w:proofErr w:type="spellStart"/>
      <w:r w:rsidRPr="00C54C81">
        <w:rPr>
          <w:rStyle w:val="Hyperlink"/>
          <w:rFonts w:ascii="Arial" w:eastAsiaTheme="majorEastAsia" w:hAnsi="Arial" w:cs="Arial"/>
          <w:i/>
          <w:sz w:val="18"/>
          <w:szCs w:val="18"/>
          <w:lang w:val="es-BO"/>
        </w:rPr>
        <w:t>Financial</w:t>
      </w:r>
      <w:proofErr w:type="spellEnd"/>
      <w:r w:rsidRPr="00C54C81">
        <w:rPr>
          <w:rStyle w:val="Hyperlink"/>
          <w:rFonts w:ascii="Arial" w:eastAsiaTheme="majorEastAsia" w:hAnsi="Arial" w:cs="Arial"/>
          <w:i/>
          <w:sz w:val="18"/>
          <w:szCs w:val="18"/>
          <w:lang w:val="es-BO"/>
        </w:rPr>
        <w:t xml:space="preserve"> </w:t>
      </w:r>
      <w:proofErr w:type="spellStart"/>
      <w:r w:rsidRPr="00C54C81">
        <w:rPr>
          <w:rStyle w:val="Hyperlink"/>
          <w:rFonts w:ascii="Arial" w:eastAsiaTheme="majorEastAsia" w:hAnsi="Arial" w:cs="Arial"/>
          <w:i/>
          <w:sz w:val="18"/>
          <w:szCs w:val="18"/>
          <w:lang w:val="es-BO"/>
        </w:rPr>
        <w:t>Index</w:t>
      </w:r>
      <w:proofErr w:type="spellEnd"/>
      <w:r w:rsidR="007642C9">
        <w:rPr>
          <w:rStyle w:val="Hyperlink"/>
          <w:rFonts w:ascii="Arial" w:eastAsiaTheme="majorEastAsia" w:hAnsi="Arial" w:cs="Arial"/>
          <w:i/>
          <w:sz w:val="18"/>
          <w:szCs w:val="18"/>
          <w:lang w:val="es-BO"/>
        </w:rPr>
        <w:fldChar w:fldCharType="end"/>
      </w:r>
      <w:r w:rsidRPr="00C54C81">
        <w:rPr>
          <w:rFonts w:ascii="Arial" w:hAnsi="Arial" w:cs="Arial"/>
          <w:sz w:val="18"/>
          <w:szCs w:val="18"/>
          <w:lang w:val="es-BO"/>
        </w:rPr>
        <w:t xml:space="preserve"> del Banco Mundial.</w:t>
      </w:r>
    </w:p>
  </w:footnote>
  <w:footnote w:id="33">
    <w:p w14:paraId="77922D1A" w14:textId="77777777" w:rsidR="00CB0E0F" w:rsidRPr="00C54C81" w:rsidRDefault="00CB0E0F" w:rsidP="009841D0">
      <w:pPr>
        <w:pStyle w:val="FootnoteText"/>
        <w:tabs>
          <w:tab w:val="left" w:pos="0"/>
        </w:tabs>
        <w:spacing w:after="0"/>
        <w:ind w:left="270" w:hanging="270"/>
        <w:rPr>
          <w:rFonts w:ascii="Arial" w:hAnsi="Arial" w:cs="Arial"/>
          <w:sz w:val="18"/>
          <w:szCs w:val="18"/>
          <w:lang w:val="es-BO"/>
        </w:rPr>
      </w:pPr>
      <w:r w:rsidRPr="00C54C81">
        <w:rPr>
          <w:rStyle w:val="FootnoteReference"/>
          <w:rFonts w:ascii="Arial" w:hAnsi="Arial" w:cs="Arial"/>
          <w:sz w:val="18"/>
          <w:szCs w:val="18"/>
        </w:rPr>
        <w:footnoteRef/>
      </w:r>
      <w:r w:rsidRPr="00C54C81">
        <w:rPr>
          <w:rFonts w:ascii="Arial" w:hAnsi="Arial" w:cs="Arial"/>
          <w:sz w:val="18"/>
          <w:szCs w:val="18"/>
          <w:lang w:val="es-BO"/>
        </w:rPr>
        <w:t xml:space="preserve"> </w:t>
      </w:r>
      <w:r w:rsidRPr="00C54C81">
        <w:rPr>
          <w:rFonts w:ascii="Arial" w:hAnsi="Arial" w:cs="Arial"/>
          <w:sz w:val="18"/>
          <w:szCs w:val="18"/>
          <w:lang w:val="es-BO"/>
        </w:rPr>
        <w:tab/>
      </w:r>
      <w:r w:rsidR="007642C9">
        <w:fldChar w:fldCharType="begin"/>
      </w:r>
      <w:r w:rsidR="007642C9" w:rsidRPr="00015230">
        <w:rPr>
          <w:lang w:val="es-ES_tradnl"/>
        </w:rPr>
        <w:instrText xml:space="preserve"> HYPERLINK "https://www.enterprisesurveys.org/" </w:instrText>
      </w:r>
      <w:r w:rsidR="007642C9">
        <w:fldChar w:fldCharType="separate"/>
      </w:r>
      <w:r w:rsidRPr="00C54C81">
        <w:rPr>
          <w:rStyle w:val="Hyperlink"/>
          <w:rFonts w:ascii="Arial" w:eastAsiaTheme="majorEastAsia" w:hAnsi="Arial" w:cs="Arial"/>
          <w:i/>
          <w:sz w:val="18"/>
          <w:szCs w:val="18"/>
          <w:lang w:val="es-BO"/>
        </w:rPr>
        <w:t xml:space="preserve">Enterprise </w:t>
      </w:r>
      <w:proofErr w:type="spellStart"/>
      <w:r w:rsidRPr="00C54C81">
        <w:rPr>
          <w:rStyle w:val="Hyperlink"/>
          <w:rFonts w:ascii="Arial" w:eastAsiaTheme="majorEastAsia" w:hAnsi="Arial" w:cs="Arial"/>
          <w:i/>
          <w:sz w:val="18"/>
          <w:szCs w:val="18"/>
          <w:lang w:val="es-BO"/>
        </w:rPr>
        <w:t>Surveys</w:t>
      </w:r>
      <w:proofErr w:type="spellEnd"/>
      <w:r w:rsidR="007642C9">
        <w:rPr>
          <w:rStyle w:val="Hyperlink"/>
          <w:rFonts w:ascii="Arial" w:eastAsiaTheme="majorEastAsia" w:hAnsi="Arial" w:cs="Arial"/>
          <w:i/>
          <w:sz w:val="18"/>
          <w:szCs w:val="18"/>
          <w:lang w:val="es-BO"/>
        </w:rPr>
        <w:fldChar w:fldCharType="end"/>
      </w:r>
      <w:r w:rsidRPr="00C54C81">
        <w:rPr>
          <w:rFonts w:ascii="Arial" w:hAnsi="Arial" w:cs="Arial"/>
          <w:sz w:val="18"/>
          <w:szCs w:val="18"/>
          <w:lang w:val="es-BO"/>
        </w:rPr>
        <w:t xml:space="preserve"> del Banco Mundial.</w:t>
      </w:r>
    </w:p>
  </w:footnote>
  <w:footnote w:id="34">
    <w:p w14:paraId="3DD9398E" w14:textId="77777777" w:rsidR="00CB0E0F" w:rsidRPr="009841D0" w:rsidRDefault="00CB0E0F" w:rsidP="009841D0">
      <w:pPr>
        <w:pStyle w:val="FootnoteText"/>
        <w:spacing w:after="0"/>
        <w:ind w:left="270" w:hanging="270"/>
        <w:rPr>
          <w:lang w:val="es-BO"/>
        </w:rPr>
      </w:pPr>
      <w:r w:rsidRPr="00C54C81">
        <w:rPr>
          <w:rStyle w:val="FootnoteReference"/>
          <w:rFonts w:ascii="Arial" w:hAnsi="Arial" w:cs="Arial"/>
          <w:sz w:val="18"/>
          <w:szCs w:val="18"/>
        </w:rPr>
        <w:footnoteRef/>
      </w:r>
      <w:r w:rsidRPr="00C54C81">
        <w:rPr>
          <w:rFonts w:ascii="Arial" w:hAnsi="Arial" w:cs="Arial"/>
          <w:sz w:val="18"/>
          <w:szCs w:val="18"/>
          <w:lang w:val="es-BO"/>
        </w:rPr>
        <w:t xml:space="preserve"> </w:t>
      </w:r>
      <w:r w:rsidRPr="00C54C81">
        <w:rPr>
          <w:rFonts w:ascii="Arial" w:hAnsi="Arial" w:cs="Arial"/>
          <w:sz w:val="18"/>
          <w:szCs w:val="18"/>
          <w:lang w:val="es-BO"/>
        </w:rPr>
        <w:tab/>
      </w:r>
      <w:proofErr w:type="spellStart"/>
      <w:r w:rsidRPr="00C54C81">
        <w:rPr>
          <w:rFonts w:ascii="Arial" w:eastAsia="Calibri" w:hAnsi="Arial" w:cs="Arial"/>
          <w:sz w:val="18"/>
          <w:szCs w:val="18"/>
          <w:lang w:val="es-BO" w:eastAsia="es-PE"/>
        </w:rPr>
        <w:t>Idem</w:t>
      </w:r>
      <w:proofErr w:type="spellEnd"/>
      <w:r w:rsidRPr="00C54C81">
        <w:rPr>
          <w:rFonts w:ascii="Arial" w:eastAsia="Calibri" w:hAnsi="Arial" w:cs="Arial"/>
          <w:sz w:val="18"/>
          <w:szCs w:val="18"/>
          <w:lang w:val="es-BO" w:eastAsia="es-PE"/>
        </w:rPr>
        <w:t>.</w:t>
      </w:r>
    </w:p>
  </w:footnote>
  <w:footnote w:id="35">
    <w:p w14:paraId="387D9411" w14:textId="3CF84BEC" w:rsidR="00CB0E0F" w:rsidRPr="00503915" w:rsidRDefault="00CB0E0F" w:rsidP="00503915">
      <w:pPr>
        <w:pStyle w:val="FootnoteText"/>
        <w:spacing w:after="0"/>
        <w:rPr>
          <w:rFonts w:ascii="Arial" w:hAnsi="Arial" w:cs="Arial"/>
          <w:sz w:val="18"/>
          <w:szCs w:val="18"/>
          <w:lang w:val="es-BO"/>
        </w:rPr>
      </w:pPr>
      <w:r w:rsidRPr="0044588B">
        <w:rPr>
          <w:rStyle w:val="FootnoteReference"/>
          <w:rFonts w:ascii="Arial" w:hAnsi="Arial" w:cs="Arial"/>
          <w:sz w:val="18"/>
          <w:szCs w:val="18"/>
        </w:rPr>
        <w:footnoteRef/>
      </w:r>
      <w:r w:rsidRPr="00503915">
        <w:rPr>
          <w:rFonts w:ascii="Arial" w:hAnsi="Arial" w:cs="Arial"/>
          <w:sz w:val="18"/>
          <w:szCs w:val="18"/>
          <w:lang w:val="es-BO"/>
        </w:rPr>
        <w:t xml:space="preserve"> </w:t>
      </w:r>
      <w:r w:rsidRPr="00503915">
        <w:rPr>
          <w:rFonts w:ascii="Arial" w:hAnsi="Arial" w:cs="Arial"/>
          <w:sz w:val="18"/>
          <w:szCs w:val="18"/>
          <w:lang w:val="es-BO"/>
        </w:rPr>
        <w:tab/>
      </w:r>
      <w:r>
        <w:rPr>
          <w:rFonts w:ascii="Arial" w:hAnsi="Arial" w:cs="Arial"/>
          <w:sz w:val="18"/>
          <w:szCs w:val="18"/>
          <w:lang w:val="es-BO"/>
        </w:rPr>
        <w:t xml:space="preserve">  </w:t>
      </w:r>
      <w:r w:rsidRPr="00503915">
        <w:rPr>
          <w:rFonts w:ascii="Arial" w:hAnsi="Arial" w:cs="Arial"/>
          <w:sz w:val="18"/>
          <w:szCs w:val="18"/>
          <w:lang w:val="es-BO"/>
        </w:rPr>
        <w:t xml:space="preserve">El </w:t>
      </w:r>
      <w:r w:rsidRPr="00503915">
        <w:rPr>
          <w:rFonts w:ascii="Arial" w:hAnsi="Arial" w:cs="Arial"/>
          <w:i/>
          <w:iCs/>
          <w:sz w:val="18"/>
          <w:szCs w:val="18"/>
          <w:lang w:val="es-BO"/>
        </w:rPr>
        <w:t xml:space="preserve">Global Climate </w:t>
      </w:r>
      <w:proofErr w:type="spellStart"/>
      <w:r w:rsidRPr="00503915">
        <w:rPr>
          <w:rFonts w:ascii="Arial" w:hAnsi="Arial" w:cs="Arial"/>
          <w:i/>
          <w:iCs/>
          <w:sz w:val="18"/>
          <w:szCs w:val="18"/>
          <w:lang w:val="es-BO"/>
        </w:rPr>
        <w:t>Risk</w:t>
      </w:r>
      <w:proofErr w:type="spellEnd"/>
      <w:r w:rsidRPr="00503915">
        <w:rPr>
          <w:rFonts w:ascii="Arial" w:hAnsi="Arial" w:cs="Arial"/>
          <w:i/>
          <w:iCs/>
          <w:sz w:val="18"/>
          <w:szCs w:val="18"/>
          <w:lang w:val="es-BO"/>
        </w:rPr>
        <w:t xml:space="preserve"> </w:t>
      </w:r>
      <w:proofErr w:type="spellStart"/>
      <w:r w:rsidRPr="00503915">
        <w:rPr>
          <w:rFonts w:ascii="Arial" w:hAnsi="Arial" w:cs="Arial"/>
          <w:i/>
          <w:iCs/>
          <w:sz w:val="18"/>
          <w:szCs w:val="18"/>
          <w:lang w:val="es-BO"/>
        </w:rPr>
        <w:t>Index</w:t>
      </w:r>
      <w:proofErr w:type="spellEnd"/>
      <w:r w:rsidRPr="00503915">
        <w:rPr>
          <w:rFonts w:ascii="Arial" w:hAnsi="Arial" w:cs="Arial"/>
          <w:sz w:val="18"/>
          <w:szCs w:val="18"/>
          <w:lang w:val="es-BO"/>
        </w:rPr>
        <w:t xml:space="preserve"> coloca a El Salvador como el sexto país de ALC con mayor riesgo climático. </w:t>
      </w:r>
    </w:p>
  </w:footnote>
  <w:footnote w:id="36">
    <w:p w14:paraId="44A62B24" w14:textId="77777777" w:rsidR="00CB0E0F" w:rsidRPr="00503915" w:rsidRDefault="00CB0E0F" w:rsidP="004D6066">
      <w:pPr>
        <w:pStyle w:val="FootnoteText"/>
        <w:tabs>
          <w:tab w:val="left" w:pos="0"/>
        </w:tabs>
        <w:spacing w:after="0"/>
        <w:ind w:left="360" w:hanging="360"/>
        <w:rPr>
          <w:rFonts w:ascii="Arial" w:hAnsi="Arial" w:cs="Arial"/>
          <w:sz w:val="18"/>
          <w:szCs w:val="18"/>
          <w:lang w:val="es-BO"/>
        </w:rPr>
      </w:pPr>
      <w:r w:rsidRPr="0083030D">
        <w:rPr>
          <w:rStyle w:val="FootnoteReference"/>
          <w:rFonts w:ascii="Arial" w:hAnsi="Arial" w:cs="Arial"/>
          <w:sz w:val="18"/>
          <w:szCs w:val="18"/>
        </w:rPr>
        <w:footnoteRef/>
      </w:r>
      <w:r w:rsidRPr="00503915">
        <w:rPr>
          <w:rFonts w:ascii="Arial" w:hAnsi="Arial" w:cs="Arial"/>
          <w:sz w:val="18"/>
          <w:szCs w:val="18"/>
          <w:lang w:val="es-BO"/>
        </w:rPr>
        <w:t xml:space="preserve"> </w:t>
      </w:r>
      <w:r w:rsidRPr="00503915">
        <w:rPr>
          <w:rFonts w:ascii="Arial" w:hAnsi="Arial" w:cs="Arial"/>
          <w:sz w:val="18"/>
          <w:szCs w:val="18"/>
          <w:lang w:val="es-BO"/>
        </w:rPr>
        <w:tab/>
        <w:t>Los bancos públicos firmaron un protocolo verde en septiembre de 2019, mientras que los bancos privados firmaron el protocolo de sostenibilidad en octubre de 2019. El país tiene necesidades de inversión por US$2.090 millones para 2018-2030 para acciones de mitigación y adaptación al cambio climático.</w:t>
      </w:r>
    </w:p>
  </w:footnote>
  <w:footnote w:id="37">
    <w:p w14:paraId="35D1D6A6" w14:textId="77777777" w:rsidR="00CB0E0F" w:rsidRPr="00503915" w:rsidRDefault="00CB0E0F" w:rsidP="004D6066">
      <w:pPr>
        <w:pStyle w:val="FootnoteText"/>
        <w:tabs>
          <w:tab w:val="left" w:pos="0"/>
        </w:tabs>
        <w:spacing w:after="0"/>
        <w:ind w:left="360" w:hanging="360"/>
        <w:rPr>
          <w:rFonts w:ascii="Arial" w:hAnsi="Arial" w:cs="Arial"/>
          <w:sz w:val="18"/>
          <w:szCs w:val="18"/>
          <w:lang w:val="es-BO"/>
        </w:rPr>
      </w:pPr>
      <w:r w:rsidRPr="0083030D">
        <w:rPr>
          <w:rStyle w:val="FootnoteReference"/>
          <w:rFonts w:ascii="Arial" w:hAnsi="Arial" w:cs="Arial"/>
          <w:sz w:val="18"/>
          <w:szCs w:val="18"/>
        </w:rPr>
        <w:footnoteRef/>
      </w:r>
      <w:r w:rsidRPr="00503915">
        <w:rPr>
          <w:rFonts w:ascii="Arial" w:hAnsi="Arial" w:cs="Arial"/>
          <w:sz w:val="18"/>
          <w:szCs w:val="18"/>
          <w:lang w:val="es-BO"/>
        </w:rPr>
        <w:t xml:space="preserve"> </w:t>
      </w:r>
      <w:r w:rsidRPr="00503915">
        <w:rPr>
          <w:rFonts w:ascii="Arial" w:hAnsi="Arial" w:cs="Arial"/>
          <w:sz w:val="18"/>
          <w:szCs w:val="18"/>
          <w:lang w:val="es-BO"/>
        </w:rPr>
        <w:tab/>
        <w:t>El Salvador no cuenta con un estudio de la brecha de financiamiento climático empresarial ni tampoco un análisis de vulnerabilidad climática aplicada al sistema financiero. En 2015, un estudio encargado por el BID y BANDESAL determinó que existía un potencial de reducir 28 mil toneladas de CO2 si se financiaban inversiones en tecnologías limpias de las PYME.</w:t>
      </w:r>
    </w:p>
  </w:footnote>
  <w:footnote w:id="38">
    <w:p w14:paraId="0693546F" w14:textId="77777777" w:rsidR="00CB0E0F" w:rsidRPr="002C6AE7" w:rsidRDefault="00CB0E0F" w:rsidP="004F3B89">
      <w:pPr>
        <w:pStyle w:val="FootnoteText"/>
        <w:spacing w:after="0"/>
        <w:ind w:left="360" w:hanging="360"/>
        <w:rPr>
          <w:rFonts w:ascii="Arial" w:hAnsi="Arial" w:cs="Arial"/>
          <w:sz w:val="18"/>
          <w:szCs w:val="18"/>
          <w:lang w:val="es-BO"/>
        </w:rPr>
      </w:pPr>
      <w:r w:rsidRPr="00A56632">
        <w:rPr>
          <w:rStyle w:val="FootnoteReference"/>
          <w:rFonts w:ascii="Arial" w:hAnsi="Arial" w:cs="Arial"/>
          <w:sz w:val="18"/>
          <w:szCs w:val="18"/>
        </w:rPr>
        <w:footnoteRef/>
      </w:r>
      <w:r w:rsidRPr="009841D0">
        <w:rPr>
          <w:rFonts w:ascii="Arial" w:hAnsi="Arial" w:cs="Arial"/>
          <w:sz w:val="18"/>
          <w:szCs w:val="18"/>
          <w:lang w:val="es-BO"/>
        </w:rPr>
        <w:t xml:space="preserve"> </w:t>
      </w:r>
      <w:r w:rsidRPr="009841D0">
        <w:rPr>
          <w:rFonts w:ascii="Arial" w:hAnsi="Arial" w:cs="Arial"/>
          <w:sz w:val="18"/>
          <w:szCs w:val="18"/>
          <w:lang w:val="es-BO"/>
        </w:rPr>
        <w:tab/>
      </w:r>
      <w:r w:rsidRPr="009841D0">
        <w:rPr>
          <w:rFonts w:ascii="Arial" w:eastAsia="Calibri" w:hAnsi="Arial" w:cs="Arial"/>
          <w:sz w:val="18"/>
          <w:szCs w:val="18"/>
          <w:lang w:val="es-BO" w:eastAsia="es-PE"/>
        </w:rPr>
        <w:t xml:space="preserve">De acuerdo con las estimaciones internas de BANDESAL, su cartera MIPYME de segundo piso podría contraerse en un 30% en el mediano plazo de no contar con una nueva fuente de recursos.  </w:t>
      </w:r>
    </w:p>
  </w:footnote>
  <w:footnote w:id="39">
    <w:p w14:paraId="61E797BB" w14:textId="6DF1AEBD" w:rsidR="00427922" w:rsidRPr="00427922" w:rsidRDefault="00CB0E0F" w:rsidP="00427922">
      <w:pPr>
        <w:pStyle w:val="FootnoteText"/>
        <w:tabs>
          <w:tab w:val="left" w:pos="0"/>
        </w:tabs>
        <w:spacing w:after="0"/>
        <w:ind w:left="360" w:hanging="360"/>
        <w:rPr>
          <w:rFonts w:ascii="Arial" w:hAnsi="Arial" w:cs="Arial"/>
          <w:sz w:val="18"/>
          <w:szCs w:val="18"/>
          <w:lang w:val="es-ES_tradnl"/>
        </w:rPr>
      </w:pPr>
      <w:r w:rsidRPr="0044588B">
        <w:rPr>
          <w:rStyle w:val="FootnoteReference"/>
          <w:rFonts w:ascii="Arial" w:hAnsi="Arial" w:cs="Arial"/>
          <w:sz w:val="18"/>
          <w:szCs w:val="18"/>
        </w:rPr>
        <w:footnoteRef/>
      </w:r>
      <w:r w:rsidRPr="00503915">
        <w:rPr>
          <w:rFonts w:ascii="Arial" w:hAnsi="Arial" w:cs="Arial"/>
          <w:sz w:val="18"/>
          <w:szCs w:val="18"/>
          <w:lang w:val="es-BO"/>
        </w:rPr>
        <w:t xml:space="preserve"> </w:t>
      </w:r>
      <w:r w:rsidRPr="00503915">
        <w:rPr>
          <w:rFonts w:ascii="Arial" w:hAnsi="Arial" w:cs="Arial"/>
          <w:sz w:val="18"/>
          <w:szCs w:val="18"/>
          <w:lang w:val="es-BO"/>
        </w:rPr>
        <w:tab/>
        <w:t>Los subpréstamos a mediano</w:t>
      </w:r>
      <w:r>
        <w:rPr>
          <w:rFonts w:ascii="Arial" w:hAnsi="Arial" w:cs="Arial"/>
          <w:sz w:val="18"/>
          <w:szCs w:val="18"/>
          <w:lang w:val="es-BO"/>
        </w:rPr>
        <w:t xml:space="preserve"> y largo</w:t>
      </w:r>
      <w:r w:rsidRPr="00503915">
        <w:rPr>
          <w:rFonts w:ascii="Arial" w:hAnsi="Arial" w:cs="Arial"/>
          <w:sz w:val="18"/>
          <w:szCs w:val="18"/>
          <w:lang w:val="es-BO"/>
        </w:rPr>
        <w:t xml:space="preserve"> plazo son aquellos otorgados a 12 meses o más. Los subpréstamos de </w:t>
      </w:r>
      <w:r w:rsidRPr="0083030D">
        <w:rPr>
          <w:rFonts w:ascii="Arial" w:hAnsi="Arial" w:cs="Arial"/>
          <w:sz w:val="18"/>
          <w:szCs w:val="18"/>
          <w:lang w:val="es-419" w:eastAsia="zh-CN"/>
        </w:rPr>
        <w:t>capital de trabajo según la oferta comercial de BANDESAL pueden tener un plazo de hasta 48 meses.</w:t>
      </w:r>
      <w:r w:rsidR="00427922">
        <w:rPr>
          <w:rFonts w:ascii="Arial" w:hAnsi="Arial" w:cs="Arial"/>
          <w:sz w:val="18"/>
          <w:szCs w:val="18"/>
          <w:lang w:val="es-419" w:eastAsia="zh-CN"/>
        </w:rPr>
        <w:t xml:space="preserve"> Los subpréstamos de capital de trabajo podrán financiar gastos generales y de administración (considerados   gastos recurrentes) para el caso de MIPYME afectadas por el COVID-19.</w:t>
      </w:r>
    </w:p>
    <w:p w14:paraId="1F8B2E3C" w14:textId="0CB4DD3E" w:rsidR="00CB0E0F" w:rsidRPr="00427922" w:rsidRDefault="00CB0E0F" w:rsidP="00C94A29">
      <w:pPr>
        <w:pStyle w:val="FootnoteText"/>
        <w:tabs>
          <w:tab w:val="left" w:pos="0"/>
        </w:tabs>
        <w:spacing w:after="0"/>
        <w:ind w:left="360" w:hanging="360"/>
        <w:rPr>
          <w:rFonts w:ascii="Arial" w:hAnsi="Arial" w:cs="Arial"/>
          <w:sz w:val="18"/>
          <w:szCs w:val="18"/>
          <w:lang w:val="es-ES_tradnl"/>
        </w:rPr>
      </w:pPr>
    </w:p>
  </w:footnote>
  <w:footnote w:id="40">
    <w:p w14:paraId="165490A5" w14:textId="33F725DB" w:rsidR="00CB0E0F" w:rsidRPr="00AF2969" w:rsidRDefault="00CB0E0F" w:rsidP="006500F0">
      <w:pPr>
        <w:pStyle w:val="FootnoteText"/>
        <w:tabs>
          <w:tab w:val="left" w:pos="0"/>
          <w:tab w:val="left" w:pos="360"/>
        </w:tabs>
        <w:spacing w:after="0"/>
        <w:ind w:left="360" w:hanging="360"/>
        <w:rPr>
          <w:rFonts w:ascii="Arial" w:hAnsi="Arial" w:cs="Arial"/>
          <w:sz w:val="18"/>
          <w:szCs w:val="18"/>
          <w:lang w:val="es-ES"/>
        </w:rPr>
      </w:pPr>
      <w:r w:rsidRPr="00AF2969">
        <w:rPr>
          <w:rFonts w:ascii="Arial" w:hAnsi="Arial" w:cs="Arial"/>
          <w:sz w:val="18"/>
          <w:szCs w:val="18"/>
          <w:vertAlign w:val="superscript"/>
          <w:lang w:val="pt-BR"/>
        </w:rPr>
        <w:footnoteRef/>
      </w:r>
      <w:r w:rsidRPr="00AF2969">
        <w:rPr>
          <w:rFonts w:ascii="Arial" w:hAnsi="Arial" w:cs="Arial"/>
          <w:sz w:val="18"/>
          <w:szCs w:val="18"/>
          <w:lang w:val="es-ES"/>
        </w:rPr>
        <w:t xml:space="preserve"> </w:t>
      </w:r>
      <w:r>
        <w:rPr>
          <w:rFonts w:ascii="Arial" w:hAnsi="Arial" w:cs="Arial"/>
          <w:sz w:val="18"/>
          <w:szCs w:val="18"/>
          <w:lang w:val="es-ES"/>
        </w:rPr>
        <w:tab/>
      </w:r>
      <w:proofErr w:type="spellStart"/>
      <w:r w:rsidRPr="006500F0">
        <w:rPr>
          <w:rFonts w:ascii="Arial" w:hAnsi="Arial" w:cs="Arial"/>
          <w:sz w:val="18"/>
          <w:szCs w:val="18"/>
          <w:lang w:val="es-NI"/>
        </w:rPr>
        <w:t>Program</w:t>
      </w:r>
      <w:proofErr w:type="spellEnd"/>
      <w:r w:rsidRPr="00AF2969">
        <w:rPr>
          <w:rFonts w:ascii="Arial" w:hAnsi="Arial" w:cs="Arial"/>
          <w:sz w:val="18"/>
          <w:szCs w:val="18"/>
          <w:lang w:val="es-ES"/>
        </w:rPr>
        <w:t xml:space="preserve"> </w:t>
      </w:r>
      <w:proofErr w:type="spellStart"/>
      <w:r w:rsidRPr="00AF2969">
        <w:rPr>
          <w:rFonts w:ascii="Arial" w:hAnsi="Arial" w:cs="Arial"/>
          <w:sz w:val="18"/>
          <w:szCs w:val="18"/>
          <w:lang w:val="es-ES"/>
        </w:rPr>
        <w:t>Monitoring</w:t>
      </w:r>
      <w:proofErr w:type="spellEnd"/>
      <w:r w:rsidRPr="00AF2969">
        <w:rPr>
          <w:rFonts w:ascii="Arial" w:hAnsi="Arial" w:cs="Arial"/>
          <w:sz w:val="18"/>
          <w:szCs w:val="18"/>
          <w:lang w:val="es-ES"/>
        </w:rPr>
        <w:t xml:space="preserve"> </w:t>
      </w:r>
      <w:proofErr w:type="spellStart"/>
      <w:r w:rsidRPr="00AF2969">
        <w:rPr>
          <w:rFonts w:ascii="Arial" w:hAnsi="Arial" w:cs="Arial"/>
          <w:sz w:val="18"/>
          <w:szCs w:val="18"/>
          <w:lang w:val="es-ES"/>
        </w:rPr>
        <w:t>Report</w:t>
      </w:r>
      <w:proofErr w:type="spellEnd"/>
      <w:r w:rsidRPr="00AF2969">
        <w:rPr>
          <w:rFonts w:ascii="Arial" w:hAnsi="Arial" w:cs="Arial"/>
          <w:sz w:val="18"/>
          <w:szCs w:val="18"/>
          <w:lang w:val="es-ES"/>
        </w:rPr>
        <w:t xml:space="preserve"> por sus siglas en inglés.</w:t>
      </w:r>
    </w:p>
  </w:footnote>
  <w:footnote w:id="41">
    <w:p w14:paraId="453DBD91" w14:textId="2789FAA5" w:rsidR="00CB0E0F" w:rsidRPr="00C54C81" w:rsidRDefault="00CB0E0F" w:rsidP="006500F0">
      <w:pPr>
        <w:pStyle w:val="FootnoteText"/>
        <w:tabs>
          <w:tab w:val="left" w:pos="0"/>
          <w:tab w:val="left" w:pos="360"/>
        </w:tabs>
        <w:spacing w:after="0"/>
        <w:ind w:left="360" w:hanging="360"/>
        <w:rPr>
          <w:rFonts w:ascii="Arial" w:hAnsi="Arial"/>
          <w:sz w:val="18"/>
          <w:lang w:val="es-ES_tradnl"/>
        </w:rPr>
      </w:pPr>
      <w:r w:rsidRPr="00AF2969">
        <w:rPr>
          <w:rFonts w:ascii="Arial" w:hAnsi="Arial" w:cs="Arial"/>
          <w:sz w:val="18"/>
          <w:szCs w:val="18"/>
          <w:vertAlign w:val="superscript"/>
          <w:lang w:val="pt-BR"/>
        </w:rPr>
        <w:footnoteRef/>
      </w:r>
      <w:r w:rsidRPr="00C54C81">
        <w:rPr>
          <w:rFonts w:ascii="Arial" w:hAnsi="Arial"/>
          <w:sz w:val="18"/>
          <w:lang w:val="es-ES_tradnl"/>
        </w:rPr>
        <w:t xml:space="preserve"> </w:t>
      </w:r>
      <w:r w:rsidRPr="00C54C81">
        <w:rPr>
          <w:rFonts w:ascii="Arial" w:hAnsi="Arial"/>
          <w:sz w:val="18"/>
          <w:lang w:val="es-ES_tradnl"/>
        </w:rPr>
        <w:tab/>
        <w:t xml:space="preserve">Ver Matriz de Resultados. Anexo II </w:t>
      </w:r>
      <w:r>
        <w:rPr>
          <w:rFonts w:ascii="Arial" w:hAnsi="Arial"/>
          <w:sz w:val="18"/>
          <w:lang w:val="es-ES_tradnl"/>
        </w:rPr>
        <w:t>de la Propuesta de Préstamo</w:t>
      </w:r>
      <w:r w:rsidRPr="00C54C81">
        <w:rPr>
          <w:rFonts w:ascii="Arial" w:hAnsi="Arial"/>
          <w:sz w:val="18"/>
          <w:lang w:val="es-ES_tradnl"/>
        </w:rPr>
        <w:t>.</w:t>
      </w:r>
    </w:p>
  </w:footnote>
  <w:footnote w:id="42">
    <w:p w14:paraId="5A41F93D" w14:textId="736148A1" w:rsidR="00CB0E0F" w:rsidRPr="00FB3AEB" w:rsidRDefault="00CB0E0F" w:rsidP="00B1510A">
      <w:pPr>
        <w:pStyle w:val="FootnoteText"/>
        <w:rPr>
          <w:rFonts w:ascii="Arial" w:hAnsi="Arial" w:cs="Arial"/>
          <w:sz w:val="18"/>
          <w:szCs w:val="18"/>
          <w:lang w:val="es-ES"/>
        </w:rPr>
      </w:pPr>
      <w:r w:rsidRPr="002A651C">
        <w:rPr>
          <w:rStyle w:val="FootnoteReference"/>
          <w:rFonts w:ascii="Arial" w:hAnsi="Arial" w:cs="Arial"/>
          <w:sz w:val="18"/>
          <w:szCs w:val="18"/>
        </w:rPr>
        <w:footnoteRef/>
      </w:r>
      <w:r w:rsidRPr="00FB3AEB">
        <w:rPr>
          <w:rFonts w:ascii="Arial" w:hAnsi="Arial" w:cs="Arial"/>
          <w:sz w:val="18"/>
          <w:szCs w:val="18"/>
          <w:lang w:val="es-ES"/>
        </w:rPr>
        <w:t xml:space="preserve"> El detalle de la consultoría c</w:t>
      </w:r>
      <w:r>
        <w:rPr>
          <w:rFonts w:ascii="Arial" w:hAnsi="Arial" w:cs="Arial"/>
          <w:sz w:val="18"/>
          <w:szCs w:val="18"/>
          <w:lang w:val="es-ES"/>
        </w:rPr>
        <w:t>ontratada bajo la RG-T3530 puede consultarse en el Anexo I del presente documento.</w:t>
      </w:r>
    </w:p>
  </w:footnote>
  <w:footnote w:id="43">
    <w:p w14:paraId="6C9E4348" w14:textId="77777777" w:rsidR="00CB0E0F" w:rsidRPr="003D1AD6" w:rsidRDefault="00CB0E0F" w:rsidP="0055000E">
      <w:pPr>
        <w:pStyle w:val="FootnoteText"/>
        <w:spacing w:after="60"/>
        <w:ind w:left="360" w:hanging="360"/>
        <w:rPr>
          <w:rFonts w:ascii="Arial" w:hAnsi="Arial" w:cs="Arial"/>
          <w:sz w:val="18"/>
          <w:szCs w:val="18"/>
          <w:lang w:val="es-ES"/>
        </w:rPr>
      </w:pPr>
      <w:r w:rsidRPr="00674258">
        <w:rPr>
          <w:rStyle w:val="FootnoteReference"/>
          <w:rFonts w:ascii="Arial" w:hAnsi="Arial" w:cs="Arial"/>
          <w:sz w:val="18"/>
          <w:szCs w:val="18"/>
        </w:rPr>
        <w:footnoteRef/>
      </w:r>
      <w:r w:rsidRPr="006B462A">
        <w:rPr>
          <w:rStyle w:val="FootnoteReference"/>
          <w:rFonts w:ascii="Arial" w:hAnsi="Arial"/>
          <w:sz w:val="18"/>
        </w:rPr>
        <w:t xml:space="preserve"> </w:t>
      </w:r>
      <w:r w:rsidRPr="006B462A">
        <w:rPr>
          <w:rFonts w:ascii="Arial" w:hAnsi="Arial"/>
          <w:sz w:val="18"/>
        </w:rPr>
        <w:tab/>
        <w:t>Ver “</w:t>
      </w:r>
      <w:r w:rsidRPr="005F1916">
        <w:rPr>
          <w:rFonts w:ascii="Arial" w:hAnsi="Arial"/>
          <w:i/>
          <w:sz w:val="18"/>
        </w:rPr>
        <w:t>Second - tier Government Banks and Firm Performance</w:t>
      </w:r>
      <w:r w:rsidRPr="005F1916">
        <w:rPr>
          <w:rFonts w:ascii="Arial" w:hAnsi="Arial"/>
          <w:sz w:val="18"/>
        </w:rPr>
        <w:t xml:space="preserve">.” </w:t>
      </w:r>
      <w:r w:rsidRPr="003D1AD6">
        <w:rPr>
          <w:rFonts w:ascii="Arial" w:hAnsi="Arial" w:cs="Arial"/>
          <w:sz w:val="18"/>
          <w:szCs w:val="18"/>
        </w:rPr>
        <w:t xml:space="preserve">IDB Working Paper Series No. </w:t>
      </w:r>
      <w:r w:rsidRPr="00447395">
        <w:rPr>
          <w:rFonts w:ascii="Arial" w:hAnsi="Arial" w:cs="Arial"/>
          <w:sz w:val="18"/>
          <w:szCs w:val="18"/>
          <w:lang w:val="es-ES"/>
        </w:rPr>
        <w:t>IDB - WP - 294.</w:t>
      </w:r>
    </w:p>
  </w:footnote>
  <w:footnote w:id="44">
    <w:p w14:paraId="0E8818AC" w14:textId="77777777" w:rsidR="00CB0E0F" w:rsidRPr="0055000E" w:rsidRDefault="00CB0E0F" w:rsidP="0055000E">
      <w:pPr>
        <w:pStyle w:val="FootnoteText"/>
        <w:spacing w:after="60"/>
        <w:ind w:left="360" w:hanging="360"/>
        <w:rPr>
          <w:rFonts w:ascii="Arial" w:hAnsi="Arial" w:cs="Arial"/>
          <w:sz w:val="18"/>
          <w:szCs w:val="18"/>
          <w:lang w:val="es-ES"/>
        </w:rPr>
      </w:pPr>
      <w:r w:rsidRPr="00D14E04">
        <w:rPr>
          <w:rStyle w:val="FootnoteReference"/>
          <w:rFonts w:ascii="Arial" w:hAnsi="Arial" w:cs="Arial"/>
          <w:sz w:val="18"/>
          <w:szCs w:val="18"/>
        </w:rPr>
        <w:footnoteRef/>
      </w:r>
      <w:r w:rsidRPr="00A11FC0">
        <w:rPr>
          <w:rFonts w:ascii="Arial" w:hAnsi="Arial" w:cs="Arial"/>
          <w:sz w:val="18"/>
          <w:szCs w:val="18"/>
          <w:lang w:val="es-ES"/>
        </w:rPr>
        <w:t xml:space="preserve"> </w:t>
      </w:r>
      <w:r w:rsidRPr="00A11FC0">
        <w:rPr>
          <w:rFonts w:ascii="Arial" w:hAnsi="Arial" w:cs="Arial"/>
          <w:sz w:val="18"/>
          <w:szCs w:val="18"/>
          <w:lang w:val="es-ES"/>
        </w:rPr>
        <w:tab/>
      </w:r>
      <w:r w:rsidRPr="0055000E">
        <w:rPr>
          <w:rFonts w:ascii="Arial" w:hAnsi="Arial" w:cs="Arial"/>
          <w:sz w:val="18"/>
          <w:szCs w:val="18"/>
          <w:lang w:val="es-ES"/>
        </w:rPr>
        <w:t>El Banco también ha generado conocimiento en el tema. Entre las publicaciones más relevantes, cabe mencionar: Desencadenar el Crédito (BID, 2005); La era de la productividad (BID, 2010) y Políticas e Instituciones para el Desarrollo Productivo (BID, 2014a) de la serie Desarrollo en las Américas; Bancos Públicos de Desarrollo: ¿hacia un nuevo paradigma? (BID-CMF, 2013); El rol de los Bancos Nacionales de Desarrollo en catalizar el financiamiento climático internacional (</w:t>
      </w:r>
      <w:proofErr w:type="spellStart"/>
      <w:r w:rsidRPr="0055000E">
        <w:rPr>
          <w:rFonts w:ascii="Arial" w:hAnsi="Arial" w:cs="Arial"/>
          <w:sz w:val="18"/>
          <w:szCs w:val="18"/>
          <w:lang w:val="es-ES"/>
        </w:rPr>
        <w:t>Smallridge</w:t>
      </w:r>
      <w:proofErr w:type="spellEnd"/>
      <w:r w:rsidRPr="0055000E">
        <w:rPr>
          <w:rFonts w:ascii="Arial" w:hAnsi="Arial" w:cs="Arial"/>
          <w:sz w:val="18"/>
          <w:szCs w:val="18"/>
          <w:lang w:val="es-ES"/>
        </w:rPr>
        <w:t xml:space="preserve"> y otros, 2013); Gestión Integral de Riesgos para Cadenas de Valor (Calatayud y Ketterer, 2016); y evaluaciones de impacto de programas del Sector en Argentina (Bueso-Merriam y otros, 2016), Chile (Bonilla y </w:t>
      </w:r>
      <w:proofErr w:type="spellStart"/>
      <w:r w:rsidRPr="0055000E">
        <w:rPr>
          <w:rFonts w:ascii="Arial" w:hAnsi="Arial" w:cs="Arial"/>
          <w:sz w:val="18"/>
          <w:szCs w:val="18"/>
          <w:lang w:val="es-ES"/>
        </w:rPr>
        <w:t>Cancino</w:t>
      </w:r>
      <w:proofErr w:type="spellEnd"/>
      <w:r w:rsidRPr="0055000E">
        <w:rPr>
          <w:rFonts w:ascii="Arial" w:hAnsi="Arial" w:cs="Arial"/>
          <w:sz w:val="18"/>
          <w:szCs w:val="18"/>
          <w:lang w:val="es-ES"/>
        </w:rPr>
        <w:t>, 2001), Colombia (Eslava y otros, 2012), Costa Rica (Torres y otros, 2003) y México (Calderón y otros, 2013).</w:t>
      </w:r>
    </w:p>
  </w:footnote>
  <w:footnote w:id="45">
    <w:p w14:paraId="6C8D502B" w14:textId="5B8E29AA" w:rsidR="00CB0E0F" w:rsidRPr="0055000E" w:rsidRDefault="00CB0E0F" w:rsidP="0055000E">
      <w:pPr>
        <w:pStyle w:val="FootnoteText"/>
        <w:spacing w:after="60"/>
        <w:ind w:left="360" w:hanging="360"/>
        <w:rPr>
          <w:rFonts w:ascii="Arial" w:hAnsi="Arial" w:cs="Arial"/>
          <w:sz w:val="18"/>
          <w:szCs w:val="18"/>
          <w:lang w:val="es-ES"/>
        </w:rPr>
      </w:pPr>
      <w:r w:rsidRPr="0055000E">
        <w:rPr>
          <w:rStyle w:val="FootnoteReference"/>
          <w:rFonts w:ascii="Arial" w:hAnsi="Arial" w:cs="Arial"/>
          <w:sz w:val="18"/>
          <w:szCs w:val="18"/>
        </w:rPr>
        <w:footnoteRef/>
      </w:r>
      <w:r w:rsidRPr="0055000E">
        <w:rPr>
          <w:rFonts w:ascii="Arial" w:hAnsi="Arial" w:cs="Arial"/>
          <w:sz w:val="18"/>
          <w:szCs w:val="18"/>
          <w:lang w:val="es-ES"/>
        </w:rPr>
        <w:t xml:space="preserve"> </w:t>
      </w:r>
      <w:r w:rsidRPr="0055000E">
        <w:rPr>
          <w:rFonts w:ascii="Arial" w:hAnsi="Arial" w:cs="Arial"/>
          <w:sz w:val="18"/>
          <w:szCs w:val="18"/>
          <w:lang w:val="es-ES"/>
        </w:rPr>
        <w:tab/>
        <w:t>Un conjunto más extenso y detallado de lecciones aprendidas extraídas de la experiencia del Banco en el sector, así como la extraída de la experiencia de otros multilaterales, la investigación académica, y otros actores relevantes en la confección de políticas públicas de apoyo a las MIPYME, se recogen en la sección IV del Documento de Marco Sectorial de Respaldo para PYME y Acceso y Supervisión Financieros (GN</w:t>
      </w:r>
      <w:r>
        <w:rPr>
          <w:rFonts w:ascii="Arial" w:hAnsi="Arial" w:cs="Arial"/>
          <w:sz w:val="18"/>
          <w:szCs w:val="18"/>
          <w:lang w:val="es-ES"/>
        </w:rPr>
        <w:noBreakHyphen/>
      </w:r>
      <w:r w:rsidRPr="0055000E">
        <w:rPr>
          <w:rFonts w:ascii="Arial" w:hAnsi="Arial" w:cs="Arial"/>
          <w:sz w:val="18"/>
          <w:szCs w:val="18"/>
          <w:lang w:val="es-ES"/>
        </w:rPr>
        <w:t>2768˗7).</w:t>
      </w:r>
    </w:p>
  </w:footnote>
  <w:footnote w:id="46">
    <w:p w14:paraId="04496D72" w14:textId="77777777" w:rsidR="00CB0E0F" w:rsidRPr="0055000E" w:rsidRDefault="00CB0E0F" w:rsidP="0055000E">
      <w:pPr>
        <w:pStyle w:val="FootnoteText"/>
        <w:spacing w:after="60"/>
        <w:ind w:left="360" w:hanging="360"/>
        <w:rPr>
          <w:rFonts w:ascii="Arial" w:hAnsi="Arial" w:cs="Arial"/>
          <w:sz w:val="18"/>
          <w:szCs w:val="18"/>
          <w:lang w:val="es-ES"/>
        </w:rPr>
      </w:pPr>
      <w:r w:rsidRPr="0055000E">
        <w:rPr>
          <w:rStyle w:val="FootnoteReference"/>
          <w:rFonts w:ascii="Arial" w:hAnsi="Arial" w:cs="Arial"/>
          <w:sz w:val="18"/>
          <w:szCs w:val="18"/>
        </w:rPr>
        <w:footnoteRef/>
      </w:r>
      <w:r w:rsidRPr="0055000E">
        <w:rPr>
          <w:rFonts w:ascii="Arial" w:hAnsi="Arial" w:cs="Arial"/>
          <w:sz w:val="18"/>
          <w:szCs w:val="18"/>
          <w:lang w:val="es-ES"/>
        </w:rPr>
        <w:t xml:space="preserve"> </w:t>
      </w:r>
      <w:r w:rsidRPr="0055000E">
        <w:rPr>
          <w:rFonts w:ascii="Arial" w:hAnsi="Arial" w:cs="Arial"/>
          <w:sz w:val="18"/>
          <w:szCs w:val="18"/>
          <w:lang w:val="es-ES"/>
        </w:rPr>
        <w:tab/>
        <w:t>Se esperaba llegar a 1.017 MIPYME y proveer créditos a 4 años plazo.</w:t>
      </w:r>
    </w:p>
  </w:footnote>
  <w:footnote w:id="47">
    <w:p w14:paraId="7D717EC9" w14:textId="77777777" w:rsidR="00CB0E0F" w:rsidRPr="0055000E" w:rsidRDefault="00CB0E0F" w:rsidP="00966075">
      <w:pPr>
        <w:pStyle w:val="FootnoteText"/>
        <w:spacing w:after="60"/>
        <w:ind w:left="360" w:hanging="360"/>
        <w:rPr>
          <w:rFonts w:ascii="Arial" w:hAnsi="Arial" w:cs="Arial"/>
          <w:sz w:val="18"/>
          <w:szCs w:val="18"/>
          <w:lang w:val="es-ES"/>
        </w:rPr>
      </w:pPr>
      <w:r w:rsidRPr="0055000E">
        <w:rPr>
          <w:rStyle w:val="FootnoteReference"/>
          <w:rFonts w:ascii="Arial" w:hAnsi="Arial" w:cs="Arial"/>
          <w:sz w:val="18"/>
          <w:szCs w:val="18"/>
        </w:rPr>
        <w:footnoteRef/>
      </w:r>
      <w:r w:rsidRPr="0055000E">
        <w:rPr>
          <w:rFonts w:ascii="Arial" w:hAnsi="Arial" w:cs="Arial"/>
          <w:sz w:val="18"/>
          <w:szCs w:val="18"/>
          <w:lang w:val="es-ES"/>
        </w:rPr>
        <w:t xml:space="preserve"> </w:t>
      </w:r>
      <w:r w:rsidRPr="0055000E">
        <w:rPr>
          <w:rFonts w:ascii="Arial" w:hAnsi="Arial" w:cs="Arial"/>
          <w:sz w:val="18"/>
          <w:szCs w:val="18"/>
          <w:lang w:val="es-ES"/>
        </w:rPr>
        <w:tab/>
        <w:t xml:space="preserve">Históricamente, el porcentaje de aprobaciones de financiamiento de capital de trabajo oscila entre el 51% y 71%. </w:t>
      </w:r>
    </w:p>
  </w:footnote>
  <w:footnote w:id="48">
    <w:p w14:paraId="59A24F41" w14:textId="4F770438" w:rsidR="00CB0E0F" w:rsidRPr="00181084" w:rsidRDefault="00CB0E0F" w:rsidP="00966075">
      <w:pPr>
        <w:pStyle w:val="FootnoteText"/>
        <w:spacing w:after="60"/>
        <w:ind w:left="360" w:hanging="360"/>
        <w:rPr>
          <w:rFonts w:ascii="Arial" w:hAnsi="Arial" w:cs="Arial"/>
          <w:sz w:val="16"/>
          <w:szCs w:val="16"/>
        </w:rPr>
      </w:pPr>
      <w:r w:rsidRPr="0055000E">
        <w:rPr>
          <w:rStyle w:val="FootnoteReference"/>
          <w:rFonts w:ascii="Arial" w:hAnsi="Arial" w:cs="Arial"/>
          <w:sz w:val="18"/>
          <w:szCs w:val="18"/>
        </w:rPr>
        <w:footnoteRef/>
      </w:r>
      <w:r w:rsidRPr="0064785D">
        <w:rPr>
          <w:rFonts w:ascii="Arial" w:hAnsi="Arial" w:cs="Arial"/>
          <w:sz w:val="18"/>
          <w:szCs w:val="18"/>
        </w:rPr>
        <w:t xml:space="preserve"> </w:t>
      </w:r>
      <w:r w:rsidRPr="0064785D">
        <w:rPr>
          <w:rFonts w:ascii="Arial" w:hAnsi="Arial" w:cs="Arial"/>
          <w:sz w:val="18"/>
          <w:szCs w:val="18"/>
        </w:rPr>
        <w:tab/>
        <w:t xml:space="preserve">Aparicio, G., et. al (2020). </w:t>
      </w:r>
      <w:r w:rsidRPr="0055000E">
        <w:rPr>
          <w:rFonts w:ascii="Arial" w:hAnsi="Arial" w:cs="Arial"/>
          <w:i/>
          <w:iCs/>
          <w:sz w:val="18"/>
          <w:szCs w:val="18"/>
        </w:rPr>
        <w:t>Measuring the Effects of Productive Credit through Public Development Banks in Rural Mexico.</w:t>
      </w:r>
      <w:r w:rsidRPr="004F648B">
        <w:rPr>
          <w:rFonts w:ascii="Arial" w:hAnsi="Arial" w:cs="Arial"/>
          <w:i/>
          <w:iCs/>
          <w:sz w:val="16"/>
          <w:szCs w:val="16"/>
        </w:rPr>
        <w:t xml:space="preserve"> </w:t>
      </w:r>
    </w:p>
  </w:footnote>
  <w:footnote w:id="49">
    <w:p w14:paraId="05018A33" w14:textId="766B2627" w:rsidR="00CB0E0F" w:rsidRPr="00CB2487" w:rsidRDefault="00CB0E0F" w:rsidP="006A6616">
      <w:pPr>
        <w:pStyle w:val="FootnoteText"/>
        <w:spacing w:after="60"/>
        <w:ind w:left="360" w:hanging="360"/>
        <w:rPr>
          <w:rFonts w:ascii="Arial" w:hAnsi="Arial" w:cs="Arial"/>
          <w:sz w:val="18"/>
          <w:szCs w:val="18"/>
          <w:lang w:val="es-419"/>
        </w:rPr>
      </w:pPr>
      <w:r w:rsidRPr="00893D6A">
        <w:rPr>
          <w:rStyle w:val="FootnoteReference"/>
          <w:rFonts w:ascii="Arial" w:hAnsi="Arial" w:cs="Arial"/>
          <w:sz w:val="18"/>
          <w:szCs w:val="18"/>
          <w:lang w:val="es-419"/>
        </w:rPr>
        <w:footnoteRef/>
      </w:r>
      <w:r w:rsidRPr="00893D6A">
        <w:rPr>
          <w:sz w:val="18"/>
          <w:szCs w:val="18"/>
          <w:lang w:val="es-419"/>
        </w:rPr>
        <w:t xml:space="preserve"> </w:t>
      </w:r>
      <w:r w:rsidRPr="00893D6A">
        <w:rPr>
          <w:rStyle w:val="FootnoteReference"/>
          <w:sz w:val="18"/>
          <w:szCs w:val="18"/>
          <w:lang w:val="es-419"/>
        </w:rPr>
        <w:t xml:space="preserve"> </w:t>
      </w:r>
      <w:r>
        <w:rPr>
          <w:sz w:val="18"/>
          <w:szCs w:val="18"/>
          <w:lang w:val="es-419"/>
        </w:rPr>
        <w:tab/>
      </w:r>
      <w:r w:rsidRPr="00CB2487">
        <w:rPr>
          <w:rStyle w:val="FootnoteReference"/>
          <w:rFonts w:ascii="Arial" w:hAnsi="Arial" w:cs="Arial"/>
          <w:sz w:val="18"/>
          <w:szCs w:val="18"/>
          <w:vertAlign w:val="baseline"/>
          <w:lang w:val="es-419"/>
        </w:rPr>
        <w:t xml:space="preserve">Para la preparación de esta operación se mantuvieron reuniones para lograr un acuerdo de colaboración con la Sociedad de Ahorro y Crédito Apoyo Integral, primera sociedad de </w:t>
      </w:r>
      <w:r w:rsidRPr="00CB2487">
        <w:rPr>
          <w:rFonts w:ascii="Arial" w:hAnsi="Arial" w:cs="Arial"/>
          <w:sz w:val="18"/>
          <w:szCs w:val="18"/>
          <w:lang w:val="es-419"/>
        </w:rPr>
        <w:t>a</w:t>
      </w:r>
      <w:r w:rsidRPr="00CB2487">
        <w:rPr>
          <w:rStyle w:val="FootnoteReference"/>
          <w:rFonts w:ascii="Arial" w:hAnsi="Arial" w:cs="Arial"/>
          <w:sz w:val="18"/>
          <w:szCs w:val="18"/>
          <w:vertAlign w:val="baseline"/>
          <w:lang w:val="es-419"/>
        </w:rPr>
        <w:t xml:space="preserve">horro y </w:t>
      </w:r>
      <w:r w:rsidRPr="00CB2487">
        <w:rPr>
          <w:rFonts w:ascii="Arial" w:hAnsi="Arial" w:cs="Arial"/>
          <w:sz w:val="18"/>
          <w:szCs w:val="18"/>
          <w:lang w:val="es-419"/>
        </w:rPr>
        <w:t>c</w:t>
      </w:r>
      <w:r w:rsidRPr="00CB2487">
        <w:rPr>
          <w:rStyle w:val="FootnoteReference"/>
          <w:rFonts w:ascii="Arial" w:hAnsi="Arial" w:cs="Arial"/>
          <w:sz w:val="18"/>
          <w:szCs w:val="18"/>
          <w:vertAlign w:val="baseline"/>
          <w:lang w:val="es-419"/>
        </w:rPr>
        <w:t>rédito autorizada por la Superintendencia del Sistema Financiero, líder en microfinanzas de El Salvador. Esta institución</w:t>
      </w:r>
      <w:r>
        <w:rPr>
          <w:rStyle w:val="FootnoteReference"/>
          <w:rFonts w:ascii="Arial" w:hAnsi="Arial" w:cs="Arial"/>
          <w:sz w:val="18"/>
          <w:szCs w:val="18"/>
          <w:vertAlign w:val="baseline"/>
          <w:lang w:val="es-419"/>
        </w:rPr>
        <w:t xml:space="preserve">, destacada dentro de la cartera de BANDESAL, realiza un seguimiento de sus clientes que podrá servir como </w:t>
      </w:r>
      <w:r>
        <w:rPr>
          <w:rFonts w:ascii="Arial" w:hAnsi="Arial" w:cs="Arial"/>
          <w:sz w:val="18"/>
          <w:szCs w:val="18"/>
          <w:lang w:val="es-419"/>
        </w:rPr>
        <w:t>muestra y fuente</w:t>
      </w:r>
      <w:r>
        <w:rPr>
          <w:rStyle w:val="FootnoteReference"/>
          <w:rFonts w:ascii="Arial" w:hAnsi="Arial" w:cs="Arial"/>
          <w:sz w:val="18"/>
          <w:szCs w:val="18"/>
          <w:vertAlign w:val="baseline"/>
          <w:lang w:val="es-419"/>
        </w:rPr>
        <w:t xml:space="preserve"> de información fundamental tanto de la supervivencia de las MIPYME apoyadas</w:t>
      </w:r>
      <w:r w:rsidRPr="00CB2487">
        <w:rPr>
          <w:rStyle w:val="FootnoteReference"/>
          <w:rFonts w:ascii="Arial" w:hAnsi="Arial" w:cs="Arial"/>
          <w:sz w:val="18"/>
          <w:szCs w:val="18"/>
          <w:vertAlign w:val="baseline"/>
          <w:lang w:val="es-419"/>
        </w:rPr>
        <w:t xml:space="preserve"> </w:t>
      </w:r>
      <w:r>
        <w:rPr>
          <w:rStyle w:val="FootnoteReference"/>
          <w:rFonts w:ascii="Arial" w:hAnsi="Arial" w:cs="Arial"/>
          <w:sz w:val="18"/>
          <w:szCs w:val="18"/>
          <w:vertAlign w:val="baseline"/>
          <w:lang w:val="es-419"/>
        </w:rPr>
        <w:t>con el programa, como de sus niveles de empleo e ingresos por ventas y otra información socioeconómica hasta la fecha no accesible para el Banco.</w:t>
      </w:r>
      <w:r w:rsidRPr="00CB2487">
        <w:rPr>
          <w:rFonts w:ascii="Arial" w:hAnsi="Arial" w:cs="Arial"/>
          <w:sz w:val="18"/>
          <w:szCs w:val="18"/>
          <w:lang w:val="es-419"/>
        </w:rPr>
        <w:t xml:space="preserve"> </w:t>
      </w:r>
    </w:p>
  </w:footnote>
  <w:footnote w:id="50">
    <w:p w14:paraId="60EE6312" w14:textId="6AFCACFD" w:rsidR="00CB0E0F" w:rsidRPr="00CB2487" w:rsidRDefault="00CB0E0F" w:rsidP="00385832">
      <w:pPr>
        <w:pStyle w:val="FootnoteText"/>
        <w:spacing w:after="60"/>
        <w:ind w:left="360" w:hanging="360"/>
        <w:rPr>
          <w:rFonts w:ascii="Arial" w:hAnsi="Arial" w:cs="Arial"/>
          <w:sz w:val="18"/>
          <w:szCs w:val="18"/>
          <w:lang w:val="es-419"/>
        </w:rPr>
      </w:pPr>
      <w:r w:rsidRPr="00893D6A">
        <w:rPr>
          <w:rStyle w:val="FootnoteReference"/>
          <w:rFonts w:ascii="Arial" w:hAnsi="Arial" w:cs="Arial"/>
          <w:sz w:val="18"/>
          <w:szCs w:val="18"/>
        </w:rPr>
        <w:footnoteRef/>
      </w:r>
      <w:r w:rsidRPr="00893D6A">
        <w:rPr>
          <w:lang w:val="es-ES"/>
        </w:rPr>
        <w:t xml:space="preserve"> </w:t>
      </w:r>
      <w:r>
        <w:rPr>
          <w:lang w:val="es-ES"/>
        </w:rPr>
        <w:tab/>
      </w:r>
      <w:r>
        <w:rPr>
          <w:rStyle w:val="FootnoteReference"/>
          <w:rFonts w:ascii="Arial" w:hAnsi="Arial" w:cs="Arial"/>
          <w:sz w:val="18"/>
          <w:szCs w:val="18"/>
          <w:vertAlign w:val="baseline"/>
          <w:lang w:val="es-419"/>
        </w:rPr>
        <w:t>En línea con la anterior nota al pie, se destaca la voluntad de cooperación d</w:t>
      </w:r>
      <w:r>
        <w:rPr>
          <w:rFonts w:ascii="Arial" w:hAnsi="Arial" w:cs="Arial"/>
          <w:sz w:val="18"/>
          <w:szCs w:val="18"/>
          <w:lang w:val="es-419"/>
        </w:rPr>
        <w:t xml:space="preserve">e </w:t>
      </w:r>
      <w:r w:rsidRPr="00CB2487">
        <w:rPr>
          <w:rStyle w:val="FootnoteReference"/>
          <w:rFonts w:ascii="Arial" w:hAnsi="Arial" w:cs="Arial"/>
          <w:sz w:val="18"/>
          <w:szCs w:val="18"/>
          <w:vertAlign w:val="baseline"/>
          <w:lang w:val="es-419"/>
        </w:rPr>
        <w:t xml:space="preserve">la Sociedad de Ahorro y Crédito Apoyo Integral, primera sociedad de </w:t>
      </w:r>
      <w:r w:rsidRPr="00CB2487">
        <w:rPr>
          <w:rFonts w:ascii="Arial" w:hAnsi="Arial" w:cs="Arial"/>
          <w:sz w:val="18"/>
          <w:szCs w:val="18"/>
          <w:lang w:val="es-419"/>
        </w:rPr>
        <w:t>a</w:t>
      </w:r>
      <w:r w:rsidRPr="00CB2487">
        <w:rPr>
          <w:rStyle w:val="FootnoteReference"/>
          <w:rFonts w:ascii="Arial" w:hAnsi="Arial" w:cs="Arial"/>
          <w:sz w:val="18"/>
          <w:szCs w:val="18"/>
          <w:vertAlign w:val="baseline"/>
          <w:lang w:val="es-419"/>
        </w:rPr>
        <w:t xml:space="preserve">horro y </w:t>
      </w:r>
      <w:r w:rsidRPr="00CB2487">
        <w:rPr>
          <w:rFonts w:ascii="Arial" w:hAnsi="Arial" w:cs="Arial"/>
          <w:sz w:val="18"/>
          <w:szCs w:val="18"/>
          <w:lang w:val="es-419"/>
        </w:rPr>
        <w:t>c</w:t>
      </w:r>
      <w:r w:rsidRPr="00CB2487">
        <w:rPr>
          <w:rStyle w:val="FootnoteReference"/>
          <w:rFonts w:ascii="Arial" w:hAnsi="Arial" w:cs="Arial"/>
          <w:sz w:val="18"/>
          <w:szCs w:val="18"/>
          <w:vertAlign w:val="baseline"/>
          <w:lang w:val="es-419"/>
        </w:rPr>
        <w:t>rédito autorizada por la Superintendencia del Sistema Financiero, líder en microfinanzas de El Salvador. Esta institución</w:t>
      </w:r>
      <w:r>
        <w:rPr>
          <w:rStyle w:val="FootnoteReference"/>
          <w:rFonts w:ascii="Arial" w:hAnsi="Arial" w:cs="Arial"/>
          <w:sz w:val="18"/>
          <w:szCs w:val="18"/>
          <w:vertAlign w:val="baseline"/>
          <w:lang w:val="es-419"/>
        </w:rPr>
        <w:t xml:space="preserve">, destacada dentro de la cartera de BANDESAL, realiza un seguimiento de sus clientes que podrá servir como </w:t>
      </w:r>
      <w:r>
        <w:rPr>
          <w:rFonts w:ascii="Arial" w:hAnsi="Arial" w:cs="Arial"/>
          <w:sz w:val="18"/>
          <w:szCs w:val="18"/>
          <w:lang w:val="es-419"/>
        </w:rPr>
        <w:t>muestra y fuente</w:t>
      </w:r>
      <w:r>
        <w:rPr>
          <w:rStyle w:val="FootnoteReference"/>
          <w:rFonts w:ascii="Arial" w:hAnsi="Arial" w:cs="Arial"/>
          <w:sz w:val="18"/>
          <w:szCs w:val="18"/>
          <w:vertAlign w:val="baseline"/>
          <w:lang w:val="es-419"/>
        </w:rPr>
        <w:t xml:space="preserve"> de información fundamental tanto de la supervivencia de las MIPYME apoyadas</w:t>
      </w:r>
      <w:r w:rsidRPr="00CB2487">
        <w:rPr>
          <w:rStyle w:val="FootnoteReference"/>
          <w:rFonts w:ascii="Arial" w:hAnsi="Arial" w:cs="Arial"/>
          <w:sz w:val="18"/>
          <w:szCs w:val="18"/>
          <w:vertAlign w:val="baseline"/>
          <w:lang w:val="es-419"/>
        </w:rPr>
        <w:t xml:space="preserve"> </w:t>
      </w:r>
      <w:r>
        <w:rPr>
          <w:rStyle w:val="FootnoteReference"/>
          <w:rFonts w:ascii="Arial" w:hAnsi="Arial" w:cs="Arial"/>
          <w:sz w:val="18"/>
          <w:szCs w:val="18"/>
          <w:vertAlign w:val="baseline"/>
          <w:lang w:val="es-419"/>
        </w:rPr>
        <w:t>con el programa, como de sus niveles de empleo e ingresos por ventas y otra información socioeconómica hasta la fecha no accesible para el Banco.</w:t>
      </w:r>
      <w:r w:rsidRPr="00CB2487">
        <w:rPr>
          <w:rFonts w:ascii="Arial" w:hAnsi="Arial" w:cs="Arial"/>
          <w:sz w:val="18"/>
          <w:szCs w:val="18"/>
          <w:lang w:val="es-419"/>
        </w:rPr>
        <w:t xml:space="preserve"> </w:t>
      </w:r>
    </w:p>
    <w:p w14:paraId="5EA847F2" w14:textId="345B967C" w:rsidR="00CB0E0F" w:rsidRPr="00893D6A" w:rsidRDefault="00CB0E0F">
      <w:pPr>
        <w:pStyle w:val="FootnoteText"/>
        <w:rPr>
          <w:lang w:val="es-419"/>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F4A560" w14:textId="77777777" w:rsidR="00CB0E0F" w:rsidRDefault="00CB0E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B572B"/>
    <w:multiLevelType w:val="multilevel"/>
    <w:tmpl w:val="FDA66554"/>
    <w:lvl w:ilvl="0">
      <w:start w:val="1"/>
      <w:numFmt w:val="none"/>
      <w:lvlRestart w:val="0"/>
      <w:pStyle w:val="FirstHeading"/>
      <w:suff w:val="nothing"/>
      <w:lvlText w:val=""/>
      <w:lvlJc w:val="left"/>
      <w:pPr>
        <w:ind w:left="4824" w:hanging="720"/>
      </w:pPr>
      <w:rPr>
        <w:rFonts w:hint="default"/>
      </w:rPr>
    </w:lvl>
    <w:lvl w:ilvl="1">
      <w:start w:val="1"/>
      <w:numFmt w:val="decimal"/>
      <w:pStyle w:val="SecHeading"/>
      <w:lvlText w:val="%2."/>
      <w:lvlJc w:val="left"/>
      <w:pPr>
        <w:tabs>
          <w:tab w:val="num" w:pos="5400"/>
        </w:tabs>
        <w:ind w:left="5400" w:hanging="576"/>
      </w:pPr>
      <w:rPr>
        <w:rFonts w:ascii="Arial" w:hAnsi="Arial" w:cs="Arial" w:hint="default"/>
        <w:b/>
        <w:sz w:val="22"/>
        <w:szCs w:val="22"/>
      </w:rPr>
    </w:lvl>
    <w:lvl w:ilvl="2">
      <w:start w:val="1"/>
      <w:numFmt w:val="lowerLetter"/>
      <w:pStyle w:val="SubHeading1"/>
      <w:lvlText w:val="%3)"/>
      <w:lvlJc w:val="left"/>
      <w:pPr>
        <w:tabs>
          <w:tab w:val="num" w:pos="5976"/>
        </w:tabs>
        <w:ind w:left="5976" w:hanging="576"/>
      </w:pPr>
      <w:rPr>
        <w:rFonts w:hint="default"/>
        <w:b/>
      </w:rPr>
    </w:lvl>
    <w:lvl w:ilvl="3">
      <w:start w:val="1"/>
      <w:numFmt w:val="lowerRoman"/>
      <w:pStyle w:val="Subheading2"/>
      <w:lvlText w:val="(%4)"/>
      <w:lvlJc w:val="right"/>
      <w:pPr>
        <w:tabs>
          <w:tab w:val="num" w:pos="6480"/>
        </w:tabs>
        <w:ind w:left="6480" w:hanging="288"/>
      </w:pPr>
      <w:rPr>
        <w:rFonts w:hint="default"/>
        <w:b/>
      </w:rPr>
    </w:lvl>
    <w:lvl w:ilvl="4">
      <w:start w:val="1"/>
      <w:numFmt w:val="decimal"/>
      <w:pStyle w:val="Heading5"/>
      <w:lvlText w:val="%5)"/>
      <w:lvlJc w:val="left"/>
      <w:pPr>
        <w:ind w:left="5112" w:hanging="432"/>
      </w:pPr>
      <w:rPr>
        <w:rFonts w:hint="default"/>
      </w:rPr>
    </w:lvl>
    <w:lvl w:ilvl="5">
      <w:start w:val="1"/>
      <w:numFmt w:val="lowerLetter"/>
      <w:pStyle w:val="Heading6"/>
      <w:lvlText w:val="%6)"/>
      <w:lvlJc w:val="left"/>
      <w:pPr>
        <w:ind w:left="5256" w:hanging="432"/>
      </w:pPr>
      <w:rPr>
        <w:rFonts w:hint="default"/>
      </w:rPr>
    </w:lvl>
    <w:lvl w:ilvl="6">
      <w:start w:val="1"/>
      <w:numFmt w:val="lowerRoman"/>
      <w:pStyle w:val="Heading7"/>
      <w:lvlText w:val="%7)"/>
      <w:lvlJc w:val="right"/>
      <w:pPr>
        <w:ind w:left="5400" w:hanging="288"/>
      </w:pPr>
      <w:rPr>
        <w:rFonts w:hint="default"/>
      </w:rPr>
    </w:lvl>
    <w:lvl w:ilvl="7">
      <w:start w:val="1"/>
      <w:numFmt w:val="lowerLetter"/>
      <w:pStyle w:val="Heading8"/>
      <w:lvlText w:val="%8."/>
      <w:lvlJc w:val="left"/>
      <w:pPr>
        <w:ind w:left="5544" w:hanging="432"/>
      </w:pPr>
      <w:rPr>
        <w:rFonts w:hint="default"/>
      </w:rPr>
    </w:lvl>
    <w:lvl w:ilvl="8">
      <w:start w:val="1"/>
      <w:numFmt w:val="lowerRoman"/>
      <w:pStyle w:val="Heading9"/>
      <w:lvlText w:val="%9."/>
      <w:lvlJc w:val="right"/>
      <w:pPr>
        <w:ind w:left="5688" w:hanging="144"/>
      </w:pPr>
      <w:rPr>
        <w:rFonts w:hint="default"/>
      </w:rPr>
    </w:lvl>
  </w:abstractNum>
  <w:abstractNum w:abstractNumId="1" w15:restartNumberingAfterBreak="0">
    <w:nsid w:val="08B67040"/>
    <w:multiLevelType w:val="multilevel"/>
    <w:tmpl w:val="802C8AE8"/>
    <w:lvl w:ilvl="0">
      <w:start w:val="1"/>
      <w:numFmt w:val="decimal"/>
      <w:lvlText w:val="%1"/>
      <w:lvlJc w:val="left"/>
      <w:pPr>
        <w:ind w:left="360" w:hanging="360"/>
      </w:pPr>
      <w:rPr>
        <w:rFonts w:hint="default"/>
      </w:rPr>
    </w:lvl>
    <w:lvl w:ilvl="1">
      <w:start w:val="4"/>
      <w:numFmt w:val="decimal"/>
      <w:lvlText w:val="%1.%2"/>
      <w:lvlJc w:val="left"/>
      <w:pPr>
        <w:ind w:left="1800" w:hanging="360"/>
      </w:pPr>
      <w:rPr>
        <w:rFonts w:hint="default"/>
        <w:b w:val="0"/>
        <w:bCs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B0C6AA8"/>
    <w:multiLevelType w:val="hybridMultilevel"/>
    <w:tmpl w:val="52365BC8"/>
    <w:lvl w:ilvl="0" w:tplc="6F801750">
      <w:start w:val="1"/>
      <w:numFmt w:val="lowerLetter"/>
      <w:lvlText w:val="%1."/>
      <w:lvlJc w:val="left"/>
      <w:pPr>
        <w:ind w:left="1440" w:hanging="360"/>
      </w:pPr>
      <w:rPr>
        <w:b w:val="0"/>
        <w:bCs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D094181"/>
    <w:multiLevelType w:val="multilevel"/>
    <w:tmpl w:val="48B4A19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186F1347"/>
    <w:multiLevelType w:val="hybridMultilevel"/>
    <w:tmpl w:val="9C6425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B45CCD"/>
    <w:multiLevelType w:val="hybridMultilevel"/>
    <w:tmpl w:val="41BE9134"/>
    <w:lvl w:ilvl="0" w:tplc="07DE463A">
      <w:start w:val="1"/>
      <w:numFmt w:val="decimal"/>
      <w:lvlText w:val="3.%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AB5FF9"/>
    <w:multiLevelType w:val="hybridMultilevel"/>
    <w:tmpl w:val="54A23156"/>
    <w:lvl w:ilvl="0" w:tplc="0409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3BC0F14"/>
    <w:multiLevelType w:val="multilevel"/>
    <w:tmpl w:val="E57C79D4"/>
    <w:lvl w:ilvl="0">
      <w:start w:val="1"/>
      <w:numFmt w:val="decimal"/>
      <w:lvlText w:val="%1"/>
      <w:lvlJc w:val="left"/>
      <w:pPr>
        <w:ind w:left="360" w:hanging="360"/>
      </w:pPr>
      <w:rPr>
        <w:rFonts w:hint="default"/>
      </w:rPr>
    </w:lvl>
    <w:lvl w:ilvl="1">
      <w:start w:val="10"/>
      <w:numFmt w:val="decimal"/>
      <w:lvlText w:val="%1.%2"/>
      <w:lvlJc w:val="left"/>
      <w:pPr>
        <w:ind w:left="1800" w:hanging="360"/>
      </w:pPr>
      <w:rPr>
        <w:rFonts w:hint="default"/>
        <w:b w:val="0"/>
        <w:bCs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264B3DE6"/>
    <w:multiLevelType w:val="multilevel"/>
    <w:tmpl w:val="49FA6CB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ascii="Arial" w:hAnsi="Arial" w:cs="Arial" w:hint="default"/>
        <w:b w:val="0"/>
        <w:bCs/>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29DB7F98"/>
    <w:multiLevelType w:val="multilevel"/>
    <w:tmpl w:val="368E5DE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lvlText w:val="%1.%2"/>
      <w:lvlJc w:val="left"/>
      <w:pPr>
        <w:tabs>
          <w:tab w:val="num" w:pos="1476"/>
        </w:tabs>
        <w:ind w:left="1476" w:hanging="1296"/>
      </w:pPr>
      <w:rPr>
        <w:rFonts w:ascii="Arial" w:hAnsi="Arial" w:cs="Arial" w:hint="default"/>
        <w:b w:val="0"/>
      </w:rPr>
    </w:lvl>
    <w:lvl w:ilvl="2">
      <w:start w:val="1"/>
      <w:numFmt w:val="lowerLetter"/>
      <w:pStyle w:val="subpar"/>
      <w:lvlText w:val="%3."/>
      <w:lvlJc w:val="left"/>
      <w:pPr>
        <w:tabs>
          <w:tab w:val="num" w:pos="2682"/>
        </w:tabs>
        <w:ind w:left="268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1" w15:restartNumberingAfterBreak="0">
    <w:nsid w:val="359B4991"/>
    <w:multiLevelType w:val="multilevel"/>
    <w:tmpl w:val="3FFE7FA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2" w15:restartNumberingAfterBreak="0">
    <w:nsid w:val="38AA1141"/>
    <w:multiLevelType w:val="multilevel"/>
    <w:tmpl w:val="9252F9E4"/>
    <w:lvl w:ilvl="0">
      <w:start w:val="3"/>
      <w:numFmt w:val="decimal"/>
      <w:lvlText w:val="%1"/>
      <w:lvlJc w:val="left"/>
      <w:pPr>
        <w:ind w:left="360" w:hanging="360"/>
      </w:pPr>
      <w:rPr>
        <w:rFonts w:hint="default"/>
      </w:rPr>
    </w:lvl>
    <w:lvl w:ilvl="1">
      <w:start w:val="1"/>
      <w:numFmt w:val="decimal"/>
      <w:lvlText w:val="%1.%2"/>
      <w:lvlJc w:val="left"/>
      <w:pPr>
        <w:ind w:left="540" w:hanging="360"/>
      </w:pPr>
      <w:rPr>
        <w:rFonts w:hint="default"/>
        <w:b w:val="0"/>
        <w:bCs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39E6707E"/>
    <w:multiLevelType w:val="multilevel"/>
    <w:tmpl w:val="ED80E30A"/>
    <w:lvl w:ilvl="0">
      <w:start w:val="1"/>
      <w:numFmt w:val="decimal"/>
      <w:lvlText w:val="%1"/>
      <w:lvlJc w:val="left"/>
      <w:pPr>
        <w:ind w:left="360" w:hanging="360"/>
      </w:pPr>
      <w:rPr>
        <w:rFonts w:hint="default"/>
        <w:b/>
      </w:rPr>
    </w:lvl>
    <w:lvl w:ilvl="1">
      <w:start w:val="7"/>
      <w:numFmt w:val="decimal"/>
      <w:lvlText w:val="%1.%2"/>
      <w:lvlJc w:val="left"/>
      <w:pPr>
        <w:ind w:left="360" w:hanging="360"/>
      </w:pPr>
      <w:rPr>
        <w:rFonts w:ascii="Arial" w:hAnsi="Arial" w:cs="Arial" w:hint="default"/>
        <w:b w:val="0"/>
        <w:bCs/>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3AD40E78"/>
    <w:multiLevelType w:val="hybridMultilevel"/>
    <w:tmpl w:val="A446B7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7E0BCA"/>
    <w:multiLevelType w:val="hybridMultilevel"/>
    <w:tmpl w:val="C4B4D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594911"/>
    <w:multiLevelType w:val="multilevel"/>
    <w:tmpl w:val="44189A14"/>
    <w:lvl w:ilvl="0">
      <w:start w:val="1"/>
      <w:numFmt w:val="decimal"/>
      <w:lvlText w:val="%1"/>
      <w:lvlJc w:val="left"/>
      <w:pPr>
        <w:ind w:left="360" w:hanging="360"/>
      </w:pPr>
      <w:rPr>
        <w:rFonts w:hint="default"/>
      </w:rPr>
    </w:lvl>
    <w:lvl w:ilvl="1">
      <w:start w:val="1"/>
      <w:numFmt w:val="decimal"/>
      <w:lvlText w:val="%1.%2"/>
      <w:lvlJc w:val="left"/>
      <w:pPr>
        <w:ind w:left="1260" w:hanging="36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F12151"/>
    <w:multiLevelType w:val="hybridMultilevel"/>
    <w:tmpl w:val="BABAF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530A9C"/>
    <w:multiLevelType w:val="multilevel"/>
    <w:tmpl w:val="7A4C2E3A"/>
    <w:lvl w:ilvl="0">
      <w:start w:val="1"/>
      <w:numFmt w:val="upperRoman"/>
      <w:lvlRestart w:val="0"/>
      <w:lvlText w:val="%1."/>
      <w:lvlJc w:val="center"/>
      <w:pPr>
        <w:tabs>
          <w:tab w:val="num" w:pos="1800"/>
        </w:tabs>
        <w:ind w:left="1152" w:firstLine="288"/>
      </w:pPr>
      <w:rPr>
        <w:b/>
        <w:i w:val="0"/>
      </w:rPr>
    </w:lvl>
    <w:lvl w:ilvl="1">
      <w:start w:val="1"/>
      <w:numFmt w:val="decima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9" w15:restartNumberingAfterBreak="0">
    <w:nsid w:val="60881973"/>
    <w:multiLevelType w:val="multilevel"/>
    <w:tmpl w:val="230C0EC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0"/>
  </w:num>
  <w:num w:numId="3">
    <w:abstractNumId w:val="7"/>
  </w:num>
  <w:num w:numId="4">
    <w:abstractNumId w:val="1"/>
  </w:num>
  <w:num w:numId="5">
    <w:abstractNumId w:val="3"/>
  </w:num>
  <w:num w:numId="6">
    <w:abstractNumId w:val="12"/>
  </w:num>
  <w:num w:numId="7">
    <w:abstractNumId w:val="15"/>
  </w:num>
  <w:num w:numId="8">
    <w:abstractNumId w:val="16"/>
  </w:num>
  <w:num w:numId="9">
    <w:abstractNumId w:val="5"/>
  </w:num>
  <w:num w:numId="10">
    <w:abstractNumId w:val="11"/>
  </w:num>
  <w:num w:numId="11">
    <w:abstractNumId w:val="2"/>
  </w:num>
  <w:num w:numId="12">
    <w:abstractNumId w:val="9"/>
  </w:num>
  <w:num w:numId="13">
    <w:abstractNumId w:val="10"/>
  </w:num>
  <w:num w:numId="14">
    <w:abstractNumId w:val="10"/>
  </w:num>
  <w:num w:numId="15">
    <w:abstractNumId w:val="10"/>
  </w:num>
  <w:num w:numId="16">
    <w:abstractNumId w:val="10"/>
  </w:num>
  <w:num w:numId="17">
    <w:abstractNumId w:val="13"/>
  </w:num>
  <w:num w:numId="18">
    <w:abstractNumId w:val="8"/>
  </w:num>
  <w:num w:numId="19">
    <w:abstractNumId w:val="6"/>
  </w:num>
  <w:num w:numId="20">
    <w:abstractNumId w:val="10"/>
  </w:num>
  <w:num w:numId="21">
    <w:abstractNumId w:val="10"/>
  </w:num>
  <w:num w:numId="22">
    <w:abstractNumId w:val="19"/>
  </w:num>
  <w:num w:numId="23">
    <w:abstractNumId w:val="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8"/>
  </w:num>
  <w:num w:numId="36">
    <w:abstractNumId w:val="14"/>
  </w:num>
  <w:num w:numId="37">
    <w:abstractNumId w:val="4"/>
  </w:num>
  <w:num w:numId="38">
    <w:abstractNumId w:val="17"/>
  </w:num>
  <w:num w:numId="39">
    <w:abstractNumId w:val="10"/>
  </w:num>
  <w:num w:numId="40">
    <w:abstractNumId w:val="10"/>
  </w:num>
  <w:num w:numId="41">
    <w:abstractNumId w:val="10"/>
  </w:num>
  <w:num w:numId="42">
    <w:abstractNumId w:val="10"/>
  </w:num>
  <w:num w:numId="43">
    <w:abstractNumId w:val="10"/>
  </w:num>
  <w:num w:numId="44">
    <w:abstractNumId w:val="10"/>
  </w:num>
  <w:num w:numId="45">
    <w:abstractNumId w:val="10"/>
  </w:num>
  <w:num w:numId="46">
    <w:abstractNumId w:val="10"/>
  </w:num>
  <w:num w:numId="47">
    <w:abstractNumId w:val="10"/>
  </w:num>
  <w:num w:numId="48">
    <w:abstractNumId w:val="10"/>
  </w:num>
  <w:num w:numId="49">
    <w:abstractNumId w:val="10"/>
  </w:num>
  <w:num w:numId="50">
    <w:abstractNumId w:val="10"/>
  </w:num>
  <w:num w:numId="51">
    <w:abstractNumId w:val="10"/>
  </w:num>
  <w:num w:numId="52">
    <w:abstractNumId w:val="10"/>
  </w:num>
  <w:num w:numId="53">
    <w:abstractNumId w:val="10"/>
  </w:num>
  <w:num w:numId="54">
    <w:abstractNumId w:val="10"/>
  </w:num>
  <w:num w:numId="55">
    <w:abstractNumId w:val="10"/>
  </w:num>
  <w:num w:numId="56">
    <w:abstractNumId w:val="10"/>
  </w:num>
  <w:num w:numId="57">
    <w:abstractNumId w:val="10"/>
  </w:num>
  <w:num w:numId="58">
    <w:abstractNumId w:val="10"/>
  </w:num>
  <w:num w:numId="59">
    <w:abstractNumId w:val="10"/>
  </w:num>
  <w:num w:numId="60">
    <w:abstractNumId w:val="1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81"/>
    <w:rsid w:val="00005D31"/>
    <w:rsid w:val="00012DA5"/>
    <w:rsid w:val="00015230"/>
    <w:rsid w:val="00015B9F"/>
    <w:rsid w:val="00020315"/>
    <w:rsid w:val="00020C42"/>
    <w:rsid w:val="00023F8E"/>
    <w:rsid w:val="00030588"/>
    <w:rsid w:val="00035773"/>
    <w:rsid w:val="00036A80"/>
    <w:rsid w:val="00041657"/>
    <w:rsid w:val="0004293E"/>
    <w:rsid w:val="000478D8"/>
    <w:rsid w:val="0005321D"/>
    <w:rsid w:val="000561F0"/>
    <w:rsid w:val="00061CB4"/>
    <w:rsid w:val="00061D00"/>
    <w:rsid w:val="0006531B"/>
    <w:rsid w:val="000670E4"/>
    <w:rsid w:val="0008631C"/>
    <w:rsid w:val="000B1D94"/>
    <w:rsid w:val="000C4AAD"/>
    <w:rsid w:val="000C634B"/>
    <w:rsid w:val="000D0A2D"/>
    <w:rsid w:val="000E0E1A"/>
    <w:rsid w:val="000E5620"/>
    <w:rsid w:val="000F3C2A"/>
    <w:rsid w:val="000F5B08"/>
    <w:rsid w:val="000F69B1"/>
    <w:rsid w:val="000F7CB3"/>
    <w:rsid w:val="00102C96"/>
    <w:rsid w:val="001100A1"/>
    <w:rsid w:val="00114987"/>
    <w:rsid w:val="00126C4F"/>
    <w:rsid w:val="00130E9E"/>
    <w:rsid w:val="001320AD"/>
    <w:rsid w:val="001430A5"/>
    <w:rsid w:val="00145881"/>
    <w:rsid w:val="00146D4D"/>
    <w:rsid w:val="001536B6"/>
    <w:rsid w:val="00157B6F"/>
    <w:rsid w:val="001649F9"/>
    <w:rsid w:val="001668D0"/>
    <w:rsid w:val="0017089C"/>
    <w:rsid w:val="001758C9"/>
    <w:rsid w:val="001774DE"/>
    <w:rsid w:val="001A0517"/>
    <w:rsid w:val="001A3553"/>
    <w:rsid w:val="001A5E2C"/>
    <w:rsid w:val="001B4864"/>
    <w:rsid w:val="001C0794"/>
    <w:rsid w:val="001C4B32"/>
    <w:rsid w:val="001D6DC7"/>
    <w:rsid w:val="001E1BB5"/>
    <w:rsid w:val="001E2557"/>
    <w:rsid w:val="001F0EB2"/>
    <w:rsid w:val="001F1F84"/>
    <w:rsid w:val="001F338F"/>
    <w:rsid w:val="001F3728"/>
    <w:rsid w:val="00227D2B"/>
    <w:rsid w:val="00230C34"/>
    <w:rsid w:val="002360EE"/>
    <w:rsid w:val="00242766"/>
    <w:rsid w:val="00242C2A"/>
    <w:rsid w:val="0025222E"/>
    <w:rsid w:val="00260085"/>
    <w:rsid w:val="00266DE0"/>
    <w:rsid w:val="00282D9F"/>
    <w:rsid w:val="002A4323"/>
    <w:rsid w:val="002A5156"/>
    <w:rsid w:val="002B4A02"/>
    <w:rsid w:val="002B62FA"/>
    <w:rsid w:val="002C1EB4"/>
    <w:rsid w:val="002D2BC8"/>
    <w:rsid w:val="002E177E"/>
    <w:rsid w:val="002E51E0"/>
    <w:rsid w:val="002E796B"/>
    <w:rsid w:val="002F2A63"/>
    <w:rsid w:val="002F348C"/>
    <w:rsid w:val="002F4ED8"/>
    <w:rsid w:val="00301682"/>
    <w:rsid w:val="0030432E"/>
    <w:rsid w:val="00306AAE"/>
    <w:rsid w:val="00311DEE"/>
    <w:rsid w:val="00315BF9"/>
    <w:rsid w:val="00326F48"/>
    <w:rsid w:val="003368B6"/>
    <w:rsid w:val="00343262"/>
    <w:rsid w:val="003533AB"/>
    <w:rsid w:val="0036117A"/>
    <w:rsid w:val="003660B3"/>
    <w:rsid w:val="0036714C"/>
    <w:rsid w:val="0037469A"/>
    <w:rsid w:val="00381B55"/>
    <w:rsid w:val="00385832"/>
    <w:rsid w:val="003940C4"/>
    <w:rsid w:val="003A2F22"/>
    <w:rsid w:val="003B4E70"/>
    <w:rsid w:val="003E2814"/>
    <w:rsid w:val="003E4552"/>
    <w:rsid w:val="00401E77"/>
    <w:rsid w:val="0040596A"/>
    <w:rsid w:val="00412E59"/>
    <w:rsid w:val="004151E1"/>
    <w:rsid w:val="004235DC"/>
    <w:rsid w:val="00427922"/>
    <w:rsid w:val="004326C5"/>
    <w:rsid w:val="00446E9A"/>
    <w:rsid w:val="00453553"/>
    <w:rsid w:val="00455F4A"/>
    <w:rsid w:val="00463B1B"/>
    <w:rsid w:val="004708AE"/>
    <w:rsid w:val="00475979"/>
    <w:rsid w:val="004807D3"/>
    <w:rsid w:val="00480B1B"/>
    <w:rsid w:val="004822D9"/>
    <w:rsid w:val="00497780"/>
    <w:rsid w:val="004A21AC"/>
    <w:rsid w:val="004A47DC"/>
    <w:rsid w:val="004A79D5"/>
    <w:rsid w:val="004B2ADD"/>
    <w:rsid w:val="004C40ED"/>
    <w:rsid w:val="004C43B1"/>
    <w:rsid w:val="004D213E"/>
    <w:rsid w:val="004D31ED"/>
    <w:rsid w:val="004D3258"/>
    <w:rsid w:val="004D6066"/>
    <w:rsid w:val="004F0297"/>
    <w:rsid w:val="004F17D9"/>
    <w:rsid w:val="004F3B89"/>
    <w:rsid w:val="004F75FD"/>
    <w:rsid w:val="004F7C12"/>
    <w:rsid w:val="005009FD"/>
    <w:rsid w:val="00503915"/>
    <w:rsid w:val="00512598"/>
    <w:rsid w:val="0051461C"/>
    <w:rsid w:val="00520CA3"/>
    <w:rsid w:val="0053501E"/>
    <w:rsid w:val="00535060"/>
    <w:rsid w:val="0054297C"/>
    <w:rsid w:val="00544576"/>
    <w:rsid w:val="0055000E"/>
    <w:rsid w:val="00552F41"/>
    <w:rsid w:val="00561673"/>
    <w:rsid w:val="0056297E"/>
    <w:rsid w:val="00563B5E"/>
    <w:rsid w:val="00564FF4"/>
    <w:rsid w:val="00565050"/>
    <w:rsid w:val="005663E8"/>
    <w:rsid w:val="005778B3"/>
    <w:rsid w:val="0059680E"/>
    <w:rsid w:val="0059699A"/>
    <w:rsid w:val="005B5E91"/>
    <w:rsid w:val="005B78F4"/>
    <w:rsid w:val="005D31EB"/>
    <w:rsid w:val="005D5B22"/>
    <w:rsid w:val="005D68E8"/>
    <w:rsid w:val="005D7676"/>
    <w:rsid w:val="005E12E4"/>
    <w:rsid w:val="005E3B0D"/>
    <w:rsid w:val="005E571F"/>
    <w:rsid w:val="005F1916"/>
    <w:rsid w:val="00605120"/>
    <w:rsid w:val="00612970"/>
    <w:rsid w:val="00616846"/>
    <w:rsid w:val="006222CC"/>
    <w:rsid w:val="00633683"/>
    <w:rsid w:val="00633DE9"/>
    <w:rsid w:val="0064785D"/>
    <w:rsid w:val="006500F0"/>
    <w:rsid w:val="006515D9"/>
    <w:rsid w:val="006527D2"/>
    <w:rsid w:val="0065285A"/>
    <w:rsid w:val="00654339"/>
    <w:rsid w:val="0066190B"/>
    <w:rsid w:val="0066247E"/>
    <w:rsid w:val="006657D9"/>
    <w:rsid w:val="00672178"/>
    <w:rsid w:val="006748F7"/>
    <w:rsid w:val="00681D97"/>
    <w:rsid w:val="00682804"/>
    <w:rsid w:val="00691E6A"/>
    <w:rsid w:val="006A1593"/>
    <w:rsid w:val="006A2D48"/>
    <w:rsid w:val="006A6616"/>
    <w:rsid w:val="006B462A"/>
    <w:rsid w:val="006B47D6"/>
    <w:rsid w:val="006B5702"/>
    <w:rsid w:val="006C6FDE"/>
    <w:rsid w:val="006F18C9"/>
    <w:rsid w:val="006F27AF"/>
    <w:rsid w:val="0070419C"/>
    <w:rsid w:val="007316FF"/>
    <w:rsid w:val="00740992"/>
    <w:rsid w:val="00741C72"/>
    <w:rsid w:val="00750DB7"/>
    <w:rsid w:val="00756B8D"/>
    <w:rsid w:val="007611DD"/>
    <w:rsid w:val="0076222F"/>
    <w:rsid w:val="00762F99"/>
    <w:rsid w:val="007642C9"/>
    <w:rsid w:val="00764CB2"/>
    <w:rsid w:val="007661A2"/>
    <w:rsid w:val="007839F4"/>
    <w:rsid w:val="00784611"/>
    <w:rsid w:val="007861A9"/>
    <w:rsid w:val="007A4B5D"/>
    <w:rsid w:val="007B71D2"/>
    <w:rsid w:val="007C00F8"/>
    <w:rsid w:val="007F2EE8"/>
    <w:rsid w:val="007F5B5E"/>
    <w:rsid w:val="00800232"/>
    <w:rsid w:val="00800713"/>
    <w:rsid w:val="008029A3"/>
    <w:rsid w:val="008034B7"/>
    <w:rsid w:val="00804F8D"/>
    <w:rsid w:val="00816A73"/>
    <w:rsid w:val="008226A5"/>
    <w:rsid w:val="00842946"/>
    <w:rsid w:val="00847333"/>
    <w:rsid w:val="00847F32"/>
    <w:rsid w:val="00861569"/>
    <w:rsid w:val="00866F22"/>
    <w:rsid w:val="008702D3"/>
    <w:rsid w:val="00873618"/>
    <w:rsid w:val="00873B13"/>
    <w:rsid w:val="00874913"/>
    <w:rsid w:val="0087715A"/>
    <w:rsid w:val="008804F5"/>
    <w:rsid w:val="0088185B"/>
    <w:rsid w:val="00893490"/>
    <w:rsid w:val="00893D6A"/>
    <w:rsid w:val="00896269"/>
    <w:rsid w:val="008B75D8"/>
    <w:rsid w:val="008B75E9"/>
    <w:rsid w:val="008C2613"/>
    <w:rsid w:val="008C3D0F"/>
    <w:rsid w:val="008E23F7"/>
    <w:rsid w:val="008F22DD"/>
    <w:rsid w:val="00911F87"/>
    <w:rsid w:val="00916C17"/>
    <w:rsid w:val="009177C5"/>
    <w:rsid w:val="009201ED"/>
    <w:rsid w:val="00923D6C"/>
    <w:rsid w:val="00931FB1"/>
    <w:rsid w:val="00937B11"/>
    <w:rsid w:val="00946336"/>
    <w:rsid w:val="00957113"/>
    <w:rsid w:val="009572B0"/>
    <w:rsid w:val="00964A65"/>
    <w:rsid w:val="00965D65"/>
    <w:rsid w:val="00966075"/>
    <w:rsid w:val="00970D48"/>
    <w:rsid w:val="00983D44"/>
    <w:rsid w:val="009841CB"/>
    <w:rsid w:val="009841D0"/>
    <w:rsid w:val="00991546"/>
    <w:rsid w:val="00994B29"/>
    <w:rsid w:val="009A0329"/>
    <w:rsid w:val="009A0F07"/>
    <w:rsid w:val="009B092C"/>
    <w:rsid w:val="009B33A3"/>
    <w:rsid w:val="009B64DC"/>
    <w:rsid w:val="009C3D90"/>
    <w:rsid w:val="009D1BF3"/>
    <w:rsid w:val="009E2906"/>
    <w:rsid w:val="00A00F46"/>
    <w:rsid w:val="00A054D3"/>
    <w:rsid w:val="00A057D3"/>
    <w:rsid w:val="00A13196"/>
    <w:rsid w:val="00A15C01"/>
    <w:rsid w:val="00A16320"/>
    <w:rsid w:val="00A25202"/>
    <w:rsid w:val="00A3296F"/>
    <w:rsid w:val="00A35B7B"/>
    <w:rsid w:val="00A52245"/>
    <w:rsid w:val="00A61621"/>
    <w:rsid w:val="00A61639"/>
    <w:rsid w:val="00A62845"/>
    <w:rsid w:val="00A85986"/>
    <w:rsid w:val="00A91F92"/>
    <w:rsid w:val="00AA0AB1"/>
    <w:rsid w:val="00AA2E17"/>
    <w:rsid w:val="00AA7936"/>
    <w:rsid w:val="00AC7F19"/>
    <w:rsid w:val="00AD0A01"/>
    <w:rsid w:val="00AD1872"/>
    <w:rsid w:val="00AD4DC0"/>
    <w:rsid w:val="00AE297E"/>
    <w:rsid w:val="00AE2BF6"/>
    <w:rsid w:val="00AE2DF5"/>
    <w:rsid w:val="00AE31A4"/>
    <w:rsid w:val="00AE4A6B"/>
    <w:rsid w:val="00AE638D"/>
    <w:rsid w:val="00AE647A"/>
    <w:rsid w:val="00B01747"/>
    <w:rsid w:val="00B03504"/>
    <w:rsid w:val="00B03840"/>
    <w:rsid w:val="00B1510A"/>
    <w:rsid w:val="00B156A5"/>
    <w:rsid w:val="00B204FC"/>
    <w:rsid w:val="00B20EEA"/>
    <w:rsid w:val="00B24DB2"/>
    <w:rsid w:val="00B32C08"/>
    <w:rsid w:val="00B353C2"/>
    <w:rsid w:val="00B46F6B"/>
    <w:rsid w:val="00B51BD6"/>
    <w:rsid w:val="00B56125"/>
    <w:rsid w:val="00B60EE9"/>
    <w:rsid w:val="00B64881"/>
    <w:rsid w:val="00B75451"/>
    <w:rsid w:val="00B76ABD"/>
    <w:rsid w:val="00B80C3E"/>
    <w:rsid w:val="00BA1679"/>
    <w:rsid w:val="00BA586F"/>
    <w:rsid w:val="00BC5912"/>
    <w:rsid w:val="00BD2962"/>
    <w:rsid w:val="00C108FD"/>
    <w:rsid w:val="00C11AD0"/>
    <w:rsid w:val="00C342B0"/>
    <w:rsid w:val="00C34380"/>
    <w:rsid w:val="00C41BB3"/>
    <w:rsid w:val="00C44CFB"/>
    <w:rsid w:val="00C47FFA"/>
    <w:rsid w:val="00C54C81"/>
    <w:rsid w:val="00C612CA"/>
    <w:rsid w:val="00C644A1"/>
    <w:rsid w:val="00C647EE"/>
    <w:rsid w:val="00C70C91"/>
    <w:rsid w:val="00C77236"/>
    <w:rsid w:val="00C8637B"/>
    <w:rsid w:val="00C94A29"/>
    <w:rsid w:val="00CA274B"/>
    <w:rsid w:val="00CA6970"/>
    <w:rsid w:val="00CB0E0F"/>
    <w:rsid w:val="00CB1078"/>
    <w:rsid w:val="00CB2487"/>
    <w:rsid w:val="00CB66E0"/>
    <w:rsid w:val="00CD479F"/>
    <w:rsid w:val="00CD52AF"/>
    <w:rsid w:val="00CD78DE"/>
    <w:rsid w:val="00CE3D6E"/>
    <w:rsid w:val="00CF2E31"/>
    <w:rsid w:val="00CF4DF8"/>
    <w:rsid w:val="00D07DC8"/>
    <w:rsid w:val="00D25FE4"/>
    <w:rsid w:val="00D35AF9"/>
    <w:rsid w:val="00D406FF"/>
    <w:rsid w:val="00D53738"/>
    <w:rsid w:val="00D65264"/>
    <w:rsid w:val="00D67314"/>
    <w:rsid w:val="00D87BEC"/>
    <w:rsid w:val="00DB0425"/>
    <w:rsid w:val="00DB229C"/>
    <w:rsid w:val="00DB35C5"/>
    <w:rsid w:val="00DB40FE"/>
    <w:rsid w:val="00DC116A"/>
    <w:rsid w:val="00DC4CA6"/>
    <w:rsid w:val="00DD10BB"/>
    <w:rsid w:val="00DE02BC"/>
    <w:rsid w:val="00DE7724"/>
    <w:rsid w:val="00E069C0"/>
    <w:rsid w:val="00E24EAB"/>
    <w:rsid w:val="00E34BA7"/>
    <w:rsid w:val="00E41B10"/>
    <w:rsid w:val="00E44C3F"/>
    <w:rsid w:val="00E603F3"/>
    <w:rsid w:val="00E64255"/>
    <w:rsid w:val="00E71CA1"/>
    <w:rsid w:val="00E83F5B"/>
    <w:rsid w:val="00E926E2"/>
    <w:rsid w:val="00E94EAE"/>
    <w:rsid w:val="00EA0249"/>
    <w:rsid w:val="00EA1BB8"/>
    <w:rsid w:val="00EA35AC"/>
    <w:rsid w:val="00EB5FBC"/>
    <w:rsid w:val="00EC04AE"/>
    <w:rsid w:val="00EC1C65"/>
    <w:rsid w:val="00EC323C"/>
    <w:rsid w:val="00EC3BC9"/>
    <w:rsid w:val="00EC3CE5"/>
    <w:rsid w:val="00EC4AB4"/>
    <w:rsid w:val="00EC5AD2"/>
    <w:rsid w:val="00EC6AB9"/>
    <w:rsid w:val="00ED13A6"/>
    <w:rsid w:val="00EF0ACB"/>
    <w:rsid w:val="00EF1397"/>
    <w:rsid w:val="00EF328B"/>
    <w:rsid w:val="00EF5A4E"/>
    <w:rsid w:val="00F002AA"/>
    <w:rsid w:val="00F0462E"/>
    <w:rsid w:val="00F1767C"/>
    <w:rsid w:val="00F40532"/>
    <w:rsid w:val="00F71FD0"/>
    <w:rsid w:val="00F75EE1"/>
    <w:rsid w:val="00F81771"/>
    <w:rsid w:val="00F92B37"/>
    <w:rsid w:val="00F92B59"/>
    <w:rsid w:val="00F93D6A"/>
    <w:rsid w:val="00FB555F"/>
    <w:rsid w:val="00FC275E"/>
    <w:rsid w:val="00FD056E"/>
    <w:rsid w:val="00FE3F6B"/>
    <w:rsid w:val="00FE451E"/>
    <w:rsid w:val="00FE66C8"/>
    <w:rsid w:val="00FF06D2"/>
    <w:rsid w:val="00FF43E8"/>
    <w:rsid w:val="00FF47E7"/>
    <w:rsid w:val="2D415C78"/>
    <w:rsid w:val="4098771A"/>
    <w:rsid w:val="4E43B85C"/>
    <w:rsid w:val="6AB37A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78681"/>
  <w15:chartTrackingRefBased/>
  <w15:docId w15:val="{0464D6CD-9D4E-47F6-8380-C94A6F1E2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5881"/>
    <w:pPr>
      <w:spacing w:after="200" w:line="276" w:lineRule="auto"/>
    </w:pPr>
    <w:rPr>
      <w:rFonts w:eastAsiaTheme="minorEastAsia"/>
      <w:lang w:val="en-GB" w:eastAsia="en-GB"/>
    </w:rPr>
  </w:style>
  <w:style w:type="paragraph" w:styleId="Heading5">
    <w:name w:val="heading 5"/>
    <w:basedOn w:val="Normal"/>
    <w:next w:val="Normal"/>
    <w:link w:val="Heading5Char"/>
    <w:uiPriority w:val="9"/>
    <w:unhideWhenUsed/>
    <w:qFormat/>
    <w:rsid w:val="00145881"/>
    <w:pPr>
      <w:keepNext/>
      <w:keepLines/>
      <w:numPr>
        <w:ilvl w:val="4"/>
        <w:numId w:val="2"/>
      </w:numPr>
      <w:spacing w:before="200" w:after="0"/>
      <w:outlineLvl w:val="4"/>
    </w:pPr>
    <w:rPr>
      <w:rFonts w:asciiTheme="majorHAnsi" w:eastAsiaTheme="majorEastAsia" w:hAnsiTheme="majorHAnsi" w:cstheme="majorBidi"/>
      <w:color w:val="1F3763" w:themeColor="accent1" w:themeShade="7F"/>
      <w:lang w:val="en-US"/>
    </w:rPr>
  </w:style>
  <w:style w:type="paragraph" w:styleId="Heading6">
    <w:name w:val="heading 6"/>
    <w:basedOn w:val="Normal"/>
    <w:next w:val="Normal"/>
    <w:link w:val="Heading6Char"/>
    <w:uiPriority w:val="9"/>
    <w:semiHidden/>
    <w:unhideWhenUsed/>
    <w:qFormat/>
    <w:rsid w:val="00145881"/>
    <w:pPr>
      <w:keepNext/>
      <w:keepLines/>
      <w:numPr>
        <w:ilvl w:val="5"/>
        <w:numId w:val="2"/>
      </w:numPr>
      <w:spacing w:before="200" w:after="0"/>
      <w:outlineLvl w:val="5"/>
    </w:pPr>
    <w:rPr>
      <w:rFonts w:asciiTheme="majorHAnsi" w:eastAsiaTheme="majorEastAsia" w:hAnsiTheme="majorHAnsi" w:cstheme="majorBidi"/>
      <w:i/>
      <w:iCs/>
      <w:color w:val="1F3763" w:themeColor="accent1" w:themeShade="7F"/>
      <w:lang w:val="en-US"/>
    </w:rPr>
  </w:style>
  <w:style w:type="paragraph" w:styleId="Heading7">
    <w:name w:val="heading 7"/>
    <w:basedOn w:val="Normal"/>
    <w:next w:val="Normal"/>
    <w:link w:val="Heading7Char"/>
    <w:uiPriority w:val="9"/>
    <w:unhideWhenUsed/>
    <w:qFormat/>
    <w:rsid w:val="00145881"/>
    <w:pPr>
      <w:keepNext/>
      <w:keepLines/>
      <w:numPr>
        <w:ilvl w:val="6"/>
        <w:numId w:val="2"/>
      </w:numPr>
      <w:spacing w:before="200" w:after="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semiHidden/>
    <w:unhideWhenUsed/>
    <w:qFormat/>
    <w:rsid w:val="00145881"/>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145881"/>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45881"/>
    <w:rPr>
      <w:rFonts w:asciiTheme="majorHAnsi" w:eastAsiaTheme="majorEastAsia" w:hAnsiTheme="majorHAnsi" w:cstheme="majorBidi"/>
      <w:color w:val="1F3763" w:themeColor="accent1" w:themeShade="7F"/>
      <w:lang w:eastAsia="en-GB"/>
    </w:rPr>
  </w:style>
  <w:style w:type="character" w:customStyle="1" w:styleId="Heading6Char">
    <w:name w:val="Heading 6 Char"/>
    <w:basedOn w:val="DefaultParagraphFont"/>
    <w:link w:val="Heading6"/>
    <w:uiPriority w:val="9"/>
    <w:semiHidden/>
    <w:rsid w:val="00145881"/>
    <w:rPr>
      <w:rFonts w:asciiTheme="majorHAnsi" w:eastAsiaTheme="majorEastAsia" w:hAnsiTheme="majorHAnsi" w:cstheme="majorBidi"/>
      <w:i/>
      <w:iCs/>
      <w:color w:val="1F3763" w:themeColor="accent1" w:themeShade="7F"/>
      <w:lang w:eastAsia="en-GB"/>
    </w:rPr>
  </w:style>
  <w:style w:type="character" w:customStyle="1" w:styleId="Heading7Char">
    <w:name w:val="Heading 7 Char"/>
    <w:basedOn w:val="DefaultParagraphFont"/>
    <w:link w:val="Heading7"/>
    <w:uiPriority w:val="9"/>
    <w:rsid w:val="00145881"/>
    <w:rPr>
      <w:rFonts w:asciiTheme="majorHAnsi" w:eastAsiaTheme="majorEastAsia" w:hAnsiTheme="majorHAnsi" w:cstheme="majorBidi"/>
      <w:i/>
      <w:iCs/>
      <w:color w:val="404040" w:themeColor="text1" w:themeTint="BF"/>
      <w:lang w:eastAsia="en-GB"/>
    </w:rPr>
  </w:style>
  <w:style w:type="character" w:customStyle="1" w:styleId="Heading8Char">
    <w:name w:val="Heading 8 Char"/>
    <w:basedOn w:val="DefaultParagraphFont"/>
    <w:link w:val="Heading8"/>
    <w:uiPriority w:val="9"/>
    <w:semiHidden/>
    <w:rsid w:val="00145881"/>
    <w:rPr>
      <w:rFonts w:asciiTheme="majorHAnsi" w:eastAsiaTheme="majorEastAsia" w:hAnsiTheme="majorHAnsi" w:cstheme="majorBidi"/>
      <w:color w:val="404040" w:themeColor="text1" w:themeTint="BF"/>
      <w:sz w:val="20"/>
      <w:szCs w:val="20"/>
      <w:lang w:eastAsia="en-GB"/>
    </w:rPr>
  </w:style>
  <w:style w:type="character" w:customStyle="1" w:styleId="Heading9Char">
    <w:name w:val="Heading 9 Char"/>
    <w:basedOn w:val="DefaultParagraphFont"/>
    <w:link w:val="Heading9"/>
    <w:uiPriority w:val="9"/>
    <w:semiHidden/>
    <w:rsid w:val="00145881"/>
    <w:rPr>
      <w:rFonts w:asciiTheme="majorHAnsi" w:eastAsiaTheme="majorEastAsia" w:hAnsiTheme="majorHAnsi" w:cstheme="majorBidi"/>
      <w:i/>
      <w:iCs/>
      <w:color w:val="404040" w:themeColor="text1" w:themeTint="BF"/>
      <w:sz w:val="20"/>
      <w:szCs w:val="20"/>
      <w:lang w:eastAsia="en-GB"/>
    </w:rPr>
  </w:style>
  <w:style w:type="paragraph" w:styleId="BalloonText">
    <w:name w:val="Balloon Text"/>
    <w:basedOn w:val="Normal"/>
    <w:link w:val="BalloonTextChar"/>
    <w:uiPriority w:val="99"/>
    <w:semiHidden/>
    <w:unhideWhenUsed/>
    <w:rsid w:val="001458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881"/>
    <w:rPr>
      <w:rFonts w:ascii="Segoe UI" w:eastAsiaTheme="minorEastAsia" w:hAnsi="Segoe UI" w:cs="Segoe UI"/>
      <w:sz w:val="18"/>
      <w:szCs w:val="18"/>
      <w:lang w:val="en-GB" w:eastAsia="en-GB"/>
    </w:rPr>
  </w:style>
  <w:style w:type="table" w:styleId="TableGrid">
    <w:name w:val="Table Grid"/>
    <w:basedOn w:val="TableNormal"/>
    <w:uiPriority w:val="59"/>
    <w:rsid w:val="00145881"/>
    <w:pPr>
      <w:spacing w:after="0" w:line="240" w:lineRule="auto"/>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rsid w:val="00145881"/>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145881"/>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paragraph+1"/>
    <w:basedOn w:val="BodyTextIndent"/>
    <w:link w:val="ParagraphChar"/>
    <w:qFormat/>
    <w:rsid w:val="00145881"/>
    <w:pPr>
      <w:numPr>
        <w:ilvl w:val="1"/>
        <w:numId w:val="1"/>
      </w:numPr>
      <w:spacing w:before="120" w:line="240" w:lineRule="auto"/>
      <w:jc w:val="both"/>
      <w:outlineLvl w:val="1"/>
    </w:pPr>
    <w:rPr>
      <w:rFonts w:ascii="Times New Roman" w:eastAsia="Times New Roman" w:hAnsi="Times New Roman" w:cs="Times New Roman"/>
      <w:sz w:val="24"/>
      <w:szCs w:val="20"/>
      <w:lang w:val="en-US"/>
    </w:rPr>
  </w:style>
  <w:style w:type="character" w:customStyle="1" w:styleId="ParagraphChar">
    <w:name w:val="Paragraph Char"/>
    <w:aliases w:val="p Char,PARAGRAPH Char,PG Char,pa Char,at Char,paragraph Char,Paragraph Char1"/>
    <w:link w:val="Paragraph"/>
    <w:rsid w:val="00145881"/>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qFormat/>
    <w:rsid w:val="00145881"/>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145881"/>
    <w:rPr>
      <w:rFonts w:ascii="Times New Roman" w:eastAsiaTheme="minorEastAsia" w:hAnsi="Times New Roman" w:cs="Times New Roman"/>
      <w:spacing w:val="-3"/>
      <w:sz w:val="20"/>
      <w:szCs w:val="20"/>
      <w:lang w:eastAsia="en-GB"/>
    </w:rPr>
  </w:style>
  <w:style w:type="paragraph" w:customStyle="1" w:styleId="Chapter">
    <w:name w:val="Chapter"/>
    <w:basedOn w:val="Normal"/>
    <w:next w:val="Normal"/>
    <w:qFormat/>
    <w:rsid w:val="00145881"/>
    <w:pPr>
      <w:keepNext/>
      <w:numPr>
        <w:numId w:val="1"/>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n-US"/>
    </w:rPr>
  </w:style>
  <w:style w:type="paragraph" w:customStyle="1" w:styleId="Default">
    <w:name w:val="Default"/>
    <w:link w:val="DefaultChar"/>
    <w:rsid w:val="00145881"/>
    <w:pPr>
      <w:autoSpaceDE w:val="0"/>
      <w:autoSpaceDN w:val="0"/>
      <w:adjustRightInd w:val="0"/>
      <w:spacing w:after="0" w:line="240" w:lineRule="auto"/>
    </w:pPr>
    <w:rPr>
      <w:rFonts w:ascii="Times New Roman" w:eastAsiaTheme="minorEastAsia" w:hAnsi="Times New Roman" w:cs="Times New Roman"/>
      <w:color w:val="000000"/>
      <w:sz w:val="24"/>
      <w:szCs w:val="24"/>
      <w:lang w:eastAsia="en-GB"/>
    </w:rPr>
  </w:style>
  <w:style w:type="paragraph" w:customStyle="1" w:styleId="FirstHeading">
    <w:name w:val="FirstHeading"/>
    <w:basedOn w:val="Normal"/>
    <w:next w:val="Normal"/>
    <w:rsid w:val="00145881"/>
    <w:pPr>
      <w:keepNext/>
      <w:numPr>
        <w:numId w:val="2"/>
      </w:numPr>
      <w:tabs>
        <w:tab w:val="left" w:pos="0"/>
        <w:tab w:val="left" w:pos="86"/>
      </w:tabs>
      <w:spacing w:before="120" w:after="120" w:line="240" w:lineRule="auto"/>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145881"/>
    <w:rPr>
      <w:rFonts w:ascii="Times New Roman" w:eastAsiaTheme="minorEastAsia" w:hAnsi="Times New Roman" w:cs="Times New Roman"/>
      <w:color w:val="000000"/>
      <w:sz w:val="24"/>
      <w:szCs w:val="24"/>
      <w:lang w:eastAsia="en-GB"/>
    </w:rPr>
  </w:style>
  <w:style w:type="paragraph" w:customStyle="1" w:styleId="SecHeading">
    <w:name w:val="SecHeading"/>
    <w:basedOn w:val="Normal"/>
    <w:next w:val="Paragraph"/>
    <w:link w:val="SecHeadingChar"/>
    <w:rsid w:val="00145881"/>
    <w:pPr>
      <w:keepNext/>
      <w:numPr>
        <w:ilvl w:val="1"/>
        <w:numId w:val="2"/>
      </w:numPr>
      <w:spacing w:before="120" w:after="120" w:line="240" w:lineRule="auto"/>
    </w:pPr>
    <w:rPr>
      <w:rFonts w:ascii="Times New Roman" w:hAnsi="Times New Roman" w:cs="Times New Roman"/>
      <w:b/>
      <w:bCs/>
      <w:color w:val="000000"/>
      <w:sz w:val="24"/>
      <w:szCs w:val="24"/>
      <w:lang w:val="es-ES_tradnl"/>
    </w:rPr>
  </w:style>
  <w:style w:type="character" w:customStyle="1" w:styleId="SecHeadingChar">
    <w:name w:val="SecHeading Char"/>
    <w:basedOn w:val="DefaultChar"/>
    <w:link w:val="SecHeading"/>
    <w:rsid w:val="00145881"/>
    <w:rPr>
      <w:rFonts w:ascii="Times New Roman" w:eastAsiaTheme="minorEastAsia" w:hAnsi="Times New Roman" w:cs="Times New Roman"/>
      <w:b/>
      <w:bCs/>
      <w:color w:val="000000"/>
      <w:sz w:val="24"/>
      <w:szCs w:val="24"/>
      <w:lang w:val="es-ES_tradnl" w:eastAsia="en-GB"/>
    </w:rPr>
  </w:style>
  <w:style w:type="paragraph" w:customStyle="1" w:styleId="SubHeading1">
    <w:name w:val="SubHeading1"/>
    <w:basedOn w:val="SecHeading"/>
    <w:rsid w:val="00145881"/>
    <w:pPr>
      <w:numPr>
        <w:ilvl w:val="2"/>
      </w:numPr>
    </w:pPr>
    <w:rPr>
      <w:bCs w:val="0"/>
      <w:color w:val="auto"/>
    </w:rPr>
  </w:style>
  <w:style w:type="paragraph" w:customStyle="1" w:styleId="Subheading2">
    <w:name w:val="Subheading2"/>
    <w:basedOn w:val="SecHeading"/>
    <w:rsid w:val="00145881"/>
    <w:pPr>
      <w:numPr>
        <w:ilvl w:val="3"/>
      </w:numPr>
      <w:tabs>
        <w:tab w:val="clear" w:pos="6480"/>
        <w:tab w:val="num" w:pos="2376"/>
      </w:tabs>
      <w:ind w:left="2376"/>
    </w:pPr>
    <w:rPr>
      <w:bCs w:val="0"/>
      <w:color w:val="auto"/>
    </w:rPr>
  </w:style>
  <w:style w:type="paragraph" w:customStyle="1" w:styleId="subpar">
    <w:name w:val="subpar"/>
    <w:basedOn w:val="BodyTextIndent3"/>
    <w:link w:val="subparChar"/>
    <w:rsid w:val="00145881"/>
    <w:pPr>
      <w:numPr>
        <w:ilvl w:val="2"/>
        <w:numId w:val="1"/>
      </w:numPr>
      <w:spacing w:before="120" w:line="240" w:lineRule="auto"/>
      <w:jc w:val="both"/>
      <w:outlineLvl w:val="2"/>
    </w:pPr>
    <w:rPr>
      <w:rFonts w:ascii="Times New Roman" w:hAnsi="Times New Roman" w:cs="Times New Roman"/>
      <w:sz w:val="24"/>
    </w:rPr>
  </w:style>
  <w:style w:type="character" w:customStyle="1" w:styleId="subparChar">
    <w:name w:val="subpar Char"/>
    <w:basedOn w:val="DefaultParagraphFont"/>
    <w:link w:val="subpar"/>
    <w:rsid w:val="00145881"/>
    <w:rPr>
      <w:rFonts w:ascii="Times New Roman" w:eastAsiaTheme="minorEastAsia" w:hAnsi="Times New Roman" w:cs="Times New Roman"/>
      <w:sz w:val="24"/>
      <w:szCs w:val="16"/>
      <w:lang w:val="en-GB" w:eastAsia="en-GB"/>
    </w:rPr>
  </w:style>
  <w:style w:type="paragraph" w:customStyle="1" w:styleId="SubSubPar">
    <w:name w:val="SubSubPar"/>
    <w:basedOn w:val="subpar"/>
    <w:link w:val="SubSubParChar"/>
    <w:uiPriority w:val="99"/>
    <w:rsid w:val="00145881"/>
    <w:pPr>
      <w:numPr>
        <w:ilvl w:val="3"/>
      </w:numPr>
      <w:tabs>
        <w:tab w:val="clear" w:pos="3024"/>
        <w:tab w:val="left" w:pos="0"/>
        <w:tab w:val="num" w:pos="1296"/>
      </w:tabs>
      <w:ind w:left="1296"/>
    </w:pPr>
  </w:style>
  <w:style w:type="character" w:customStyle="1" w:styleId="SubSubParChar">
    <w:name w:val="SubSubPar Char"/>
    <w:basedOn w:val="DefaultParagraphFont"/>
    <w:link w:val="SubSubPar"/>
    <w:uiPriority w:val="99"/>
    <w:rsid w:val="00145881"/>
    <w:rPr>
      <w:rFonts w:ascii="Times New Roman" w:eastAsiaTheme="minorEastAsia" w:hAnsi="Times New Roman" w:cs="Times New Roman"/>
      <w:sz w:val="24"/>
      <w:szCs w:val="16"/>
      <w:lang w:val="en-GB" w:eastAsia="en-GB"/>
    </w:rPr>
  </w:style>
  <w:style w:type="character" w:styleId="BookTitle">
    <w:name w:val="Book Title"/>
    <w:basedOn w:val="DefaultParagraphFont"/>
    <w:uiPriority w:val="33"/>
    <w:qFormat/>
    <w:rsid w:val="00145881"/>
    <w:rPr>
      <w:b/>
      <w:bCs/>
      <w:smallCaps/>
      <w:spacing w:val="5"/>
    </w:rPr>
  </w:style>
  <w:style w:type="paragraph" w:styleId="Footer">
    <w:name w:val="footer"/>
    <w:basedOn w:val="Normal"/>
    <w:link w:val="FooterChar"/>
    <w:uiPriority w:val="99"/>
    <w:unhideWhenUsed/>
    <w:rsid w:val="001458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5881"/>
    <w:rPr>
      <w:rFonts w:eastAsiaTheme="minorEastAsia"/>
      <w:lang w:val="en-GB" w:eastAsia="en-GB"/>
    </w:rPr>
  </w:style>
  <w:style w:type="paragraph" w:customStyle="1" w:styleId="Newpage">
    <w:name w:val="Newpage"/>
    <w:basedOn w:val="Chapter"/>
    <w:rsid w:val="00145881"/>
    <w:pPr>
      <w:numPr>
        <w:numId w:val="0"/>
      </w:numPr>
      <w:tabs>
        <w:tab w:val="clear" w:pos="1440"/>
        <w:tab w:val="left" w:pos="3060"/>
      </w:tabs>
      <w:spacing w:after="0"/>
    </w:pPr>
    <w:rPr>
      <w:lang w:val="es-ES" w:eastAsia="en-US"/>
    </w:rPr>
  </w:style>
  <w:style w:type="paragraph" w:styleId="BodyTextIndent">
    <w:name w:val="Body Text Indent"/>
    <w:basedOn w:val="Normal"/>
    <w:link w:val="BodyTextIndentChar"/>
    <w:uiPriority w:val="99"/>
    <w:semiHidden/>
    <w:unhideWhenUsed/>
    <w:rsid w:val="00145881"/>
    <w:pPr>
      <w:spacing w:after="120"/>
      <w:ind w:left="360"/>
    </w:pPr>
  </w:style>
  <w:style w:type="character" w:customStyle="1" w:styleId="BodyTextIndentChar">
    <w:name w:val="Body Text Indent Char"/>
    <w:basedOn w:val="DefaultParagraphFont"/>
    <w:link w:val="BodyTextIndent"/>
    <w:uiPriority w:val="99"/>
    <w:semiHidden/>
    <w:rsid w:val="00145881"/>
    <w:rPr>
      <w:rFonts w:eastAsiaTheme="minorEastAsia"/>
      <w:lang w:val="en-GB" w:eastAsia="en-GB"/>
    </w:rPr>
  </w:style>
  <w:style w:type="paragraph" w:styleId="BodyTextIndent3">
    <w:name w:val="Body Text Indent 3"/>
    <w:basedOn w:val="Normal"/>
    <w:link w:val="BodyTextIndent3Char"/>
    <w:uiPriority w:val="99"/>
    <w:semiHidden/>
    <w:unhideWhenUsed/>
    <w:rsid w:val="0014588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45881"/>
    <w:rPr>
      <w:rFonts w:eastAsiaTheme="minorEastAsia"/>
      <w:sz w:val="16"/>
      <w:szCs w:val="16"/>
      <w:lang w:val="en-GB" w:eastAsia="en-GB"/>
    </w:rPr>
  </w:style>
  <w:style w:type="paragraph" w:styleId="ListParagraph">
    <w:name w:val="List Paragraph"/>
    <w:basedOn w:val="Normal"/>
    <w:link w:val="ListParagraphChar"/>
    <w:uiPriority w:val="34"/>
    <w:qFormat/>
    <w:rsid w:val="00145881"/>
    <w:pPr>
      <w:spacing w:after="0" w:line="240" w:lineRule="auto"/>
      <w:ind w:left="720"/>
      <w:contextualSpacing/>
    </w:pPr>
    <w:rPr>
      <w:rFonts w:ascii="Times New Roman" w:eastAsia="Times New Roman" w:hAnsi="Times New Roman" w:cs="Times New Roman"/>
      <w:sz w:val="24"/>
      <w:szCs w:val="20"/>
      <w:lang w:val="es-ES_tradnl" w:eastAsia="en-US"/>
    </w:rPr>
  </w:style>
  <w:style w:type="character" w:styleId="Hyperlink">
    <w:name w:val="Hyperlink"/>
    <w:basedOn w:val="DefaultParagraphFont"/>
    <w:uiPriority w:val="99"/>
    <w:rsid w:val="00145881"/>
    <w:rPr>
      <w:color w:val="0000FF"/>
      <w:u w:val="single"/>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link w:val="Char2"/>
    <w:uiPriority w:val="99"/>
    <w:qFormat/>
    <w:rsid w:val="00145881"/>
    <w:rPr>
      <w:vertAlign w:val="superscript"/>
    </w:rPr>
  </w:style>
  <w:style w:type="paragraph" w:customStyle="1" w:styleId="Char2">
    <w:name w:val="Char2"/>
    <w:basedOn w:val="Normal"/>
    <w:link w:val="FootnoteReference"/>
    <w:uiPriority w:val="99"/>
    <w:rsid w:val="00145881"/>
    <w:pPr>
      <w:spacing w:after="160" w:line="240" w:lineRule="exact"/>
    </w:pPr>
    <w:rPr>
      <w:rFonts w:eastAsiaTheme="minorHAnsi"/>
      <w:vertAlign w:val="superscript"/>
      <w:lang w:val="en-US" w:eastAsia="en-US"/>
    </w:rPr>
  </w:style>
  <w:style w:type="character" w:customStyle="1" w:styleId="ListParagraphChar">
    <w:name w:val="List Paragraph Char"/>
    <w:link w:val="ListParagraph"/>
    <w:uiPriority w:val="34"/>
    <w:locked/>
    <w:rsid w:val="00145881"/>
    <w:rPr>
      <w:rFonts w:ascii="Times New Roman" w:eastAsia="Times New Roman" w:hAnsi="Times New Roman" w:cs="Times New Roman"/>
      <w:sz w:val="24"/>
      <w:szCs w:val="20"/>
      <w:lang w:val="es-ES_tradnl"/>
    </w:rPr>
  </w:style>
  <w:style w:type="character" w:styleId="EndnoteReference">
    <w:name w:val="endnote reference"/>
    <w:basedOn w:val="DefaultParagraphFont"/>
    <w:uiPriority w:val="99"/>
    <w:semiHidden/>
    <w:unhideWhenUsed/>
    <w:rsid w:val="00145881"/>
    <w:rPr>
      <w:vertAlign w:val="superscript"/>
    </w:rPr>
  </w:style>
  <w:style w:type="character" w:styleId="CommentReference">
    <w:name w:val="annotation reference"/>
    <w:basedOn w:val="DefaultParagraphFont"/>
    <w:uiPriority w:val="99"/>
    <w:semiHidden/>
    <w:unhideWhenUsed/>
    <w:rsid w:val="00145881"/>
    <w:rPr>
      <w:sz w:val="16"/>
      <w:szCs w:val="16"/>
    </w:rPr>
  </w:style>
  <w:style w:type="paragraph" w:styleId="CommentText">
    <w:name w:val="annotation text"/>
    <w:basedOn w:val="Normal"/>
    <w:link w:val="CommentTextChar"/>
    <w:uiPriority w:val="99"/>
    <w:unhideWhenUsed/>
    <w:rsid w:val="00145881"/>
    <w:pPr>
      <w:spacing w:line="240" w:lineRule="auto"/>
    </w:pPr>
    <w:rPr>
      <w:sz w:val="20"/>
      <w:szCs w:val="20"/>
    </w:rPr>
  </w:style>
  <w:style w:type="character" w:customStyle="1" w:styleId="CommentTextChar">
    <w:name w:val="Comment Text Char"/>
    <w:basedOn w:val="DefaultParagraphFont"/>
    <w:link w:val="CommentText"/>
    <w:uiPriority w:val="99"/>
    <w:rsid w:val="00145881"/>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145881"/>
    <w:rPr>
      <w:b/>
      <w:bCs/>
    </w:rPr>
  </w:style>
  <w:style w:type="character" w:customStyle="1" w:styleId="CommentSubjectChar">
    <w:name w:val="Comment Subject Char"/>
    <w:basedOn w:val="CommentTextChar"/>
    <w:link w:val="CommentSubject"/>
    <w:uiPriority w:val="99"/>
    <w:semiHidden/>
    <w:rsid w:val="00145881"/>
    <w:rPr>
      <w:rFonts w:eastAsiaTheme="minorEastAsia"/>
      <w:b/>
      <w:bCs/>
      <w:sz w:val="20"/>
      <w:szCs w:val="20"/>
      <w:lang w:val="en-GB" w:eastAsia="en-GB"/>
    </w:rPr>
  </w:style>
  <w:style w:type="character" w:styleId="UnresolvedMention">
    <w:name w:val="Unresolved Mention"/>
    <w:basedOn w:val="DefaultParagraphFont"/>
    <w:uiPriority w:val="99"/>
    <w:unhideWhenUsed/>
    <w:rsid w:val="00145881"/>
    <w:rPr>
      <w:color w:val="605E5C"/>
      <w:shd w:val="clear" w:color="auto" w:fill="E1DFDD"/>
    </w:rPr>
  </w:style>
  <w:style w:type="character" w:styleId="Mention">
    <w:name w:val="Mention"/>
    <w:basedOn w:val="DefaultParagraphFont"/>
    <w:uiPriority w:val="99"/>
    <w:unhideWhenUsed/>
    <w:rsid w:val="00145881"/>
    <w:rPr>
      <w:color w:val="2B579A"/>
      <w:shd w:val="clear" w:color="auto" w:fill="E1DFDD"/>
    </w:rPr>
  </w:style>
  <w:style w:type="paragraph" w:styleId="Header">
    <w:name w:val="header"/>
    <w:basedOn w:val="Normal"/>
    <w:link w:val="HeaderChar"/>
    <w:uiPriority w:val="99"/>
    <w:unhideWhenUsed/>
    <w:rsid w:val="001458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5881"/>
    <w:rPr>
      <w:rFonts w:eastAsiaTheme="minorEastAsia"/>
      <w:lang w:val="en-GB" w:eastAsia="en-GB"/>
    </w:rPr>
  </w:style>
  <w:style w:type="paragraph" w:styleId="BodyText">
    <w:name w:val="Body Text"/>
    <w:basedOn w:val="Normal"/>
    <w:link w:val="BodyTextChar"/>
    <w:uiPriority w:val="99"/>
    <w:semiHidden/>
    <w:unhideWhenUsed/>
    <w:rsid w:val="00C77236"/>
    <w:pPr>
      <w:spacing w:after="120"/>
    </w:pPr>
  </w:style>
  <w:style w:type="character" w:customStyle="1" w:styleId="BodyTextChar">
    <w:name w:val="Body Text Char"/>
    <w:basedOn w:val="DefaultParagraphFont"/>
    <w:link w:val="BodyText"/>
    <w:uiPriority w:val="99"/>
    <w:semiHidden/>
    <w:rsid w:val="00C77236"/>
    <w:rPr>
      <w:rFonts w:eastAsiaTheme="minorEastAsia"/>
      <w:lang w:val="en-GB" w:eastAsia="en-GB"/>
    </w:rPr>
  </w:style>
  <w:style w:type="character" w:styleId="FollowedHyperlink">
    <w:name w:val="FollowedHyperlink"/>
    <w:basedOn w:val="DefaultParagraphFont"/>
    <w:uiPriority w:val="99"/>
    <w:semiHidden/>
    <w:unhideWhenUsed/>
    <w:rsid w:val="003940C4"/>
    <w:rPr>
      <w:color w:val="954F72" w:themeColor="followedHyperlink"/>
      <w:u w:val="single"/>
    </w:rPr>
  </w:style>
  <w:style w:type="paragraph" w:styleId="NormalWeb">
    <w:name w:val="Normal (Web)"/>
    <w:basedOn w:val="Normal"/>
    <w:uiPriority w:val="99"/>
    <w:unhideWhenUsed/>
    <w:rsid w:val="00983D44"/>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3773971">
      <w:bodyDiv w:val="1"/>
      <w:marLeft w:val="0"/>
      <w:marRight w:val="0"/>
      <w:marTop w:val="0"/>
      <w:marBottom w:val="0"/>
      <w:divBdr>
        <w:top w:val="none" w:sz="0" w:space="0" w:color="auto"/>
        <w:left w:val="none" w:sz="0" w:space="0" w:color="auto"/>
        <w:bottom w:val="none" w:sz="0" w:space="0" w:color="auto"/>
        <w:right w:val="none" w:sz="0" w:space="0" w:color="auto"/>
      </w:divBdr>
    </w:div>
    <w:div w:id="1874884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2.xml"/><Relationship Id="rId26" Type="http://schemas.openxmlformats.org/officeDocument/2006/relationships/customXml" Target="../customXml/item10.xml"/><Relationship Id="rId3" Type="http://schemas.openxmlformats.org/officeDocument/2006/relationships/customXml" Target="../customXml/item3.xml"/><Relationship Id="rId21" Type="http://schemas.openxmlformats.org/officeDocument/2006/relationships/hyperlink" Target="http://idbdocs.iadb.org/wsdocs/getDocument.aspx?DOCNUM=EZSHARE-780044944-43" TargetMode="Externa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oter" Target="footer1.xml"/><Relationship Id="rId25" Type="http://schemas.openxmlformats.org/officeDocument/2006/relationships/theme" Target="theme/theme1.xml"/><Relationship Id="rId20" Type="http://schemas.openxmlformats.org/officeDocument/2006/relationships/hyperlink" Target="http://idbdocs.iadb.org/wsdocs/getDocument.aspx?DOCNUM=EZSHARE-780044944-49" TargetMode="Externa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fontTable" Target="fontTable.xml"/><Relationship Id="rId23" Type="http://schemas.openxmlformats.org/officeDocument/2006/relationships/image" Target="media/image1.emf"/><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hyperlink" Target="http://idbdocs.iadb.org/wsdocs/getDocument.aspx?DOCNUM=EZSHARE-780044944-39" TargetMode="External"/><Relationship Id="rId22" Type="http://schemas.openxmlformats.org/officeDocument/2006/relationships/hyperlink" Target="http://idbdocs.iadb.org/wsdocs/getDocument.aspx?DOCNUM=EZSHARE-780044944-44" TargetMode="External"/><Relationship Id="rId9" Type="http://schemas.openxmlformats.org/officeDocument/2006/relationships/customXml" Target="../customXml/item9.xml"/><Relationship Id="rId1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10.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14E89286345F4BA26AFD550E3F34D7" ma:contentTypeVersion="222" ma:contentTypeDescription="A content type to manage public (operations) IDB documents" ma:contentTypeScope="" ma:versionID="eea864a517a8a7e9c5c9d40b8964014d">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E78E6A9A0BEF484C8FC88BD45A72E412" ma:contentTypeVersion="12" ma:contentTypeDescription="Create a new document." ma:contentTypeScope="" ma:versionID="d1c2a1b3a1c6754148643a88f4f3441e">
  <xsd:schema xmlns:xsd="http://www.w3.org/2001/XMLSchema" xmlns:xs="http://www.w3.org/2001/XMLSchema" xmlns:p="http://schemas.microsoft.com/office/2006/metadata/properties" xmlns:ns3="00a23cd6-e6f6-4b48-b378-fe6b5d322c53" xmlns:ns4="d6aabb3d-2200-4d75-8f41-4312ac664642" targetNamespace="http://schemas.microsoft.com/office/2006/metadata/properties" ma:root="true" ma:fieldsID="0bcaab5ab499bc85b4e77b4866f18c8f" ns3:_="" ns4:_="">
    <xsd:import namespace="00a23cd6-e6f6-4b48-b378-fe6b5d322c53"/>
    <xsd:import namespace="d6aabb3d-2200-4d75-8f41-4312ac66464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23cd6-e6f6-4b48-b378-fe6b5d322c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aabb3d-2200-4d75-8f41-4312ac66464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E78E6A9A0BEF484C8FC88BD45A72E412" ma:contentTypeVersion="11" ma:contentTypeDescription="Create a new document." ma:contentTypeScope="" ma:versionID="90cbd47928424af77812d5b3c80be0c2">
  <xsd:schema xmlns:xsd="http://www.w3.org/2001/XMLSchema" xmlns:xs="http://www.w3.org/2001/XMLSchema" xmlns:p="http://schemas.microsoft.com/office/2006/metadata/properties" xmlns:ns3="00a23cd6-e6f6-4b48-b378-fe6b5d322c53" xmlns:ns4="d6aabb3d-2200-4d75-8f41-4312ac664642" targetNamespace="http://schemas.microsoft.com/office/2006/metadata/properties" ma:root="true" ma:fieldsID="3bf581c03ae24321c699fcaadb562d35" ns3:_="" ns4:_="">
    <xsd:import namespace="00a23cd6-e6f6-4b48-b378-fe6b5d322c53"/>
    <xsd:import namespace="d6aabb3d-2200-4d75-8f41-4312ac66464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23cd6-e6f6-4b48-b378-fe6b5d322c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aabb3d-2200-4d75-8f41-4312ac66464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cument" ma:contentTypeID="0x010100E78E6A9A0BEF484C8FC88BD45A72E412" ma:contentTypeVersion="11" ma:contentTypeDescription="Create a new document." ma:contentTypeScope="" ma:versionID="90cbd47928424af77812d5b3c80be0c2">
  <xsd:schema xmlns:xsd="http://www.w3.org/2001/XMLSchema" xmlns:xs="http://www.w3.org/2001/XMLSchema" xmlns:p="http://schemas.microsoft.com/office/2006/metadata/properties" xmlns:ns3="00a23cd6-e6f6-4b48-b378-fe6b5d322c53" xmlns:ns4="d6aabb3d-2200-4d75-8f41-4312ac664642" targetNamespace="http://schemas.microsoft.com/office/2006/metadata/properties" ma:root="true" ma:fieldsID="3bf581c03ae24321c699fcaadb562d35" ns3:_="" ns4:_="">
    <xsd:import namespace="00a23cd6-e6f6-4b48-b378-fe6b5d322c53"/>
    <xsd:import namespace="d6aabb3d-2200-4d75-8f41-4312ac66464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23cd6-e6f6-4b48-b378-fe6b5d322c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aabb3d-2200-4d75-8f41-4312ac66464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Division_x0020_or_x0020_Unit xmlns="cdc7663a-08f0-4737-9e8c-148ce897a09c">IFD/CMF</Division_x0020_or_x0020_Unit>
    <Key_x0020_Document xmlns="cdc7663a-08f0-4737-9e8c-148ce897a09c" xsi:nil="true"/>
    <_dlc_DocId xmlns="cdc7663a-08f0-4737-9e8c-148ce897a09c">EZSHARE-780044944-48</_dlc_DocId>
    <Document_x0020_Author xmlns="cdc7663a-08f0-4737-9e8c-148ce897a09c">Lozano Miranda Ana Lucia</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ES-L1138;</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usiness_x0020_Area xmlns="cdc7663a-08f0-4737-9e8c-148ce897a09c" xsi:nil="true"/>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_dlc_DocIdUrl xmlns="cdc7663a-08f0-4737-9e8c-148ce897a09c">
      <Url>https://idbg.sharepoint.com/teams/EZ-ES-LON/ES-L1138/_layouts/15/DocIdRedir.aspx?ID=EZSHARE-780044944-48</Url>
      <Description>EZSHARE-780044944-48</Description>
    </_dlc_DocIdUrl>
    <Phase xmlns="cdc7663a-08f0-4737-9e8c-148ce897a09c" xsi:nil="true"/>
    <Other_x0020_Author xmlns="cdc7663a-08f0-4737-9e8c-148ce897a09c" xsi:nil="true"/>
    <IDBDocs_x0020_Number xmlns="cdc7663a-08f0-4737-9e8c-148ce897a09c" xsi:nil="true"/>
    <TaxCatchAll xmlns="cdc7663a-08f0-4737-9e8c-148ce897a09c">
      <Value>50</Value>
      <Value>27</Value>
      <Value>24</Value>
      <Value>278</Value>
      <Value>1</Value>
      <Value>51</Value>
    </TaxCatchAll>
    <Fiscal_x0020_Year_x0020_IDB xmlns="cdc7663a-08f0-4737-9e8c-148ce897a09c">2020</Fiscal_x0020_Year_x0020_IDB>
    <Operation_x0020_Type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FF9ED1E8-4F3F-46A1-B27C-112C5A424325}"/>
</file>

<file path=customXml/itemProps10.xml><?xml version="1.0" encoding="utf-8"?>
<ds:datastoreItem xmlns:ds="http://schemas.openxmlformats.org/officeDocument/2006/customXml" ds:itemID="{BD89480C-93FB-4DF9-A144-5D15C620509E}"/>
</file>

<file path=customXml/itemProps2.xml><?xml version="1.0" encoding="utf-8"?>
<ds:datastoreItem xmlns:ds="http://schemas.openxmlformats.org/officeDocument/2006/customXml" ds:itemID="{4F317594-B50F-4F74-96CB-B8F6ED97B5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a23cd6-e6f6-4b48-b378-fe6b5d322c53"/>
    <ds:schemaRef ds:uri="d6aabb3d-2200-4d75-8f41-4312ac6646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E2DA30-31B2-447F-AF0E-E1B78C65B4F1}">
  <ds:schemaRefs>
    <ds:schemaRef ds:uri="http://schemas.microsoft.com/sharepoint/events"/>
  </ds:schemaRefs>
</ds:datastoreItem>
</file>

<file path=customXml/itemProps4.xml><?xml version="1.0" encoding="utf-8"?>
<ds:datastoreItem xmlns:ds="http://schemas.openxmlformats.org/officeDocument/2006/customXml" ds:itemID="{6D17BD45-072E-4CDD-94D2-D647E10DD4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a23cd6-e6f6-4b48-b378-fe6b5d322c53"/>
    <ds:schemaRef ds:uri="d6aabb3d-2200-4d75-8f41-4312ac6646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C60906A-133B-4E69-AD06-A657662C64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a23cd6-e6f6-4b48-b378-fe6b5d322c53"/>
    <ds:schemaRef ds:uri="d6aabb3d-2200-4d75-8f41-4312ac6646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11A31C5-F7E6-43E7-8793-9DBE3E1F7F12}">
  <ds:schemaRefs>
    <ds:schemaRef ds:uri="http://schemas.openxmlformats.org/officeDocument/2006/bibliography"/>
  </ds:schemaRefs>
</ds:datastoreItem>
</file>

<file path=customXml/itemProps7.xml><?xml version="1.0" encoding="utf-8"?>
<ds:datastoreItem xmlns:ds="http://schemas.openxmlformats.org/officeDocument/2006/customXml" ds:itemID="{E77785E1-4FF3-48E2-A45C-95DC0A703A4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D3C1CCD2-00CB-4D79-BD0D-108F69A0790E}">
  <ds:schemaRefs>
    <ds:schemaRef ds:uri="http://schemas.microsoft.com/sharepoint/v3/contenttype/forms"/>
  </ds:schemaRefs>
</ds:datastoreItem>
</file>

<file path=customXml/itemProps9.xml><?xml version="1.0" encoding="utf-8"?>
<ds:datastoreItem xmlns:ds="http://schemas.openxmlformats.org/officeDocument/2006/customXml" ds:itemID="{5122EC1E-C14D-4153-A3BA-CE0BFEDB88B9}"/>
</file>

<file path=docProps/app.xml><?xml version="1.0" encoding="utf-8"?>
<Properties xmlns="http://schemas.openxmlformats.org/officeDocument/2006/extended-properties" xmlns:vt="http://schemas.openxmlformats.org/officeDocument/2006/docPropsVTypes">
  <Template>Normal</Template>
  <TotalTime>12</TotalTime>
  <Pages>25</Pages>
  <Words>8804</Words>
  <Characters>50183</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58870</CharactersWithSpaces>
  <SharedDoc>false</SharedDoc>
  <HLinks>
    <vt:vector size="90" baseType="variant">
      <vt:variant>
        <vt:i4>12386324</vt:i4>
      </vt:variant>
      <vt:variant>
        <vt:i4>48</vt:i4>
      </vt:variant>
      <vt:variant>
        <vt:i4>0</vt:i4>
      </vt:variant>
      <vt:variant>
        <vt:i4>5</vt:i4>
      </vt:variant>
      <vt:variant>
        <vt:lpwstr>https://idbg.sharepoint.com/teams/EZ-ES-LON/ES-L1138/15 LifeCycle Milestones/ES-L1138_POD_EEO8_Informe de Terminación de Proyecto ES-L1089.pdf</vt:lpwstr>
      </vt:variant>
      <vt:variant>
        <vt:lpwstr/>
      </vt:variant>
      <vt:variant>
        <vt:i4>4849737</vt:i4>
      </vt:variant>
      <vt:variant>
        <vt:i4>45</vt:i4>
      </vt:variant>
      <vt:variant>
        <vt:i4>0</vt:i4>
      </vt:variant>
      <vt:variant>
        <vt:i4>5</vt:i4>
      </vt:variant>
      <vt:variant>
        <vt:lpwstr>https://idbg.sharepoint.com/:p:/r/teams/EZ-ES-LON/ES-L1138/_layouts/15/Doc.aspx?sourcedoc=%7B0A134910-2692-409C-A52C-6377433A913D%7D&amp;file=ES-LL138_POD_EEO%236_An%C3%A1lisis%20Cr%C3%A9dito%20Productivo%20e%20Inclusi%C3%B3n%20Financiera.pptx&amp;action=edit&amp;mobileredirect=true</vt:lpwstr>
      </vt:variant>
      <vt:variant>
        <vt:lpwstr/>
      </vt:variant>
      <vt:variant>
        <vt:i4>7274611</vt:i4>
      </vt:variant>
      <vt:variant>
        <vt:i4>42</vt:i4>
      </vt:variant>
      <vt:variant>
        <vt:i4>0</vt:i4>
      </vt:variant>
      <vt:variant>
        <vt:i4>5</vt:i4>
      </vt:variant>
      <vt:variant>
        <vt:lpwstr>http://idbdocs.iadb.org/wsdocs/getDocument.aspx?DOCNUM=ezshare-780044944-49</vt:lpwstr>
      </vt:variant>
      <vt:variant>
        <vt:lpwstr/>
      </vt:variant>
      <vt:variant>
        <vt:i4>6684887</vt:i4>
      </vt:variant>
      <vt:variant>
        <vt:i4>39</vt:i4>
      </vt:variant>
      <vt:variant>
        <vt:i4>0</vt:i4>
      </vt:variant>
      <vt:variant>
        <vt:i4>5</vt:i4>
      </vt:variant>
      <vt:variant>
        <vt:lpwstr>https://idbg.sharepoint.com/teams/EZ-ES-LON/ES-L1138/15 LifeCycle Milestones/ES-L1138_POD_EEO4_Demanda de Crédito de las MIPYME en El Salvador.pdf</vt:lpwstr>
      </vt:variant>
      <vt:variant>
        <vt:lpwstr/>
      </vt:variant>
      <vt:variant>
        <vt:i4>6619193</vt:i4>
      </vt:variant>
      <vt:variant>
        <vt:i4>30</vt:i4>
      </vt:variant>
      <vt:variant>
        <vt:i4>0</vt:i4>
      </vt:variant>
      <vt:variant>
        <vt:i4>5</vt:i4>
      </vt:variant>
      <vt:variant>
        <vt:lpwstr>https://globalfindex.worldbank.org/</vt:lpwstr>
      </vt:variant>
      <vt:variant>
        <vt:lpwstr/>
      </vt:variant>
      <vt:variant>
        <vt:i4>3539005</vt:i4>
      </vt:variant>
      <vt:variant>
        <vt:i4>27</vt:i4>
      </vt:variant>
      <vt:variant>
        <vt:i4>0</vt:i4>
      </vt:variant>
      <vt:variant>
        <vt:i4>5</vt:i4>
      </vt:variant>
      <vt:variant>
        <vt:lpwstr>https://www.enterprisesurveys.org/</vt:lpwstr>
      </vt:variant>
      <vt:variant>
        <vt:lpwstr/>
      </vt:variant>
      <vt:variant>
        <vt:i4>8192060</vt:i4>
      </vt:variant>
      <vt:variant>
        <vt:i4>24</vt:i4>
      </vt:variant>
      <vt:variant>
        <vt:i4>0</vt:i4>
      </vt:variant>
      <vt:variant>
        <vt:i4>5</vt:i4>
      </vt:variant>
      <vt:variant>
        <vt:lpwstr>https://www.cepal.org/es/comunicados/covid-19-tendra-graves-efectos-la-economia-mundial-impactara-paises-america-latina</vt:lpwstr>
      </vt:variant>
      <vt:variant>
        <vt:lpwstr/>
      </vt:variant>
      <vt:variant>
        <vt:i4>262229</vt:i4>
      </vt:variant>
      <vt:variant>
        <vt:i4>21</vt:i4>
      </vt:variant>
      <vt:variant>
        <vt:i4>0</vt:i4>
      </vt:variant>
      <vt:variant>
        <vt:i4>5</vt:i4>
      </vt:variant>
      <vt:variant>
        <vt:lpwstr>https://idbg.sharepoint.com/:w:/r/teams/EZ-ES-LON/ES-L1138/_layouts/15/Doc.aspx?sourcedoc=%7B8415C0EA-E264-4972-AB67-A672DDE2D3E8%7D&amp;file=ES-L1138_POD_EEO%232_Definiciones%20por%20Tama%C3%B1o%20de%20Empresa.docx&amp;action=default&amp;mobileredirect=true</vt:lpwstr>
      </vt:variant>
      <vt:variant>
        <vt:lpwstr/>
      </vt:variant>
      <vt:variant>
        <vt:i4>6619193</vt:i4>
      </vt:variant>
      <vt:variant>
        <vt:i4>18</vt:i4>
      </vt:variant>
      <vt:variant>
        <vt:i4>0</vt:i4>
      </vt:variant>
      <vt:variant>
        <vt:i4>5</vt:i4>
      </vt:variant>
      <vt:variant>
        <vt:lpwstr>https://globalfindex.worldbank.org/</vt:lpwstr>
      </vt:variant>
      <vt:variant>
        <vt:lpwstr/>
      </vt:variant>
      <vt:variant>
        <vt:i4>851980</vt:i4>
      </vt:variant>
      <vt:variant>
        <vt:i4>15</vt:i4>
      </vt:variant>
      <vt:variant>
        <vt:i4>0</vt:i4>
      </vt:variant>
      <vt:variant>
        <vt:i4>5</vt:i4>
      </vt:variant>
      <vt:variant>
        <vt:lpwstr>https://www.bcr.gob.sv/regulaciones/</vt:lpwstr>
      </vt:variant>
      <vt:variant>
        <vt:lpwstr/>
      </vt:variant>
      <vt:variant>
        <vt:i4>65611</vt:i4>
      </vt:variant>
      <vt:variant>
        <vt:i4>12</vt:i4>
      </vt:variant>
      <vt:variant>
        <vt:i4>0</vt:i4>
      </vt:variant>
      <vt:variant>
        <vt:i4>5</vt:i4>
      </vt:variant>
      <vt:variant>
        <vt:lpwstr>https://www.diariooficial.gob.sv/diarios/do-2020/03-marzo/14-03-2020.pdf</vt:lpwstr>
      </vt:variant>
      <vt:variant>
        <vt:lpwstr/>
      </vt:variant>
      <vt:variant>
        <vt:i4>65611</vt:i4>
      </vt:variant>
      <vt:variant>
        <vt:i4>9</vt:i4>
      </vt:variant>
      <vt:variant>
        <vt:i4>0</vt:i4>
      </vt:variant>
      <vt:variant>
        <vt:i4>5</vt:i4>
      </vt:variant>
      <vt:variant>
        <vt:lpwstr>https://www.diariooficial.gob.sv/diarios/do-2020/03-marzo/14-03-2020.pdf</vt:lpwstr>
      </vt:variant>
      <vt:variant>
        <vt:lpwstr/>
      </vt:variant>
      <vt:variant>
        <vt:i4>4718716</vt:i4>
      </vt:variant>
      <vt:variant>
        <vt:i4>6</vt:i4>
      </vt:variant>
      <vt:variant>
        <vt:i4>0</vt:i4>
      </vt:variant>
      <vt:variant>
        <vt:i4>5</vt:i4>
      </vt:variant>
      <vt:variant>
        <vt:lpwstr>https://www.bcr.gob.sv/esp/index.php?option=com_content&amp;view=category&amp;id=78&amp;Itemid=163</vt:lpwstr>
      </vt:variant>
      <vt:variant>
        <vt:lpwstr/>
      </vt:variant>
      <vt:variant>
        <vt:i4>2818097</vt:i4>
      </vt:variant>
      <vt:variant>
        <vt:i4>3</vt:i4>
      </vt:variant>
      <vt:variant>
        <vt:i4>0</vt:i4>
      </vt:variant>
      <vt:variant>
        <vt:i4>5</vt:i4>
      </vt:variant>
      <vt:variant>
        <vt:lpwstr>http://www.secmca.org/</vt:lpwstr>
      </vt:variant>
      <vt:variant>
        <vt:lpwstr/>
      </vt:variant>
      <vt:variant>
        <vt:i4>7995516</vt:i4>
      </vt:variant>
      <vt:variant>
        <vt:i4>0</vt:i4>
      </vt:variant>
      <vt:variant>
        <vt:i4>0</vt:i4>
      </vt:variant>
      <vt:variant>
        <vt:i4>5</vt:i4>
      </vt:variant>
      <vt:variant>
        <vt:lpwstr>https://www.imf.org/external/pubs/ft/weo/2020/01/weodata/index.aspx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Cabrera Escalante, Maria</dc:creator>
  <cp:keywords>Para DIR</cp:keywords>
  <dc:description/>
  <cp:lastModifiedBy>Lozano Miranda, Ana Lucia</cp:lastModifiedBy>
  <cp:revision>6</cp:revision>
  <dcterms:created xsi:type="dcterms:W3CDTF">2020-07-02T21:11:00Z</dcterms:created>
  <dcterms:modified xsi:type="dcterms:W3CDTF">2020-07-08T20:43:00Z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278;#Para DIR|7b047d7e-33c0-4de8-be6b-a35c7df914f1</vt:lpwstr>
  </property>
  <property fmtid="{D5CDD505-2E9C-101B-9397-08002B2CF9AE}" pid="4" name="TaxKeywordTaxHTField">
    <vt:lpwstr>Para DIR|7b047d7e-33c0-4de8-be6b-a35c7df914f1</vt:lpwstr>
  </property>
  <property fmtid="{D5CDD505-2E9C-101B-9397-08002B2CF9AE}" pid="5" name="Series Operations IDB">
    <vt:lpwstr/>
  </property>
  <property fmtid="{D5CDD505-2E9C-101B-9397-08002B2CF9AE}" pid="6" name="Sub-Sector">
    <vt:lpwstr>51;#BANKING MARKET DEVELOPMENT|5f08329b-f2bb-4342-ba75-eb4216b403d4</vt:lpwstr>
  </property>
  <property fmtid="{D5CDD505-2E9C-101B-9397-08002B2CF9AE}" pid="7" name="Country">
    <vt:lpwstr>24;#El Salvador|057b77a9-2761-48a1-b9dc-78a115c002df</vt:lpwstr>
  </property>
  <property fmtid="{D5CDD505-2E9C-101B-9397-08002B2CF9AE}" pid="8" name="_dlc_DocIdItemGuid">
    <vt:lpwstr>892ec3a2-bda9-4c6d-8f88-5744977936aa</vt:lpwstr>
  </property>
  <property fmtid="{D5CDD505-2E9C-101B-9397-08002B2CF9AE}" pid="9" name="Fund IDB">
    <vt:lpwstr>27;#ORC|c028a4b2-ad8b-4cf4-9cac-a2ae6a778e23</vt:lpwstr>
  </property>
  <property fmtid="{D5CDD505-2E9C-101B-9397-08002B2CF9AE}" pid="10" name="Sector IDB">
    <vt:lpwstr>50;#FINANCIAL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0x0101001A458A224826124E8B45B1D613300CFC00BC14E89286345F4BA26AFD550E3F34D7</vt:lpwstr>
  </property>
</Properties>
</file>