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304076" w14:textId="7425C7CE" w:rsidR="00586FC0" w:rsidRDefault="00586FC0" w:rsidP="00442F66">
      <w:pPr>
        <w:pStyle w:val="ListParagraph"/>
        <w:jc w:val="right"/>
        <w:rPr>
          <w:b/>
          <w:smallCaps/>
          <w:sz w:val="24"/>
          <w:szCs w:val="24"/>
        </w:rPr>
      </w:pPr>
      <w:bookmarkStart w:id="0" w:name="_GoBack"/>
      <w:bookmarkEnd w:id="0"/>
      <w:r>
        <w:rPr>
          <w:b/>
          <w:smallCaps/>
          <w:sz w:val="24"/>
          <w:szCs w:val="24"/>
        </w:rPr>
        <w:t>Annex A</w:t>
      </w:r>
    </w:p>
    <w:p w14:paraId="686F1AFA" w14:textId="6152CCB3" w:rsidR="00586FC0" w:rsidRDefault="00586FC0" w:rsidP="000674A3">
      <w:pPr>
        <w:pStyle w:val="ListParagraph"/>
        <w:jc w:val="center"/>
        <w:rPr>
          <w:b/>
          <w:smallCaps/>
          <w:sz w:val="24"/>
          <w:szCs w:val="24"/>
        </w:rPr>
      </w:pPr>
      <w:r>
        <w:rPr>
          <w:b/>
          <w:smallCaps/>
          <w:sz w:val="24"/>
          <w:szCs w:val="24"/>
        </w:rPr>
        <w:t>Regional</w:t>
      </w:r>
    </w:p>
    <w:p w14:paraId="096ACD4E" w14:textId="77777777" w:rsidR="00586FC0" w:rsidRDefault="00586FC0" w:rsidP="000674A3">
      <w:pPr>
        <w:pStyle w:val="ListParagraph"/>
        <w:jc w:val="center"/>
        <w:rPr>
          <w:b/>
          <w:smallCaps/>
          <w:sz w:val="24"/>
          <w:szCs w:val="24"/>
        </w:rPr>
      </w:pPr>
    </w:p>
    <w:p w14:paraId="79454D4B" w14:textId="77777777" w:rsidR="000674A3" w:rsidRDefault="000674A3" w:rsidP="000674A3">
      <w:pPr>
        <w:pStyle w:val="ListParagraph"/>
        <w:jc w:val="center"/>
        <w:rPr>
          <w:b/>
          <w:smallCaps/>
          <w:sz w:val="24"/>
          <w:szCs w:val="24"/>
        </w:rPr>
      </w:pPr>
      <w:r>
        <w:rPr>
          <w:b/>
          <w:smallCaps/>
          <w:sz w:val="24"/>
          <w:szCs w:val="24"/>
        </w:rPr>
        <w:t xml:space="preserve">Support to Agricultural Policy Analysis to improve Food Security, Competitiveness and Adaptation to Climate Change in the Caribbean Region </w:t>
      </w:r>
    </w:p>
    <w:p w14:paraId="72B33A1E" w14:textId="77777777" w:rsidR="000674A3" w:rsidRDefault="000674A3" w:rsidP="000674A3">
      <w:pPr>
        <w:pStyle w:val="ListParagraph"/>
        <w:jc w:val="center"/>
        <w:rPr>
          <w:smallCaps/>
          <w:sz w:val="24"/>
          <w:szCs w:val="24"/>
        </w:rPr>
      </w:pPr>
      <w:r>
        <w:rPr>
          <w:b/>
          <w:smallCaps/>
          <w:sz w:val="24"/>
          <w:szCs w:val="24"/>
        </w:rPr>
        <w:t>RG-T2622</w:t>
      </w:r>
    </w:p>
    <w:p w14:paraId="60C9851C" w14:textId="77777777" w:rsidR="000674A3" w:rsidRDefault="000674A3" w:rsidP="000674A3">
      <w:pPr>
        <w:pStyle w:val="ListParagraph"/>
        <w:jc w:val="center"/>
        <w:rPr>
          <w:b/>
          <w:smallCaps/>
          <w:sz w:val="24"/>
          <w:szCs w:val="24"/>
        </w:rPr>
      </w:pPr>
    </w:p>
    <w:p w14:paraId="2E0478E3" w14:textId="77777777" w:rsidR="000674A3" w:rsidRDefault="000674A3" w:rsidP="000674A3">
      <w:pPr>
        <w:jc w:val="center"/>
        <w:rPr>
          <w:b/>
          <w:smallCaps/>
          <w:sz w:val="24"/>
          <w:szCs w:val="24"/>
        </w:rPr>
      </w:pPr>
      <w:r>
        <w:rPr>
          <w:b/>
          <w:smallCaps/>
          <w:sz w:val="24"/>
          <w:szCs w:val="24"/>
        </w:rPr>
        <w:t>Terms of Reference</w:t>
      </w:r>
    </w:p>
    <w:p w14:paraId="56C25D43" w14:textId="77777777" w:rsidR="003E71E0" w:rsidRPr="00F6093F" w:rsidRDefault="003E71E0" w:rsidP="003E71E0">
      <w:pPr>
        <w:pStyle w:val="ListParagraph"/>
        <w:jc w:val="center"/>
        <w:rPr>
          <w:b/>
          <w:smallCaps/>
          <w:sz w:val="24"/>
          <w:szCs w:val="24"/>
        </w:rPr>
      </w:pPr>
    </w:p>
    <w:p w14:paraId="0BD8E727" w14:textId="77777777" w:rsidR="003E71E0" w:rsidRPr="00FA0093" w:rsidRDefault="003E71E0" w:rsidP="003E71E0">
      <w:pPr>
        <w:pStyle w:val="ListParagraph"/>
        <w:jc w:val="center"/>
        <w:rPr>
          <w:smallCaps/>
          <w:sz w:val="24"/>
          <w:szCs w:val="24"/>
        </w:rPr>
      </w:pPr>
    </w:p>
    <w:p w14:paraId="1B28742C" w14:textId="096DC8D3" w:rsidR="003E71E0" w:rsidRPr="00546FBF" w:rsidRDefault="003E71E0" w:rsidP="003E71E0">
      <w:pPr>
        <w:pStyle w:val="ListParagraph"/>
        <w:jc w:val="center"/>
        <w:rPr>
          <w:smallCaps/>
          <w:sz w:val="24"/>
          <w:szCs w:val="24"/>
        </w:rPr>
      </w:pPr>
      <w:r>
        <w:rPr>
          <w:b/>
          <w:smallCaps/>
          <w:sz w:val="24"/>
          <w:szCs w:val="24"/>
        </w:rPr>
        <w:t>Indi</w:t>
      </w:r>
      <w:r w:rsidR="00757106">
        <w:rPr>
          <w:b/>
          <w:smallCaps/>
          <w:sz w:val="24"/>
          <w:szCs w:val="24"/>
        </w:rPr>
        <w:t xml:space="preserve">vidual Consultant – </w:t>
      </w:r>
      <w:r w:rsidR="00546391">
        <w:rPr>
          <w:b/>
          <w:smallCaps/>
          <w:sz w:val="24"/>
          <w:szCs w:val="24"/>
        </w:rPr>
        <w:t>Coordinat</w:t>
      </w:r>
      <w:r w:rsidR="000674A3">
        <w:rPr>
          <w:b/>
          <w:smallCaps/>
          <w:sz w:val="24"/>
          <w:szCs w:val="24"/>
        </w:rPr>
        <w:t>or</w:t>
      </w:r>
      <w:r w:rsidR="00546391">
        <w:rPr>
          <w:b/>
          <w:smallCaps/>
          <w:sz w:val="24"/>
          <w:szCs w:val="24"/>
        </w:rPr>
        <w:t xml:space="preserve"> </w:t>
      </w:r>
      <w:r w:rsidR="008173C4">
        <w:rPr>
          <w:b/>
          <w:smallCaps/>
          <w:sz w:val="24"/>
          <w:szCs w:val="24"/>
        </w:rPr>
        <w:t>Technical Cooperation</w:t>
      </w:r>
    </w:p>
    <w:p w14:paraId="79FD8DE1" w14:textId="77777777" w:rsidR="003E71E0" w:rsidRPr="00546FBF" w:rsidRDefault="003E71E0" w:rsidP="003E71E0">
      <w:pPr>
        <w:pStyle w:val="ListParagraph"/>
        <w:jc w:val="center"/>
        <w:rPr>
          <w:b/>
          <w:smallCaps/>
          <w:sz w:val="24"/>
          <w:szCs w:val="24"/>
        </w:rPr>
      </w:pPr>
    </w:p>
    <w:p w14:paraId="587DCB3A" w14:textId="77777777" w:rsidR="003E71E0" w:rsidRPr="00F6093F" w:rsidRDefault="003E71E0" w:rsidP="003E71E0">
      <w:pPr>
        <w:rPr>
          <w:b/>
          <w:smallCaps/>
          <w:sz w:val="24"/>
          <w:szCs w:val="24"/>
        </w:rPr>
      </w:pPr>
    </w:p>
    <w:p w14:paraId="6CEA57D8" w14:textId="623EC211" w:rsidR="003E71E0" w:rsidRPr="00F6093F" w:rsidRDefault="003E71E0" w:rsidP="003E71E0">
      <w:pPr>
        <w:pStyle w:val="ListParagraph"/>
        <w:numPr>
          <w:ilvl w:val="0"/>
          <w:numId w:val="1"/>
        </w:numPr>
        <w:ind w:left="360" w:hanging="360"/>
        <w:jc w:val="center"/>
        <w:rPr>
          <w:b/>
          <w:bCs/>
          <w:smallCaps/>
          <w:sz w:val="24"/>
          <w:szCs w:val="24"/>
        </w:rPr>
      </w:pPr>
      <w:r w:rsidRPr="00F6093F">
        <w:rPr>
          <w:b/>
          <w:bCs/>
          <w:smallCaps/>
          <w:sz w:val="24"/>
          <w:szCs w:val="24"/>
        </w:rPr>
        <w:t>Background</w:t>
      </w:r>
    </w:p>
    <w:p w14:paraId="5EE35A9F" w14:textId="258EEC91" w:rsidR="008173C4" w:rsidRDefault="008173C4" w:rsidP="008173C4">
      <w:pPr>
        <w:pStyle w:val="Paragraph"/>
        <w:ind w:left="360"/>
      </w:pPr>
      <w:r w:rsidRPr="00E51E6E">
        <w:t>For most of the past fifty years, real agricultural commodity prices followed a downward trend punctuated by short-lived peaks that were not matched by equally pronounced and short-lived price falls but rather were separated by extended price troughs. Since around 2002 it appears that food prices have departed from this secular decline: prices have now been above trend for longer than at any time in the previous forty years and food price inflation has been faster than overall inflation in most countries. Prices have also become increasingly volatile with successively higher peaks in 2007-2008, 2010-2011 and, most recently, 2012</w:t>
      </w:r>
      <w:r>
        <w:t>. Given their geographical location and reliance on food imports, Caribbean countries are among the most vulnerable in the world to food price increases and climate change with a high incidence on rural poverty.</w:t>
      </w:r>
      <w:r w:rsidRPr="001A55BE">
        <w:t xml:space="preserve"> </w:t>
      </w:r>
      <w:r w:rsidRPr="003D389C">
        <w:t>The Caribbean countries also show the highest import tariffs. This situation is particularly worrisome given that, in addition to higher import tariffs, the shipping structures of the Caribbean islands provide for very little direct service and low connectivity, which in turn leads to higher ocean freight rates.</w:t>
      </w:r>
    </w:p>
    <w:p w14:paraId="53187687" w14:textId="23FC5F02" w:rsidR="008173C4" w:rsidRDefault="008173C4" w:rsidP="008173C4">
      <w:pPr>
        <w:pStyle w:val="Paragraph"/>
        <w:ind w:left="360"/>
      </w:pPr>
      <w:r w:rsidRPr="00F351AA">
        <w:t>The</w:t>
      </w:r>
      <w:r>
        <w:t xml:space="preserve"> objective of the referenced</w:t>
      </w:r>
      <w:r w:rsidRPr="00F351AA">
        <w:t xml:space="preserve"> Technical Cooperation (TC) is </w:t>
      </w:r>
      <w:r>
        <w:t xml:space="preserve">therefore </w:t>
      </w:r>
      <w:r w:rsidRPr="00F351AA">
        <w:t xml:space="preserve">to </w:t>
      </w:r>
      <w:r>
        <w:t xml:space="preserve">generate policy recommendations for </w:t>
      </w:r>
      <w:r w:rsidRPr="00F351AA">
        <w:t>a more efficient alloc</w:t>
      </w:r>
      <w:r>
        <w:t>ation of fiscal resources that could lead to</w:t>
      </w:r>
      <w:r w:rsidRPr="00F351AA">
        <w:t xml:space="preserve"> reduce</w:t>
      </w:r>
      <w:r>
        <w:t>d</w:t>
      </w:r>
      <w:r w:rsidRPr="00F351AA">
        <w:t xml:space="preserve"> vulnerability to </w:t>
      </w:r>
      <w:r>
        <w:t>volatile food prices in</w:t>
      </w:r>
      <w:r w:rsidRPr="00F351AA">
        <w:t xml:space="preserve"> </w:t>
      </w:r>
      <w:r>
        <w:t xml:space="preserve"> </w:t>
      </w:r>
      <w:r w:rsidRPr="00F351AA">
        <w:t>Caribbean countries</w:t>
      </w:r>
      <w:r>
        <w:t xml:space="preserve">. </w:t>
      </w:r>
    </w:p>
    <w:p w14:paraId="389CE155" w14:textId="32CC32D1" w:rsidR="008173C4" w:rsidRPr="008173C4" w:rsidRDefault="008173C4" w:rsidP="008173C4">
      <w:pPr>
        <w:pStyle w:val="Paragraph"/>
        <w:ind w:left="360"/>
      </w:pPr>
      <w:r w:rsidRPr="001A55BE">
        <w:t xml:space="preserve">To achieve this objective, the TC will finance studies in the following areas: i) trends in agricultural prices, production, trade and consumption; ii) structure and levels of support to the agricultural sector in a context of greater openness to trade in Barbados, Bahamas, Jamaica, Trinidad &amp; Tobago, Guyana and Suriname (this will include 6 separate knowledge products with country specific recommendations which are also coherent at the regional level); </w:t>
      </w:r>
      <w:r>
        <w:t>iii) value chains analyses for the most relevant crops in the Caribbean countries, and iv</w:t>
      </w:r>
      <w:r w:rsidRPr="001A55BE">
        <w:t xml:space="preserve">) cost/benefit analysis of different forms of budgetary support including support to private beneficiaries vs. support for general public services such as: animal and plant health, food safety, innovation and infrastructure in irrigation and drainage, among others. </w:t>
      </w:r>
    </w:p>
    <w:p w14:paraId="757D47BA" w14:textId="77777777" w:rsidR="008173C4" w:rsidRPr="008173C4" w:rsidRDefault="008173C4" w:rsidP="008173C4">
      <w:pPr>
        <w:pStyle w:val="Paragraph"/>
        <w:ind w:left="360"/>
      </w:pPr>
      <w:r w:rsidRPr="008173C4">
        <w:t xml:space="preserve">The results will be disseminated through national workshops which will focus on addressing the specific structural/policy bottlenecks at the national level as well as one regional workshop which would ensure that the implemented national policy reforms are consistent for the region as a whole. The results will also propose policy reforms for public expenditure </w:t>
      </w:r>
      <w:r w:rsidRPr="008173C4">
        <w:lastRenderedPageBreak/>
        <w:t>and policies aimed at achieving a more efficient allocation of fiscal resources and public goods investments in the Caribbean region.</w:t>
      </w:r>
    </w:p>
    <w:p w14:paraId="6235A035" w14:textId="77777777" w:rsidR="008173C4" w:rsidRPr="008173C4" w:rsidRDefault="008173C4" w:rsidP="008173C4">
      <w:pPr>
        <w:pStyle w:val="Paragraph"/>
        <w:numPr>
          <w:ilvl w:val="0"/>
          <w:numId w:val="0"/>
        </w:numPr>
        <w:ind w:left="360"/>
      </w:pPr>
    </w:p>
    <w:p w14:paraId="2E7A8434" w14:textId="501F5521" w:rsidR="003E71E0" w:rsidRPr="00334518" w:rsidRDefault="003E71E0" w:rsidP="00F30937">
      <w:pPr>
        <w:pStyle w:val="Paragraph"/>
        <w:numPr>
          <w:ilvl w:val="0"/>
          <w:numId w:val="1"/>
        </w:numPr>
        <w:jc w:val="center"/>
        <w:rPr>
          <w:b/>
          <w:szCs w:val="24"/>
        </w:rPr>
      </w:pPr>
      <w:r w:rsidRPr="00334518">
        <w:rPr>
          <w:b/>
          <w:bCs/>
          <w:smallCaps/>
          <w:szCs w:val="24"/>
        </w:rPr>
        <w:t>Objective</w:t>
      </w:r>
    </w:p>
    <w:p w14:paraId="2D2E7CEF" w14:textId="19F6375A" w:rsidR="003E71E0" w:rsidRDefault="003E71E0" w:rsidP="00442F66">
      <w:pPr>
        <w:pStyle w:val="Paragraph"/>
        <w:numPr>
          <w:ilvl w:val="1"/>
          <w:numId w:val="1"/>
        </w:numPr>
        <w:ind w:left="360" w:hanging="720"/>
      </w:pPr>
      <w:r>
        <w:t xml:space="preserve">The main objective of the proposed consultancy is to </w:t>
      </w:r>
      <w:r w:rsidR="00406500">
        <w:t xml:space="preserve">coordinate </w:t>
      </w:r>
      <w:r w:rsidR="00226435">
        <w:t xml:space="preserve">the </w:t>
      </w:r>
      <w:r w:rsidR="000674A3">
        <w:t>Technical Cooperation and monitor its execution</w:t>
      </w:r>
      <w:r>
        <w:t xml:space="preserve">. The specific objectives of the consultancy are: </w:t>
      </w:r>
    </w:p>
    <w:p w14:paraId="6B7B9F95" w14:textId="7A38FF60" w:rsidR="003E71E0" w:rsidRDefault="003E71E0" w:rsidP="00442F66">
      <w:pPr>
        <w:pStyle w:val="Paragraph"/>
        <w:numPr>
          <w:ilvl w:val="0"/>
          <w:numId w:val="5"/>
        </w:numPr>
        <w:ind w:left="720"/>
        <w:rPr>
          <w:szCs w:val="24"/>
        </w:rPr>
      </w:pPr>
      <w:r>
        <w:rPr>
          <w:szCs w:val="24"/>
        </w:rPr>
        <w:t xml:space="preserve">To </w:t>
      </w:r>
      <w:r w:rsidR="000674A3">
        <w:rPr>
          <w:szCs w:val="24"/>
        </w:rPr>
        <w:t>follow up on the execution of the studies and trainings in the Caribbean countries</w:t>
      </w:r>
      <w:r w:rsidR="00273AC1">
        <w:rPr>
          <w:szCs w:val="24"/>
        </w:rPr>
        <w:t>.</w:t>
      </w:r>
    </w:p>
    <w:p w14:paraId="00A61144" w14:textId="4D0EE92C" w:rsidR="003E71E0" w:rsidRDefault="003E71E0" w:rsidP="00442F66">
      <w:pPr>
        <w:pStyle w:val="Paragraph"/>
        <w:numPr>
          <w:ilvl w:val="0"/>
          <w:numId w:val="5"/>
        </w:numPr>
        <w:ind w:left="720"/>
        <w:rPr>
          <w:szCs w:val="24"/>
        </w:rPr>
      </w:pPr>
      <w:r>
        <w:rPr>
          <w:szCs w:val="24"/>
        </w:rPr>
        <w:t xml:space="preserve">To </w:t>
      </w:r>
      <w:r w:rsidR="00273AC1">
        <w:rPr>
          <w:szCs w:val="24"/>
        </w:rPr>
        <w:t xml:space="preserve">use the </w:t>
      </w:r>
      <w:r w:rsidR="000674A3">
        <w:rPr>
          <w:szCs w:val="24"/>
        </w:rPr>
        <w:t>studies</w:t>
      </w:r>
      <w:r w:rsidR="00273AC1">
        <w:rPr>
          <w:szCs w:val="24"/>
        </w:rPr>
        <w:t xml:space="preserve"> for </w:t>
      </w:r>
      <w:r w:rsidR="000674A3">
        <w:rPr>
          <w:szCs w:val="24"/>
        </w:rPr>
        <w:t xml:space="preserve">further </w:t>
      </w:r>
      <w:r w:rsidR="00273AC1">
        <w:rPr>
          <w:szCs w:val="24"/>
        </w:rPr>
        <w:t xml:space="preserve">analysis of key policy issues, such as food security, competitiveness, trade integration and climate change. </w:t>
      </w:r>
    </w:p>
    <w:p w14:paraId="6673161A" w14:textId="50141E2A" w:rsidR="002413E1" w:rsidRDefault="003E71E0" w:rsidP="00442F66">
      <w:pPr>
        <w:pStyle w:val="Paragraph"/>
        <w:numPr>
          <w:ilvl w:val="0"/>
          <w:numId w:val="5"/>
        </w:numPr>
        <w:ind w:left="720"/>
        <w:rPr>
          <w:szCs w:val="24"/>
        </w:rPr>
      </w:pPr>
      <w:r>
        <w:rPr>
          <w:szCs w:val="24"/>
        </w:rPr>
        <w:t xml:space="preserve">To </w:t>
      </w:r>
      <w:r w:rsidR="00406500">
        <w:rPr>
          <w:szCs w:val="24"/>
        </w:rPr>
        <w:t xml:space="preserve">participate </w:t>
      </w:r>
      <w:r>
        <w:rPr>
          <w:szCs w:val="24"/>
        </w:rPr>
        <w:t xml:space="preserve">in the </w:t>
      </w:r>
      <w:r w:rsidR="00273AC1">
        <w:rPr>
          <w:szCs w:val="24"/>
        </w:rPr>
        <w:t xml:space="preserve">social media marketing strategy using tools such as email lists, </w:t>
      </w:r>
      <w:r>
        <w:rPr>
          <w:szCs w:val="24"/>
        </w:rPr>
        <w:t>blog</w:t>
      </w:r>
      <w:r w:rsidR="00273AC1">
        <w:rPr>
          <w:szCs w:val="24"/>
        </w:rPr>
        <w:t xml:space="preserve">s and tweets, to increase awareness of </w:t>
      </w:r>
      <w:r w:rsidR="000674A3">
        <w:rPr>
          <w:szCs w:val="24"/>
        </w:rPr>
        <w:t>the studies conducted</w:t>
      </w:r>
      <w:r>
        <w:rPr>
          <w:szCs w:val="24"/>
        </w:rPr>
        <w:t xml:space="preserve">; </w:t>
      </w:r>
      <w:r w:rsidR="000674A3">
        <w:rPr>
          <w:szCs w:val="24"/>
        </w:rPr>
        <w:t>and</w:t>
      </w:r>
    </w:p>
    <w:p w14:paraId="249FDE37" w14:textId="5650AB9B" w:rsidR="003E71E0" w:rsidRPr="0080222E" w:rsidRDefault="003E71E0" w:rsidP="00442F66">
      <w:pPr>
        <w:pStyle w:val="Paragraph"/>
        <w:numPr>
          <w:ilvl w:val="0"/>
          <w:numId w:val="5"/>
        </w:numPr>
        <w:ind w:left="720"/>
        <w:rPr>
          <w:bCs/>
          <w:smallCaps/>
          <w:szCs w:val="24"/>
        </w:rPr>
      </w:pPr>
      <w:r>
        <w:rPr>
          <w:szCs w:val="24"/>
        </w:rPr>
        <w:t xml:space="preserve">To </w:t>
      </w:r>
      <w:r w:rsidR="00406500">
        <w:rPr>
          <w:szCs w:val="24"/>
        </w:rPr>
        <w:t>generate</w:t>
      </w:r>
      <w:r w:rsidR="00406500" w:rsidRPr="000C1EDC">
        <w:rPr>
          <w:szCs w:val="24"/>
        </w:rPr>
        <w:t xml:space="preserve"> </w:t>
      </w:r>
      <w:r w:rsidRPr="000C1EDC">
        <w:rPr>
          <w:szCs w:val="24"/>
        </w:rPr>
        <w:t>the policy dialogue in the region</w:t>
      </w:r>
      <w:r>
        <w:rPr>
          <w:szCs w:val="24"/>
        </w:rPr>
        <w:t xml:space="preserve"> and dissemination of results participating in regional </w:t>
      </w:r>
      <w:r w:rsidR="00273AC1">
        <w:rPr>
          <w:szCs w:val="24"/>
        </w:rPr>
        <w:t xml:space="preserve">training </w:t>
      </w:r>
      <w:r>
        <w:rPr>
          <w:szCs w:val="24"/>
        </w:rPr>
        <w:t>workshops and dissemination activities.</w:t>
      </w:r>
    </w:p>
    <w:p w14:paraId="241C9729" w14:textId="77777777" w:rsidR="003E71E0" w:rsidRPr="00F6093F" w:rsidRDefault="003E71E0" w:rsidP="003E71E0">
      <w:pPr>
        <w:pStyle w:val="ListParagraph"/>
        <w:jc w:val="both"/>
        <w:rPr>
          <w:b/>
          <w:sz w:val="24"/>
          <w:szCs w:val="24"/>
        </w:rPr>
      </w:pPr>
    </w:p>
    <w:p w14:paraId="77DFB5B1" w14:textId="1EF68DB2" w:rsidR="003E71E0" w:rsidRPr="00F6093F" w:rsidRDefault="00586FC0" w:rsidP="003E71E0">
      <w:pPr>
        <w:pStyle w:val="ListParagraph"/>
        <w:numPr>
          <w:ilvl w:val="0"/>
          <w:numId w:val="1"/>
        </w:numPr>
        <w:ind w:left="360" w:hanging="360"/>
        <w:jc w:val="center"/>
        <w:rPr>
          <w:b/>
          <w:bCs/>
          <w:smallCaps/>
          <w:sz w:val="24"/>
          <w:szCs w:val="24"/>
        </w:rPr>
      </w:pPr>
      <w:r>
        <w:rPr>
          <w:b/>
          <w:bCs/>
          <w:smallCaps/>
          <w:sz w:val="24"/>
          <w:szCs w:val="24"/>
        </w:rPr>
        <w:t xml:space="preserve"> </w:t>
      </w:r>
      <w:r w:rsidR="003E71E0" w:rsidRPr="00F6093F">
        <w:rPr>
          <w:b/>
          <w:bCs/>
          <w:smallCaps/>
          <w:sz w:val="24"/>
          <w:szCs w:val="24"/>
        </w:rPr>
        <w:t>Activities</w:t>
      </w:r>
    </w:p>
    <w:p w14:paraId="5C4A312C" w14:textId="77777777" w:rsidR="003E71E0" w:rsidRPr="00F358DC" w:rsidRDefault="003E71E0" w:rsidP="00442F66">
      <w:pPr>
        <w:pStyle w:val="Paragraph"/>
        <w:numPr>
          <w:ilvl w:val="0"/>
          <w:numId w:val="9"/>
        </w:numPr>
        <w:tabs>
          <w:tab w:val="left" w:pos="360"/>
        </w:tabs>
        <w:ind w:left="360" w:hanging="720"/>
        <w:rPr>
          <w:szCs w:val="24"/>
        </w:rPr>
      </w:pPr>
      <w:r>
        <w:rPr>
          <w:szCs w:val="24"/>
        </w:rPr>
        <w:t>During the time of the consultancy, t</w:t>
      </w:r>
      <w:r w:rsidRPr="00F358DC">
        <w:rPr>
          <w:szCs w:val="24"/>
        </w:rPr>
        <w:t xml:space="preserve">he </w:t>
      </w:r>
      <w:r w:rsidRPr="00545BC7">
        <w:t>consultant</w:t>
      </w:r>
      <w:r w:rsidRPr="00F358DC">
        <w:rPr>
          <w:szCs w:val="24"/>
        </w:rPr>
        <w:t xml:space="preserve"> will</w:t>
      </w:r>
      <w:r>
        <w:rPr>
          <w:szCs w:val="24"/>
        </w:rPr>
        <w:t xml:space="preserve"> perform the following activities</w:t>
      </w:r>
      <w:r w:rsidRPr="00F358DC">
        <w:rPr>
          <w:szCs w:val="24"/>
        </w:rPr>
        <w:t>:</w:t>
      </w:r>
    </w:p>
    <w:p w14:paraId="254D5827" w14:textId="69F854B0" w:rsidR="00380EDE" w:rsidRPr="00F22058" w:rsidRDefault="002C7877" w:rsidP="00442F66">
      <w:pPr>
        <w:pStyle w:val="Paragraph"/>
        <w:numPr>
          <w:ilvl w:val="0"/>
          <w:numId w:val="6"/>
        </w:numPr>
        <w:ind w:left="720"/>
        <w:rPr>
          <w:szCs w:val="24"/>
        </w:rPr>
      </w:pPr>
      <w:r>
        <w:rPr>
          <w:szCs w:val="24"/>
        </w:rPr>
        <w:t>C</w:t>
      </w:r>
      <w:r w:rsidR="00226435">
        <w:rPr>
          <w:szCs w:val="24"/>
        </w:rPr>
        <w:t xml:space="preserve">oordination of country </w:t>
      </w:r>
      <w:r w:rsidR="000674A3">
        <w:rPr>
          <w:szCs w:val="24"/>
        </w:rPr>
        <w:t>studies</w:t>
      </w:r>
      <w:r w:rsidR="00F22058">
        <w:rPr>
          <w:szCs w:val="24"/>
        </w:rPr>
        <w:t>. Sup</w:t>
      </w:r>
      <w:r>
        <w:rPr>
          <w:szCs w:val="24"/>
        </w:rPr>
        <w:t>ervise</w:t>
      </w:r>
      <w:r w:rsidR="00F22058">
        <w:rPr>
          <w:szCs w:val="24"/>
        </w:rPr>
        <w:t xml:space="preserve"> the contracting and </w:t>
      </w:r>
      <w:r w:rsidR="001F6ACE">
        <w:rPr>
          <w:szCs w:val="24"/>
        </w:rPr>
        <w:t xml:space="preserve">work </w:t>
      </w:r>
      <w:r w:rsidR="00F22058">
        <w:rPr>
          <w:szCs w:val="24"/>
        </w:rPr>
        <w:t xml:space="preserve">of national consultants to update the PSE estimates for the </w:t>
      </w:r>
      <w:r w:rsidR="000674A3">
        <w:rPr>
          <w:szCs w:val="24"/>
        </w:rPr>
        <w:t xml:space="preserve">Caribbean </w:t>
      </w:r>
      <w:r w:rsidR="00F22058">
        <w:rPr>
          <w:szCs w:val="24"/>
        </w:rPr>
        <w:t>region.</w:t>
      </w:r>
      <w:r w:rsidR="00F22058" w:rsidRPr="00380EDE">
        <w:rPr>
          <w:szCs w:val="24"/>
        </w:rPr>
        <w:t xml:space="preserve"> </w:t>
      </w:r>
      <w:r w:rsidR="00F22058">
        <w:rPr>
          <w:szCs w:val="24"/>
        </w:rPr>
        <w:t>Maintain and strengthen</w:t>
      </w:r>
      <w:r w:rsidR="00380EDE" w:rsidRPr="00380EDE">
        <w:rPr>
          <w:szCs w:val="24"/>
        </w:rPr>
        <w:t xml:space="preserve"> the network of consultant "links" to update and ensure the quality of information by country. </w:t>
      </w:r>
      <w:r w:rsidR="001F6ACE">
        <w:rPr>
          <w:szCs w:val="24"/>
        </w:rPr>
        <w:t xml:space="preserve">Provide </w:t>
      </w:r>
      <w:r w:rsidR="002413E1">
        <w:rPr>
          <w:szCs w:val="24"/>
        </w:rPr>
        <w:t xml:space="preserve">technical </w:t>
      </w:r>
      <w:r w:rsidR="001F6ACE">
        <w:rPr>
          <w:szCs w:val="24"/>
        </w:rPr>
        <w:t xml:space="preserve">comments to the consultants and compile suggestions from the IDB team (country specialists and country economists) to improve the quality of the results. </w:t>
      </w:r>
    </w:p>
    <w:p w14:paraId="233B8A9D" w14:textId="4C2E39F0" w:rsidR="00380EDE" w:rsidRDefault="00735246" w:rsidP="00442F66">
      <w:pPr>
        <w:pStyle w:val="Paragraph"/>
        <w:numPr>
          <w:ilvl w:val="0"/>
          <w:numId w:val="6"/>
        </w:numPr>
        <w:ind w:left="720"/>
        <w:rPr>
          <w:szCs w:val="24"/>
        </w:rPr>
      </w:pPr>
      <w:r>
        <w:rPr>
          <w:szCs w:val="24"/>
        </w:rPr>
        <w:t>C</w:t>
      </w:r>
      <w:r w:rsidR="00F22058">
        <w:rPr>
          <w:szCs w:val="24"/>
        </w:rPr>
        <w:t>ontrol</w:t>
      </w:r>
      <w:r>
        <w:rPr>
          <w:szCs w:val="24"/>
        </w:rPr>
        <w:t xml:space="preserve"> quality</w:t>
      </w:r>
      <w:r w:rsidR="00F22058">
        <w:rPr>
          <w:szCs w:val="24"/>
        </w:rPr>
        <w:t xml:space="preserve">, </w:t>
      </w:r>
      <w:r w:rsidR="00595F2F" w:rsidRPr="00380EDE">
        <w:rPr>
          <w:szCs w:val="24"/>
        </w:rPr>
        <w:t xml:space="preserve">standardization </w:t>
      </w:r>
      <w:r w:rsidR="00595F2F">
        <w:rPr>
          <w:szCs w:val="24"/>
        </w:rPr>
        <w:t>and</w:t>
      </w:r>
      <w:r w:rsidR="00F22058">
        <w:rPr>
          <w:szCs w:val="24"/>
        </w:rPr>
        <w:t xml:space="preserve"> preparation of documentation (</w:t>
      </w:r>
      <w:r w:rsidR="00546391">
        <w:rPr>
          <w:szCs w:val="24"/>
        </w:rPr>
        <w:t xml:space="preserve">excel files, reports, presentations, and </w:t>
      </w:r>
      <w:r w:rsidR="00F22058">
        <w:rPr>
          <w:szCs w:val="24"/>
        </w:rPr>
        <w:t xml:space="preserve">cookbooks) </w:t>
      </w:r>
      <w:r w:rsidR="00380EDE" w:rsidRPr="00380EDE">
        <w:rPr>
          <w:szCs w:val="24"/>
        </w:rPr>
        <w:t>of information in line with the estimates of the OECD methodology</w:t>
      </w:r>
      <w:r w:rsidR="002C7877">
        <w:rPr>
          <w:szCs w:val="24"/>
        </w:rPr>
        <w:t>.</w:t>
      </w:r>
    </w:p>
    <w:p w14:paraId="706F3241" w14:textId="303599F0" w:rsidR="00380EDE" w:rsidRDefault="002C7877" w:rsidP="00442F66">
      <w:pPr>
        <w:pStyle w:val="Paragraph"/>
        <w:numPr>
          <w:ilvl w:val="0"/>
          <w:numId w:val="6"/>
        </w:numPr>
        <w:ind w:left="720"/>
        <w:rPr>
          <w:szCs w:val="24"/>
        </w:rPr>
      </w:pPr>
      <w:r>
        <w:rPr>
          <w:szCs w:val="24"/>
        </w:rPr>
        <w:t>Preparation</w:t>
      </w:r>
      <w:r w:rsidR="00F22058">
        <w:rPr>
          <w:szCs w:val="24"/>
        </w:rPr>
        <w:t xml:space="preserve"> of</w:t>
      </w:r>
      <w:r w:rsidR="00960292">
        <w:rPr>
          <w:szCs w:val="24"/>
        </w:rPr>
        <w:t xml:space="preserve"> policy brief publications</w:t>
      </w:r>
      <w:r w:rsidR="00380EDE" w:rsidRPr="00380EDE">
        <w:rPr>
          <w:szCs w:val="24"/>
        </w:rPr>
        <w:t xml:space="preserve"> and technical notes </w:t>
      </w:r>
      <w:r w:rsidR="00960292">
        <w:rPr>
          <w:szCs w:val="24"/>
        </w:rPr>
        <w:t xml:space="preserve">on the </w:t>
      </w:r>
      <w:r w:rsidR="00380EDE" w:rsidRPr="00380EDE">
        <w:rPr>
          <w:szCs w:val="24"/>
        </w:rPr>
        <w:t>PSE</w:t>
      </w:r>
      <w:r w:rsidR="00960292">
        <w:rPr>
          <w:szCs w:val="24"/>
        </w:rPr>
        <w:t xml:space="preserve"> </w:t>
      </w:r>
      <w:r w:rsidR="00380EDE" w:rsidRPr="00380EDE">
        <w:rPr>
          <w:szCs w:val="24"/>
        </w:rPr>
        <w:t>to be published. In particular</w:t>
      </w:r>
      <w:r w:rsidR="00960292">
        <w:rPr>
          <w:szCs w:val="24"/>
        </w:rPr>
        <w:t>,</w:t>
      </w:r>
      <w:r w:rsidR="00380EDE" w:rsidRPr="00380EDE">
        <w:rPr>
          <w:szCs w:val="24"/>
        </w:rPr>
        <w:t xml:space="preserve"> </w:t>
      </w:r>
      <w:r w:rsidR="00960292">
        <w:rPr>
          <w:szCs w:val="24"/>
        </w:rPr>
        <w:t xml:space="preserve">reviewing </w:t>
      </w:r>
      <w:r w:rsidR="00960292" w:rsidRPr="00423913">
        <w:rPr>
          <w:szCs w:val="24"/>
        </w:rPr>
        <w:t>future PSE related publications for content and accuracy.</w:t>
      </w:r>
    </w:p>
    <w:p w14:paraId="74E7D8AD" w14:textId="135F61C3" w:rsidR="00960292" w:rsidRDefault="00380EDE" w:rsidP="00442F66">
      <w:pPr>
        <w:pStyle w:val="Paragraph"/>
        <w:numPr>
          <w:ilvl w:val="0"/>
          <w:numId w:val="6"/>
        </w:numPr>
        <w:ind w:left="720"/>
        <w:rPr>
          <w:szCs w:val="24"/>
        </w:rPr>
      </w:pPr>
      <w:r w:rsidRPr="00380EDE">
        <w:rPr>
          <w:szCs w:val="24"/>
        </w:rPr>
        <w:t xml:space="preserve">Participation in future studies using the </w:t>
      </w:r>
      <w:r w:rsidR="000674A3">
        <w:rPr>
          <w:szCs w:val="24"/>
        </w:rPr>
        <w:t>knowledge created by the studies</w:t>
      </w:r>
      <w:r w:rsidR="000674A3" w:rsidRPr="00380EDE">
        <w:rPr>
          <w:szCs w:val="24"/>
        </w:rPr>
        <w:t xml:space="preserve"> </w:t>
      </w:r>
      <w:r w:rsidRPr="00380EDE">
        <w:rPr>
          <w:szCs w:val="24"/>
        </w:rPr>
        <w:t>for the analysis of issues such as climate change, regional integration, food security, and competitiveness.</w:t>
      </w:r>
    </w:p>
    <w:p w14:paraId="7D7068CB" w14:textId="4D362A97" w:rsidR="003E71E0" w:rsidRDefault="002C7877" w:rsidP="00442F66">
      <w:pPr>
        <w:pStyle w:val="Paragraph"/>
        <w:numPr>
          <w:ilvl w:val="0"/>
          <w:numId w:val="6"/>
        </w:numPr>
        <w:ind w:left="720"/>
        <w:rPr>
          <w:szCs w:val="24"/>
        </w:rPr>
      </w:pPr>
      <w:r>
        <w:rPr>
          <w:szCs w:val="24"/>
        </w:rPr>
        <w:t>Preparation</w:t>
      </w:r>
      <w:r w:rsidR="00F22058">
        <w:rPr>
          <w:szCs w:val="24"/>
        </w:rPr>
        <w:t xml:space="preserve"> of inputs to </w:t>
      </w:r>
      <w:r w:rsidR="003E71E0">
        <w:rPr>
          <w:szCs w:val="24"/>
        </w:rPr>
        <w:t>blog</w:t>
      </w:r>
      <w:r w:rsidR="000674A3">
        <w:rPr>
          <w:szCs w:val="24"/>
        </w:rPr>
        <w:t>s</w:t>
      </w:r>
      <w:r w:rsidR="003E71E0">
        <w:rPr>
          <w:szCs w:val="24"/>
        </w:rPr>
        <w:t>,</w:t>
      </w:r>
      <w:r w:rsidR="00F22058">
        <w:rPr>
          <w:szCs w:val="24"/>
        </w:rPr>
        <w:t xml:space="preserve"> twitter and other social media activities</w:t>
      </w:r>
      <w:r w:rsidR="003E71E0">
        <w:rPr>
          <w:szCs w:val="24"/>
        </w:rPr>
        <w:t>.</w:t>
      </w:r>
    </w:p>
    <w:p w14:paraId="5C712F00" w14:textId="3A57A5A1" w:rsidR="003E71E0" w:rsidRDefault="002C7877" w:rsidP="00442F66">
      <w:pPr>
        <w:pStyle w:val="Paragraph"/>
        <w:numPr>
          <w:ilvl w:val="0"/>
          <w:numId w:val="6"/>
        </w:numPr>
        <w:ind w:left="720"/>
        <w:rPr>
          <w:szCs w:val="24"/>
        </w:rPr>
      </w:pPr>
      <w:r>
        <w:rPr>
          <w:szCs w:val="24"/>
        </w:rPr>
        <w:t>Respond</w:t>
      </w:r>
      <w:r w:rsidR="003E71E0">
        <w:rPr>
          <w:szCs w:val="24"/>
        </w:rPr>
        <w:t xml:space="preserve"> to the expected demand for information and analysis from external and internal </w:t>
      </w:r>
      <w:r w:rsidR="000674A3">
        <w:rPr>
          <w:szCs w:val="24"/>
        </w:rPr>
        <w:t>users of the studies</w:t>
      </w:r>
      <w:r w:rsidR="003E71E0">
        <w:rPr>
          <w:szCs w:val="24"/>
        </w:rPr>
        <w:t>.</w:t>
      </w:r>
    </w:p>
    <w:p w14:paraId="325B46EF" w14:textId="7A44BDA6" w:rsidR="00F22058" w:rsidRPr="00F22058" w:rsidRDefault="00F22058" w:rsidP="00442F66">
      <w:pPr>
        <w:pStyle w:val="Paragraph"/>
        <w:numPr>
          <w:ilvl w:val="0"/>
          <w:numId w:val="6"/>
        </w:numPr>
        <w:ind w:left="720"/>
        <w:rPr>
          <w:szCs w:val="24"/>
        </w:rPr>
      </w:pPr>
      <w:r w:rsidRPr="00380EDE">
        <w:rPr>
          <w:szCs w:val="24"/>
        </w:rPr>
        <w:t xml:space="preserve">Development of presentations of results in workshops at Headquarters and in field </w:t>
      </w:r>
      <w:r>
        <w:rPr>
          <w:szCs w:val="24"/>
        </w:rPr>
        <w:t xml:space="preserve">supporting the </w:t>
      </w:r>
      <w:r w:rsidRPr="00380EDE">
        <w:rPr>
          <w:szCs w:val="24"/>
        </w:rPr>
        <w:t>policy dialogue in the region and the dissemination of results of the PSE</w:t>
      </w:r>
      <w:r w:rsidR="007A33E8">
        <w:rPr>
          <w:szCs w:val="24"/>
        </w:rPr>
        <w:t xml:space="preserve"> for the Caribbean</w:t>
      </w:r>
      <w:r w:rsidRPr="00380EDE">
        <w:rPr>
          <w:szCs w:val="24"/>
        </w:rPr>
        <w:t>.</w:t>
      </w:r>
    </w:p>
    <w:p w14:paraId="72BD1883" w14:textId="382E44AA" w:rsidR="00F22058" w:rsidRPr="00F22058" w:rsidRDefault="00F22058" w:rsidP="00442F66">
      <w:pPr>
        <w:pStyle w:val="Paragraph"/>
        <w:numPr>
          <w:ilvl w:val="0"/>
          <w:numId w:val="6"/>
        </w:numPr>
        <w:ind w:left="720"/>
        <w:rPr>
          <w:szCs w:val="24"/>
        </w:rPr>
      </w:pPr>
      <w:r>
        <w:rPr>
          <w:szCs w:val="24"/>
        </w:rPr>
        <w:t xml:space="preserve">Support Regional workshops regarding the PSE </w:t>
      </w:r>
      <w:r w:rsidR="007A33E8">
        <w:rPr>
          <w:szCs w:val="24"/>
        </w:rPr>
        <w:t>studies</w:t>
      </w:r>
      <w:r>
        <w:rPr>
          <w:szCs w:val="24"/>
        </w:rPr>
        <w:t>. This may include travel to Andean, Southern Cone, Caribbean and Central American countries.</w:t>
      </w:r>
    </w:p>
    <w:p w14:paraId="5B6243B0" w14:textId="32AE7CF5" w:rsidR="003E71E0" w:rsidRDefault="003E71E0" w:rsidP="00442F66">
      <w:pPr>
        <w:pStyle w:val="Paragraph"/>
        <w:numPr>
          <w:ilvl w:val="0"/>
          <w:numId w:val="6"/>
        </w:numPr>
        <w:ind w:left="720"/>
        <w:rPr>
          <w:szCs w:val="24"/>
        </w:rPr>
      </w:pPr>
      <w:r w:rsidRPr="004D6035">
        <w:rPr>
          <w:szCs w:val="24"/>
        </w:rPr>
        <w:t xml:space="preserve">Develop TCs for regional studies on Food Security in the Caribbean </w:t>
      </w:r>
      <w:r w:rsidR="002C7877">
        <w:rPr>
          <w:szCs w:val="24"/>
        </w:rPr>
        <w:t xml:space="preserve">and other regions </w:t>
      </w:r>
      <w:r w:rsidR="00F22058">
        <w:rPr>
          <w:szCs w:val="24"/>
        </w:rPr>
        <w:t xml:space="preserve">or from other funding sources such as Regional Public Goods. </w:t>
      </w:r>
    </w:p>
    <w:p w14:paraId="14A8E685" w14:textId="77777777" w:rsidR="003E71E0" w:rsidRPr="00E84C67" w:rsidRDefault="003E71E0" w:rsidP="003E71E0">
      <w:pPr>
        <w:pStyle w:val="ListParagraph"/>
        <w:numPr>
          <w:ilvl w:val="0"/>
          <w:numId w:val="1"/>
        </w:numPr>
        <w:tabs>
          <w:tab w:val="left" w:pos="450"/>
        </w:tabs>
        <w:ind w:left="720"/>
        <w:jc w:val="center"/>
        <w:rPr>
          <w:b/>
          <w:bCs/>
          <w:smallCaps/>
          <w:sz w:val="24"/>
          <w:szCs w:val="24"/>
        </w:rPr>
      </w:pPr>
      <w:r w:rsidRPr="00E84C67">
        <w:rPr>
          <w:b/>
          <w:bCs/>
          <w:smallCaps/>
          <w:sz w:val="24"/>
          <w:szCs w:val="24"/>
        </w:rPr>
        <w:lastRenderedPageBreak/>
        <w:t>Reports/Outputs</w:t>
      </w:r>
    </w:p>
    <w:p w14:paraId="2EA028C0" w14:textId="77777777" w:rsidR="003E71E0" w:rsidRDefault="003E71E0" w:rsidP="003E71E0">
      <w:pPr>
        <w:jc w:val="both"/>
        <w:rPr>
          <w:sz w:val="24"/>
        </w:rPr>
      </w:pPr>
    </w:p>
    <w:p w14:paraId="51481C93" w14:textId="1CA80315" w:rsidR="003E71E0" w:rsidRPr="00545BC7" w:rsidRDefault="003E71E0" w:rsidP="00442F66">
      <w:pPr>
        <w:pStyle w:val="ListParagraph"/>
        <w:numPr>
          <w:ilvl w:val="0"/>
          <w:numId w:val="10"/>
        </w:numPr>
        <w:ind w:left="360" w:hanging="720"/>
        <w:jc w:val="both"/>
        <w:rPr>
          <w:sz w:val="24"/>
        </w:rPr>
      </w:pPr>
      <w:r w:rsidRPr="00545BC7">
        <w:rPr>
          <w:sz w:val="24"/>
        </w:rPr>
        <w:t>The con</w:t>
      </w:r>
      <w:r w:rsidR="00586FC0">
        <w:rPr>
          <w:sz w:val="24"/>
        </w:rPr>
        <w:t>tractual</w:t>
      </w:r>
      <w:r w:rsidRPr="00545BC7">
        <w:rPr>
          <w:sz w:val="24"/>
        </w:rPr>
        <w:t xml:space="preserve"> </w:t>
      </w:r>
      <w:r>
        <w:rPr>
          <w:sz w:val="24"/>
        </w:rPr>
        <w:t xml:space="preserve">will </w:t>
      </w:r>
      <w:r w:rsidRPr="00545BC7">
        <w:rPr>
          <w:sz w:val="24"/>
        </w:rPr>
        <w:t>deliver the following products:</w:t>
      </w:r>
    </w:p>
    <w:p w14:paraId="567D108A" w14:textId="26F520C2" w:rsidR="003E71E0" w:rsidRPr="00D02459" w:rsidRDefault="003E71E0" w:rsidP="00442F66">
      <w:pPr>
        <w:pStyle w:val="Paragraph"/>
        <w:numPr>
          <w:ilvl w:val="1"/>
          <w:numId w:val="3"/>
        </w:numPr>
        <w:ind w:left="720"/>
      </w:pPr>
      <w:r>
        <w:t xml:space="preserve">Report on the </w:t>
      </w:r>
      <w:r w:rsidR="00226435">
        <w:t xml:space="preserve">status of updates </w:t>
      </w:r>
      <w:r>
        <w:t xml:space="preserve">of the PSE </w:t>
      </w:r>
      <w:r w:rsidR="007A33E8">
        <w:t>studies in the Caribbean</w:t>
      </w:r>
      <w:r w:rsidR="00226435">
        <w:t>, with recommendations about how to address problems that may be identified.</w:t>
      </w:r>
    </w:p>
    <w:p w14:paraId="16F04F82" w14:textId="63FA0A43" w:rsidR="00F22058" w:rsidRPr="00F22058" w:rsidRDefault="00595F2F" w:rsidP="00442F66">
      <w:pPr>
        <w:pStyle w:val="Paragraph"/>
        <w:numPr>
          <w:ilvl w:val="1"/>
          <w:numId w:val="3"/>
        </w:numPr>
        <w:ind w:left="720"/>
      </w:pPr>
      <w:r>
        <w:t>A summary of support provided to conduct agricultural policy research and analysis</w:t>
      </w:r>
      <w:r w:rsidR="007A33E8">
        <w:t xml:space="preserve"> in the Caribbean</w:t>
      </w:r>
      <w:r>
        <w:t>.</w:t>
      </w:r>
    </w:p>
    <w:p w14:paraId="1C26EBBF" w14:textId="24F68008" w:rsidR="00F22058" w:rsidRPr="00F22058" w:rsidRDefault="00F22058" w:rsidP="00442F66">
      <w:pPr>
        <w:pStyle w:val="Paragraph"/>
        <w:numPr>
          <w:ilvl w:val="1"/>
          <w:numId w:val="3"/>
        </w:numPr>
        <w:ind w:left="720"/>
      </w:pPr>
      <w:r>
        <w:rPr>
          <w:szCs w:val="24"/>
        </w:rPr>
        <w:t xml:space="preserve">A summary of activities to support the social media strategy to promote </w:t>
      </w:r>
      <w:r w:rsidR="007A33E8">
        <w:rPr>
          <w:szCs w:val="24"/>
        </w:rPr>
        <w:t>the studies</w:t>
      </w:r>
      <w:r>
        <w:rPr>
          <w:szCs w:val="24"/>
        </w:rPr>
        <w:t>.</w:t>
      </w:r>
    </w:p>
    <w:p w14:paraId="4725148D" w14:textId="333286D6" w:rsidR="003E71E0" w:rsidRPr="00423913" w:rsidRDefault="00F22058" w:rsidP="00442F66">
      <w:pPr>
        <w:pStyle w:val="Paragraph"/>
        <w:numPr>
          <w:ilvl w:val="1"/>
          <w:numId w:val="3"/>
        </w:numPr>
        <w:ind w:left="720"/>
      </w:pPr>
      <w:r>
        <w:t>One or more f</w:t>
      </w:r>
      <w:r w:rsidR="003E71E0" w:rsidRPr="00F22058">
        <w:rPr>
          <w:szCs w:val="24"/>
        </w:rPr>
        <w:t xml:space="preserve">unding proposals for </w:t>
      </w:r>
      <w:r w:rsidR="007A33E8">
        <w:rPr>
          <w:szCs w:val="24"/>
        </w:rPr>
        <w:t>further studies</w:t>
      </w:r>
      <w:r w:rsidR="003E71E0" w:rsidRPr="00F22058">
        <w:rPr>
          <w:szCs w:val="24"/>
        </w:rPr>
        <w:t>.</w:t>
      </w:r>
    </w:p>
    <w:p w14:paraId="74923F49" w14:textId="77777777" w:rsidR="003E71E0" w:rsidRDefault="003E71E0" w:rsidP="003E71E0">
      <w:pPr>
        <w:pStyle w:val="Paragraph"/>
        <w:numPr>
          <w:ilvl w:val="0"/>
          <w:numId w:val="0"/>
        </w:numPr>
        <w:ind w:left="810"/>
        <w:rPr>
          <w:szCs w:val="24"/>
        </w:rPr>
      </w:pPr>
    </w:p>
    <w:p w14:paraId="37D10577" w14:textId="77777777" w:rsidR="00586FC0" w:rsidRDefault="00586FC0" w:rsidP="00442F66">
      <w:pPr>
        <w:pStyle w:val="ListParagraph"/>
        <w:numPr>
          <w:ilvl w:val="0"/>
          <w:numId w:val="1"/>
        </w:numPr>
        <w:tabs>
          <w:tab w:val="left" w:pos="450"/>
        </w:tabs>
        <w:ind w:left="720"/>
        <w:jc w:val="center"/>
        <w:rPr>
          <w:b/>
          <w:bCs/>
          <w:smallCaps/>
          <w:sz w:val="24"/>
          <w:szCs w:val="24"/>
        </w:rPr>
      </w:pPr>
      <w:r w:rsidRPr="00F6093F">
        <w:rPr>
          <w:b/>
          <w:bCs/>
          <w:smallCaps/>
          <w:sz w:val="24"/>
          <w:szCs w:val="24"/>
        </w:rPr>
        <w:t>Qualifications</w:t>
      </w:r>
    </w:p>
    <w:p w14:paraId="0D7E2BE8" w14:textId="77777777" w:rsidR="00586FC0" w:rsidRPr="00F6093F" w:rsidRDefault="00586FC0" w:rsidP="00442F66">
      <w:pPr>
        <w:pStyle w:val="ListParagraph"/>
        <w:tabs>
          <w:tab w:val="left" w:pos="450"/>
        </w:tabs>
        <w:rPr>
          <w:b/>
          <w:bCs/>
          <w:smallCaps/>
          <w:sz w:val="24"/>
          <w:szCs w:val="24"/>
        </w:rPr>
      </w:pPr>
    </w:p>
    <w:p w14:paraId="68CB895C" w14:textId="701F1931" w:rsidR="00586FC0" w:rsidRPr="001A5195" w:rsidRDefault="00586FC0" w:rsidP="00442F66">
      <w:pPr>
        <w:pStyle w:val="ListParagraph"/>
        <w:keepNext/>
        <w:numPr>
          <w:ilvl w:val="1"/>
          <w:numId w:val="1"/>
        </w:numPr>
        <w:spacing w:after="200" w:line="276" w:lineRule="auto"/>
        <w:ind w:left="360" w:hanging="720"/>
        <w:jc w:val="both"/>
        <w:rPr>
          <w:rFonts w:eastAsiaTheme="minorEastAsia"/>
          <w:sz w:val="24"/>
          <w:szCs w:val="24"/>
        </w:rPr>
      </w:pPr>
      <w:r w:rsidRPr="001A5195">
        <w:rPr>
          <w:rFonts w:eastAsiaTheme="minorEastAsia"/>
          <w:sz w:val="24"/>
          <w:szCs w:val="24"/>
        </w:rPr>
        <w:t xml:space="preserve">The </w:t>
      </w:r>
      <w:r w:rsidRPr="001A5195">
        <w:rPr>
          <w:sz w:val="24"/>
          <w:szCs w:val="24"/>
        </w:rPr>
        <w:t>consultant</w:t>
      </w:r>
      <w:r w:rsidRPr="001A5195">
        <w:rPr>
          <w:rFonts w:eastAsiaTheme="minorEastAsia"/>
          <w:sz w:val="24"/>
          <w:szCs w:val="24"/>
        </w:rPr>
        <w:t xml:space="preserve"> will meet the following characteristics:</w:t>
      </w:r>
    </w:p>
    <w:p w14:paraId="2CB2AF73" w14:textId="15BBF8D9" w:rsidR="00586FC0" w:rsidRPr="009D62FC" w:rsidRDefault="00586FC0" w:rsidP="00442F66">
      <w:pPr>
        <w:pStyle w:val="subpar"/>
        <w:numPr>
          <w:ilvl w:val="2"/>
          <w:numId w:val="27"/>
        </w:numPr>
        <w:ind w:left="720" w:hanging="360"/>
        <w:rPr>
          <w:szCs w:val="24"/>
        </w:rPr>
      </w:pPr>
      <w:r w:rsidRPr="009D62FC">
        <w:rPr>
          <w:szCs w:val="24"/>
        </w:rPr>
        <w:t>Academic Degree /</w:t>
      </w:r>
      <w:r w:rsidRPr="00442F66">
        <w:rPr>
          <w:szCs w:val="24"/>
        </w:rPr>
        <w:t>Level &amp; Years of Professional Work Experience:</w:t>
      </w:r>
      <w:r w:rsidRPr="009D62FC">
        <w:rPr>
          <w:szCs w:val="24"/>
        </w:rPr>
        <w:t xml:space="preserve"> Master of science in Economics or International Relations.</w:t>
      </w:r>
      <w:r w:rsidR="009D62FC">
        <w:rPr>
          <w:szCs w:val="24"/>
        </w:rPr>
        <w:t xml:space="preserve"> </w:t>
      </w:r>
      <w:r w:rsidRPr="009D62FC">
        <w:rPr>
          <w:szCs w:val="24"/>
        </w:rPr>
        <w:t xml:space="preserve">A minimum 5 years of professional experience as consultant in </w:t>
      </w:r>
      <w:r w:rsidRPr="009D62FC">
        <w:rPr>
          <w:rFonts w:eastAsiaTheme="minorEastAsia"/>
        </w:rPr>
        <w:t>Multilateral Development Institutions</w:t>
      </w:r>
      <w:r w:rsidRPr="009D62FC">
        <w:rPr>
          <w:szCs w:val="24"/>
        </w:rPr>
        <w:t>.</w:t>
      </w:r>
    </w:p>
    <w:p w14:paraId="503B190E" w14:textId="77777777" w:rsidR="009D62FC" w:rsidRDefault="009D62FC" w:rsidP="009D62FC">
      <w:pPr>
        <w:pStyle w:val="subpar"/>
        <w:numPr>
          <w:ilvl w:val="2"/>
          <w:numId w:val="27"/>
        </w:numPr>
        <w:ind w:left="720" w:hanging="360"/>
        <w:rPr>
          <w:szCs w:val="24"/>
        </w:rPr>
      </w:pPr>
      <w:r>
        <w:rPr>
          <w:szCs w:val="24"/>
        </w:rPr>
        <w:t xml:space="preserve">Languajes: </w:t>
      </w:r>
      <w:r w:rsidRPr="001634B4">
        <w:rPr>
          <w:szCs w:val="24"/>
        </w:rPr>
        <w:t xml:space="preserve">Proficiency in English </w:t>
      </w:r>
      <w:r>
        <w:rPr>
          <w:szCs w:val="24"/>
        </w:rPr>
        <w:t>and Spanish.</w:t>
      </w:r>
    </w:p>
    <w:p w14:paraId="5E01A518" w14:textId="063D2081" w:rsidR="00586FC0" w:rsidRPr="00F358DC" w:rsidRDefault="009D62FC" w:rsidP="00442F66">
      <w:pPr>
        <w:pStyle w:val="subpar"/>
        <w:numPr>
          <w:ilvl w:val="2"/>
          <w:numId w:val="27"/>
        </w:numPr>
        <w:ind w:left="720" w:hanging="360"/>
        <w:rPr>
          <w:szCs w:val="24"/>
        </w:rPr>
      </w:pPr>
      <w:r>
        <w:rPr>
          <w:color w:val="000000"/>
        </w:rPr>
        <w:t xml:space="preserve">Areas of Expertise: </w:t>
      </w:r>
      <w:r w:rsidR="00586FC0">
        <w:rPr>
          <w:color w:val="000000"/>
        </w:rPr>
        <w:t>Prior experience in working with PSE’s over the past decade, and expand the coverage to other areas of LAC</w:t>
      </w:r>
      <w:r w:rsidR="00586FC0">
        <w:rPr>
          <w:bCs/>
        </w:rPr>
        <w:t>.</w:t>
      </w:r>
    </w:p>
    <w:p w14:paraId="03932612" w14:textId="5E483CBB" w:rsidR="00586FC0" w:rsidRPr="001634B4" w:rsidRDefault="009D62FC" w:rsidP="00442F66">
      <w:pPr>
        <w:pStyle w:val="subpar"/>
        <w:numPr>
          <w:ilvl w:val="2"/>
          <w:numId w:val="27"/>
        </w:numPr>
        <w:ind w:left="720" w:hanging="360"/>
        <w:rPr>
          <w:szCs w:val="24"/>
        </w:rPr>
      </w:pPr>
      <w:r>
        <w:rPr>
          <w:szCs w:val="24"/>
        </w:rPr>
        <w:t xml:space="preserve">Skills: </w:t>
      </w:r>
      <w:r w:rsidR="00586FC0">
        <w:rPr>
          <w:szCs w:val="24"/>
        </w:rPr>
        <w:t>Proficiency in software package: SPSS, STATA, Microsoft Office, Microsoft Excel</w:t>
      </w:r>
      <w:r>
        <w:rPr>
          <w:szCs w:val="24"/>
        </w:rPr>
        <w:t>.</w:t>
      </w:r>
    </w:p>
    <w:p w14:paraId="770938B2" w14:textId="77777777" w:rsidR="00586FC0" w:rsidRDefault="00586FC0" w:rsidP="00442F66">
      <w:pPr>
        <w:pStyle w:val="ListParagraph"/>
        <w:rPr>
          <w:b/>
          <w:bCs/>
          <w:smallCaps/>
          <w:sz w:val="24"/>
          <w:szCs w:val="24"/>
        </w:rPr>
      </w:pPr>
    </w:p>
    <w:p w14:paraId="0E3CF843" w14:textId="77777777" w:rsidR="009D62FC" w:rsidRDefault="009D62FC" w:rsidP="00442F66">
      <w:pPr>
        <w:pStyle w:val="ListParagraph"/>
        <w:numPr>
          <w:ilvl w:val="0"/>
          <w:numId w:val="1"/>
        </w:numPr>
        <w:tabs>
          <w:tab w:val="left" w:pos="450"/>
        </w:tabs>
        <w:ind w:left="720"/>
        <w:jc w:val="center"/>
        <w:rPr>
          <w:b/>
          <w:bCs/>
          <w:smallCaps/>
          <w:sz w:val="24"/>
          <w:szCs w:val="24"/>
        </w:rPr>
      </w:pPr>
      <w:r w:rsidRPr="00F6093F">
        <w:rPr>
          <w:b/>
          <w:bCs/>
          <w:smallCaps/>
          <w:sz w:val="24"/>
          <w:szCs w:val="24"/>
        </w:rPr>
        <w:t>Characteristics of the consultancy</w:t>
      </w:r>
    </w:p>
    <w:p w14:paraId="5C8748A4" w14:textId="77777777" w:rsidR="003E71E0" w:rsidRDefault="003E71E0" w:rsidP="003E71E0">
      <w:pPr>
        <w:jc w:val="both"/>
        <w:rPr>
          <w:b/>
          <w:u w:val="single"/>
        </w:rPr>
      </w:pPr>
    </w:p>
    <w:p w14:paraId="4CFA9378" w14:textId="38B6C62A" w:rsidR="003E71E0" w:rsidRPr="00094775" w:rsidRDefault="009D62FC" w:rsidP="00442F66">
      <w:pPr>
        <w:pStyle w:val="subpar"/>
        <w:numPr>
          <w:ilvl w:val="1"/>
          <w:numId w:val="1"/>
        </w:numPr>
        <w:ind w:left="360" w:hanging="720"/>
        <w:rPr>
          <w:szCs w:val="24"/>
        </w:rPr>
      </w:pPr>
      <w:r w:rsidRPr="00442F66">
        <w:rPr>
          <w:szCs w:val="24"/>
        </w:rPr>
        <w:t>C</w:t>
      </w:r>
      <w:r w:rsidR="003E71E0" w:rsidRPr="00442F66">
        <w:rPr>
          <w:szCs w:val="24"/>
        </w:rPr>
        <w:t>onsultancy</w:t>
      </w:r>
      <w:r w:rsidRPr="00442F66">
        <w:rPr>
          <w:szCs w:val="24"/>
        </w:rPr>
        <w:t xml:space="preserve"> category and modality</w:t>
      </w:r>
      <w:r w:rsidR="003E71E0" w:rsidRPr="00442F66">
        <w:rPr>
          <w:szCs w:val="24"/>
        </w:rPr>
        <w:t>:</w:t>
      </w:r>
      <w:r w:rsidR="003E71E0">
        <w:rPr>
          <w:b/>
          <w:szCs w:val="24"/>
        </w:rPr>
        <w:t xml:space="preserve"> </w:t>
      </w:r>
      <w:r w:rsidRPr="00442F66">
        <w:rPr>
          <w:szCs w:val="24"/>
        </w:rPr>
        <w:t xml:space="preserve">Temporary Term Contractual, </w:t>
      </w:r>
      <w:r>
        <w:rPr>
          <w:szCs w:val="24"/>
        </w:rPr>
        <w:t>B</w:t>
      </w:r>
      <w:r w:rsidR="003E71E0" w:rsidRPr="009D62FC">
        <w:rPr>
          <w:szCs w:val="24"/>
        </w:rPr>
        <w:t>i-monthly.</w:t>
      </w:r>
    </w:p>
    <w:p w14:paraId="43F83EE8" w14:textId="2DFEFDD4" w:rsidR="003E71E0" w:rsidRPr="00451C44" w:rsidRDefault="009D62FC" w:rsidP="00442F66">
      <w:pPr>
        <w:pStyle w:val="subpar"/>
        <w:numPr>
          <w:ilvl w:val="1"/>
          <w:numId w:val="1"/>
        </w:numPr>
        <w:ind w:left="360" w:hanging="720"/>
        <w:rPr>
          <w:szCs w:val="24"/>
        </w:rPr>
      </w:pPr>
      <w:r w:rsidRPr="00442F66">
        <w:rPr>
          <w:szCs w:val="24"/>
        </w:rPr>
        <w:t>Contract</w:t>
      </w:r>
      <w:r w:rsidR="00595F2F" w:rsidRPr="00442F66">
        <w:rPr>
          <w:szCs w:val="24"/>
        </w:rPr>
        <w:t xml:space="preserve"> duration: </w:t>
      </w:r>
      <w:r w:rsidR="00595F2F">
        <w:rPr>
          <w:szCs w:val="24"/>
        </w:rPr>
        <w:t xml:space="preserve">This consultant will be hired for the period </w:t>
      </w:r>
      <w:r w:rsidR="007A33E8">
        <w:rPr>
          <w:szCs w:val="24"/>
        </w:rPr>
        <w:t>August</w:t>
      </w:r>
      <w:r w:rsidR="00595F2F" w:rsidRPr="00451C44">
        <w:rPr>
          <w:szCs w:val="24"/>
        </w:rPr>
        <w:t>,</w:t>
      </w:r>
      <w:r w:rsidR="007A33E8">
        <w:rPr>
          <w:szCs w:val="24"/>
        </w:rPr>
        <w:t xml:space="preserve"> 2015</w:t>
      </w:r>
      <w:r w:rsidR="00595F2F" w:rsidRPr="00451C44">
        <w:rPr>
          <w:szCs w:val="24"/>
        </w:rPr>
        <w:t xml:space="preserve"> to </w:t>
      </w:r>
      <w:r w:rsidR="00735246" w:rsidRPr="00451C44">
        <w:rPr>
          <w:szCs w:val="24"/>
        </w:rPr>
        <w:t>July</w:t>
      </w:r>
      <w:r w:rsidR="00FA0093" w:rsidRPr="00451C44">
        <w:rPr>
          <w:szCs w:val="24"/>
        </w:rPr>
        <w:t xml:space="preserve">, </w:t>
      </w:r>
      <w:r w:rsidR="002C7877" w:rsidRPr="00451C44">
        <w:rPr>
          <w:szCs w:val="24"/>
        </w:rPr>
        <w:t>201</w:t>
      </w:r>
      <w:r w:rsidR="007A33E8">
        <w:rPr>
          <w:szCs w:val="24"/>
        </w:rPr>
        <w:t>6</w:t>
      </w:r>
      <w:r w:rsidR="003E71E0" w:rsidRPr="00451C44">
        <w:rPr>
          <w:szCs w:val="24"/>
        </w:rPr>
        <w:t xml:space="preserve">. </w:t>
      </w:r>
    </w:p>
    <w:p w14:paraId="25921BBB" w14:textId="5547698C" w:rsidR="003E71E0" w:rsidRPr="0087451B" w:rsidRDefault="003E71E0" w:rsidP="00442F66">
      <w:pPr>
        <w:pStyle w:val="subpar"/>
        <w:numPr>
          <w:ilvl w:val="1"/>
          <w:numId w:val="1"/>
        </w:numPr>
        <w:ind w:left="360" w:hanging="720"/>
      </w:pPr>
      <w:r w:rsidRPr="00442F66">
        <w:rPr>
          <w:szCs w:val="24"/>
        </w:rPr>
        <w:t>Place</w:t>
      </w:r>
      <w:r w:rsidR="009D62FC" w:rsidRPr="00442F66">
        <w:rPr>
          <w:szCs w:val="24"/>
        </w:rPr>
        <w:t xml:space="preserve"> of work</w:t>
      </w:r>
      <w:r w:rsidRPr="00442F66">
        <w:rPr>
          <w:szCs w:val="24"/>
        </w:rPr>
        <w:t>:</w:t>
      </w:r>
      <w:r w:rsidRPr="00F358DC">
        <w:rPr>
          <w:szCs w:val="24"/>
        </w:rPr>
        <w:t xml:space="preserve"> </w:t>
      </w:r>
      <w:r w:rsidRPr="00F358DC">
        <w:rPr>
          <w:iCs/>
          <w:snapToGrid w:val="0"/>
          <w:szCs w:val="24"/>
        </w:rPr>
        <w:t>IDB</w:t>
      </w:r>
      <w:r>
        <w:rPr>
          <w:iCs/>
          <w:snapToGrid w:val="0"/>
          <w:szCs w:val="24"/>
        </w:rPr>
        <w:t xml:space="preserve"> Headquarter</w:t>
      </w:r>
      <w:r w:rsidR="009D62FC">
        <w:rPr>
          <w:iCs/>
          <w:snapToGrid w:val="0"/>
          <w:szCs w:val="24"/>
        </w:rPr>
        <w:t>s</w:t>
      </w:r>
      <w:r w:rsidRPr="00F358DC">
        <w:rPr>
          <w:iCs/>
          <w:snapToGrid w:val="0"/>
          <w:szCs w:val="24"/>
        </w:rPr>
        <w:t xml:space="preserve"> in Washington, DC</w:t>
      </w:r>
      <w:r>
        <w:rPr>
          <w:iCs/>
          <w:snapToGrid w:val="0"/>
          <w:szCs w:val="24"/>
        </w:rPr>
        <w:t>.</w:t>
      </w:r>
    </w:p>
    <w:p w14:paraId="713E996A" w14:textId="3715AAD4" w:rsidR="003E71E0" w:rsidRDefault="003E71E0" w:rsidP="00442F66">
      <w:pPr>
        <w:pStyle w:val="subpar"/>
        <w:numPr>
          <w:ilvl w:val="1"/>
          <w:numId w:val="1"/>
        </w:numPr>
        <w:ind w:left="360" w:hanging="720"/>
      </w:pPr>
      <w:r w:rsidRPr="00442F66">
        <w:rPr>
          <w:szCs w:val="24"/>
        </w:rPr>
        <w:t>Travel</w:t>
      </w:r>
      <w:r w:rsidR="009D62FC">
        <w:rPr>
          <w:szCs w:val="24"/>
        </w:rPr>
        <w:t>s</w:t>
      </w:r>
      <w:r w:rsidRPr="00442F66">
        <w:rPr>
          <w:szCs w:val="24"/>
        </w:rPr>
        <w:t>:</w:t>
      </w:r>
      <w:r w:rsidRPr="00442F66">
        <w:t xml:space="preserve"> </w:t>
      </w:r>
      <w:r w:rsidRPr="0087451B">
        <w:t xml:space="preserve">IDB will cover travel </w:t>
      </w:r>
      <w:r>
        <w:t>expenses for the participation in the workshops.</w:t>
      </w:r>
    </w:p>
    <w:p w14:paraId="77349990" w14:textId="7D9D9BA5" w:rsidR="009D62FC" w:rsidRDefault="009D62FC" w:rsidP="00442F66">
      <w:pPr>
        <w:pStyle w:val="subpar"/>
        <w:numPr>
          <w:ilvl w:val="1"/>
          <w:numId w:val="1"/>
        </w:numPr>
        <w:ind w:left="360" w:hanging="720"/>
      </w:pPr>
      <w:r w:rsidRPr="008173C4">
        <w:rPr>
          <w:szCs w:val="24"/>
        </w:rPr>
        <w:t>The coordinating unit will be INE/RND and the coordination will be under the responsibility of Paul Trapido (INE/RND) and Carmine Paolo De Salvo (INE/RND).</w:t>
      </w:r>
    </w:p>
    <w:p w14:paraId="2AC40772" w14:textId="77777777" w:rsidR="009D62FC" w:rsidRDefault="009D62FC" w:rsidP="00442F66">
      <w:pPr>
        <w:pStyle w:val="subpar"/>
        <w:numPr>
          <w:ilvl w:val="0"/>
          <w:numId w:val="0"/>
        </w:numPr>
      </w:pPr>
    </w:p>
    <w:p w14:paraId="0FE10124" w14:textId="768CA7BA" w:rsidR="009D62FC" w:rsidRPr="00442F66" w:rsidRDefault="009D62FC" w:rsidP="009D62FC">
      <w:pPr>
        <w:jc w:val="both"/>
        <w:rPr>
          <w:bCs/>
          <w:iCs/>
          <w:color w:val="000000"/>
          <w:sz w:val="24"/>
          <w:szCs w:val="24"/>
        </w:rPr>
      </w:pPr>
      <w:r w:rsidRPr="00442F66">
        <w:rPr>
          <w:b/>
          <w:bCs/>
          <w:sz w:val="24"/>
          <w:szCs w:val="24"/>
        </w:rPr>
        <w:t>Payment and Conditions of Employment:</w:t>
      </w:r>
      <w:r w:rsidRPr="00442F66">
        <w:rPr>
          <w:bCs/>
          <w:color w:val="000000"/>
          <w:sz w:val="24"/>
          <w:szCs w:val="24"/>
        </w:rPr>
        <w:t xml:space="preserve"> Remuneration will be determined in accordance with Bank regulations and criteria. The Bank may additionally contribute toward travel and moving expenses, if applicable. If a candidate is not a citizen or resident of the country where he/she will be working, the Bank will assist him/her to obtain the corresponding visa or work permit (if applicable). If a candidate cannot obtain a visa to work at the IDB the contractual offer will be canceled</w:t>
      </w:r>
      <w:r w:rsidRPr="00442F66">
        <w:rPr>
          <w:bCs/>
          <w:iCs/>
          <w:color w:val="000000"/>
          <w:sz w:val="24"/>
          <w:szCs w:val="24"/>
        </w:rPr>
        <w:t>.</w:t>
      </w:r>
    </w:p>
    <w:p w14:paraId="45F5715C" w14:textId="77777777" w:rsidR="009D62FC" w:rsidRPr="00442F66" w:rsidRDefault="009D62FC" w:rsidP="009D62FC">
      <w:pPr>
        <w:jc w:val="both"/>
        <w:rPr>
          <w:bCs/>
          <w:sz w:val="24"/>
          <w:szCs w:val="24"/>
        </w:rPr>
      </w:pPr>
    </w:p>
    <w:p w14:paraId="740AA17F" w14:textId="77777777" w:rsidR="009D62FC" w:rsidRPr="00442F66" w:rsidRDefault="009D62FC" w:rsidP="009D62FC">
      <w:pPr>
        <w:jc w:val="both"/>
        <w:rPr>
          <w:bCs/>
          <w:iCs/>
          <w:color w:val="000000"/>
          <w:sz w:val="24"/>
          <w:szCs w:val="24"/>
        </w:rPr>
      </w:pPr>
      <w:r w:rsidRPr="00442F66">
        <w:rPr>
          <w:b/>
          <w:bCs/>
          <w:iCs/>
          <w:sz w:val="24"/>
          <w:szCs w:val="24"/>
        </w:rPr>
        <w:lastRenderedPageBreak/>
        <w:t>Consanguinity</w:t>
      </w:r>
      <w:r w:rsidRPr="00442F66">
        <w:rPr>
          <w:bCs/>
          <w:iCs/>
          <w:sz w:val="24"/>
          <w:szCs w:val="24"/>
        </w:rPr>
        <w:t xml:space="preserve">: </w:t>
      </w:r>
      <w:r w:rsidRPr="00442F66">
        <w:rPr>
          <w:bCs/>
          <w:iCs/>
          <w:color w:val="000000"/>
          <w:sz w:val="24"/>
          <w:szCs w:val="24"/>
        </w:rPr>
        <w:t>Individuals with relatives working for the IDB within, and including the fourth degree of consanguinity and the second degree of affinity are not eligible for employment as staff or contractual. Candidates must be citizens of a member country of the Inter-American Development Bank.</w:t>
      </w:r>
    </w:p>
    <w:p w14:paraId="4B27EC18" w14:textId="77777777" w:rsidR="009D62FC" w:rsidRPr="00442F66" w:rsidRDefault="009D62FC" w:rsidP="009D62FC">
      <w:pPr>
        <w:jc w:val="both"/>
        <w:rPr>
          <w:bCs/>
          <w:iCs/>
          <w:color w:val="000000"/>
          <w:sz w:val="24"/>
          <w:szCs w:val="24"/>
        </w:rPr>
      </w:pPr>
    </w:p>
    <w:p w14:paraId="55992CD5" w14:textId="77777777" w:rsidR="009D62FC" w:rsidRPr="00442F66" w:rsidRDefault="009D62FC" w:rsidP="009D62FC">
      <w:pPr>
        <w:jc w:val="both"/>
        <w:rPr>
          <w:b/>
          <w:bCs/>
          <w:iCs/>
          <w:color w:val="000000"/>
          <w:sz w:val="24"/>
          <w:szCs w:val="24"/>
        </w:rPr>
      </w:pPr>
      <w:r w:rsidRPr="00442F66">
        <w:rPr>
          <w:b/>
          <w:bCs/>
          <w:iCs/>
          <w:sz w:val="24"/>
          <w:szCs w:val="24"/>
        </w:rPr>
        <w:t>Diversity:</w:t>
      </w:r>
      <w:r w:rsidRPr="00442F66">
        <w:rPr>
          <w:bCs/>
          <w:iCs/>
          <w:sz w:val="24"/>
          <w:szCs w:val="24"/>
        </w:rPr>
        <w:t xml:space="preserve"> The IDB is committed to diversity and inclusion and to providing equal opportunities in employment.  We embrace diversity on the basis of gender, age, education, national origin, ethnic origin, race, disability, sexual orientation, religion, and HIV/AIDs status. We encourage women, Afro-descendants and persons of indigenous origins to apply</w:t>
      </w:r>
      <w:r w:rsidRPr="00442F66">
        <w:rPr>
          <w:bCs/>
          <w:iCs/>
          <w:color w:val="000000"/>
          <w:sz w:val="24"/>
          <w:szCs w:val="24"/>
        </w:rPr>
        <w:t>.</w:t>
      </w:r>
    </w:p>
    <w:p w14:paraId="3D5E6C64" w14:textId="77777777" w:rsidR="009D62FC" w:rsidRPr="00442F66" w:rsidRDefault="009D62FC" w:rsidP="00442F66">
      <w:pPr>
        <w:pStyle w:val="subpar"/>
        <w:numPr>
          <w:ilvl w:val="0"/>
          <w:numId w:val="0"/>
        </w:numPr>
        <w:ind w:left="1152" w:hanging="432"/>
        <w:rPr>
          <w:szCs w:val="24"/>
        </w:rPr>
      </w:pPr>
    </w:p>
    <w:p w14:paraId="5D11C2A1" w14:textId="77777777" w:rsidR="00F30937" w:rsidRPr="0087451B" w:rsidRDefault="00F30937" w:rsidP="00F30937">
      <w:pPr>
        <w:pStyle w:val="subpar"/>
        <w:numPr>
          <w:ilvl w:val="0"/>
          <w:numId w:val="0"/>
        </w:numPr>
        <w:ind w:left="360"/>
      </w:pPr>
    </w:p>
    <w:p w14:paraId="3DDE44C9" w14:textId="77777777" w:rsidR="00757106" w:rsidRDefault="00757106"/>
    <w:sectPr w:rsidR="0075710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ECA6A" w14:textId="77777777" w:rsidR="00F22058" w:rsidRDefault="00F22058">
      <w:r>
        <w:separator/>
      </w:r>
    </w:p>
  </w:endnote>
  <w:endnote w:type="continuationSeparator" w:id="0">
    <w:p w14:paraId="5B224713" w14:textId="77777777" w:rsidR="00F22058" w:rsidRDefault="00F22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5177567"/>
      <w:docPartObj>
        <w:docPartGallery w:val="Page Numbers (Bottom of Page)"/>
        <w:docPartUnique/>
      </w:docPartObj>
    </w:sdtPr>
    <w:sdtEndPr>
      <w:rPr>
        <w:noProof/>
      </w:rPr>
    </w:sdtEndPr>
    <w:sdtContent>
      <w:p w14:paraId="09CED9EB" w14:textId="698FB242" w:rsidR="009D62FC" w:rsidRDefault="009D62FC">
        <w:pPr>
          <w:pStyle w:val="Footer"/>
          <w:jc w:val="center"/>
        </w:pPr>
        <w:r>
          <w:fldChar w:fldCharType="begin"/>
        </w:r>
        <w:r>
          <w:instrText xml:space="preserve"> PAGE   \* MERGEFORMAT </w:instrText>
        </w:r>
        <w:r>
          <w:fldChar w:fldCharType="separate"/>
        </w:r>
        <w:r w:rsidR="00442F66">
          <w:rPr>
            <w:noProof/>
          </w:rPr>
          <w:t>1</w:t>
        </w:r>
        <w:r>
          <w:rPr>
            <w:noProof/>
          </w:rPr>
          <w:fldChar w:fldCharType="end"/>
        </w:r>
      </w:p>
    </w:sdtContent>
  </w:sdt>
  <w:p w14:paraId="0E267390" w14:textId="77777777" w:rsidR="00F22058" w:rsidRDefault="00F220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01BB19" w14:textId="77777777" w:rsidR="00F22058" w:rsidRDefault="00F22058">
      <w:r>
        <w:separator/>
      </w:r>
    </w:p>
  </w:footnote>
  <w:footnote w:type="continuationSeparator" w:id="0">
    <w:p w14:paraId="1B2A48D6" w14:textId="77777777" w:rsidR="00F22058" w:rsidRDefault="00F220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552333"/>
      <w:docPartObj>
        <w:docPartGallery w:val="Page Numbers (Top of Page)"/>
        <w:docPartUnique/>
      </w:docPartObj>
    </w:sdtPr>
    <w:sdtEndPr/>
    <w:sdtContent>
      <w:p w14:paraId="20281E6E" w14:textId="2A5C7606" w:rsidR="00F22058" w:rsidRDefault="00586FC0" w:rsidP="00586FC0">
        <w:pPr>
          <w:pStyle w:val="Header"/>
          <w:spacing w:after="60"/>
          <w:jc w:val="right"/>
        </w:pPr>
        <w:r>
          <w:rPr>
            <w:sz w:val="22"/>
            <w:szCs w:val="22"/>
          </w:rPr>
          <w:t>IDBDocs#39676580</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35CF4"/>
    <w:multiLevelType w:val="hybridMultilevel"/>
    <w:tmpl w:val="ACA24B68"/>
    <w:lvl w:ilvl="0" w:tplc="44B2CA42">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B7FC9"/>
    <w:multiLevelType w:val="multilevel"/>
    <w:tmpl w:val="38DA7184"/>
    <w:lvl w:ilvl="0">
      <w:start w:val="1"/>
      <w:numFmt w:val="upperRoman"/>
      <w:pStyle w:val="Chapter"/>
      <w:lvlText w:val="%1."/>
      <w:lvlJc w:val="center"/>
      <w:pPr>
        <w:tabs>
          <w:tab w:val="num" w:pos="648"/>
        </w:tabs>
        <w:ind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pPr>
    </w:lvl>
    <w:lvl w:ilvl="5">
      <w:start w:val="1"/>
      <w:numFmt w:val="none"/>
      <w:lvlText w:val=""/>
      <w:lvlJc w:val="left"/>
      <w:pPr>
        <w:tabs>
          <w:tab w:val="num" w:pos="3960"/>
        </w:tabs>
        <w:ind w:left="3600"/>
      </w:pPr>
    </w:lvl>
    <w:lvl w:ilvl="6">
      <w:start w:val="1"/>
      <w:numFmt w:val="none"/>
      <w:lvlText w:val=""/>
      <w:lvlJc w:val="left"/>
      <w:pPr>
        <w:tabs>
          <w:tab w:val="num" w:pos="4680"/>
        </w:tabs>
        <w:ind w:left="4320"/>
      </w:pPr>
    </w:lvl>
    <w:lvl w:ilvl="7">
      <w:start w:val="1"/>
      <w:numFmt w:val="none"/>
      <w:lvlText w:val=""/>
      <w:lvlJc w:val="left"/>
      <w:pPr>
        <w:tabs>
          <w:tab w:val="num" w:pos="5400"/>
        </w:tabs>
        <w:ind w:left="5040"/>
      </w:pPr>
    </w:lvl>
    <w:lvl w:ilvl="8">
      <w:start w:val="1"/>
      <w:numFmt w:val="none"/>
      <w:lvlText w:val=""/>
      <w:lvlJc w:val="left"/>
      <w:pPr>
        <w:tabs>
          <w:tab w:val="num" w:pos="6120"/>
        </w:tabs>
        <w:ind w:left="5760"/>
      </w:pPr>
    </w:lvl>
  </w:abstractNum>
  <w:abstractNum w:abstractNumId="2">
    <w:nsid w:val="13943CAE"/>
    <w:multiLevelType w:val="multilevel"/>
    <w:tmpl w:val="411C56C6"/>
    <w:lvl w:ilvl="0">
      <w:start w:val="1"/>
      <w:numFmt w:val="upperRoman"/>
      <w:lvlText w:val="%1."/>
      <w:lvlJc w:val="left"/>
      <w:pPr>
        <w:ind w:left="1080" w:hanging="720"/>
      </w:pPr>
      <w:rPr>
        <w:rFonts w:hint="default"/>
      </w:rPr>
    </w:lvl>
    <w:lvl w:ilvl="1">
      <w:start w:val="1"/>
      <w:numFmt w:val="decimal"/>
      <w:isLgl/>
      <w:lvlText w:val="%1.%2"/>
      <w:lvlJc w:val="left"/>
      <w:pPr>
        <w:ind w:left="450" w:hanging="360"/>
      </w:pPr>
      <w:rPr>
        <w:rFonts w:eastAsiaTheme="minorEastAsia" w:hint="default"/>
        <w:sz w:val="24"/>
      </w:rPr>
    </w:lvl>
    <w:lvl w:ilvl="2">
      <w:start w:val="1"/>
      <w:numFmt w:val="decimal"/>
      <w:lvlText w:val="%3)"/>
      <w:lvlJc w:val="left"/>
      <w:pPr>
        <w:ind w:left="1080" w:hanging="720"/>
      </w:pPr>
      <w:rPr>
        <w:rFonts w:hint="default"/>
        <w:sz w:val="24"/>
      </w:rPr>
    </w:lvl>
    <w:lvl w:ilvl="3">
      <w:start w:val="1"/>
      <w:numFmt w:val="decimal"/>
      <w:isLgl/>
      <w:lvlText w:val="%1.%2.%3.%4"/>
      <w:lvlJc w:val="left"/>
      <w:pPr>
        <w:ind w:left="1080" w:hanging="720"/>
      </w:pPr>
      <w:rPr>
        <w:rFonts w:eastAsiaTheme="minorEastAsia" w:hint="default"/>
        <w:sz w:val="24"/>
      </w:rPr>
    </w:lvl>
    <w:lvl w:ilvl="4">
      <w:start w:val="1"/>
      <w:numFmt w:val="decimal"/>
      <w:isLgl/>
      <w:lvlText w:val="%1.%2.%3.%4.%5"/>
      <w:lvlJc w:val="left"/>
      <w:pPr>
        <w:ind w:left="1440" w:hanging="1080"/>
      </w:pPr>
      <w:rPr>
        <w:rFonts w:eastAsiaTheme="minorEastAsia" w:hint="default"/>
        <w:sz w:val="24"/>
      </w:rPr>
    </w:lvl>
    <w:lvl w:ilvl="5">
      <w:start w:val="1"/>
      <w:numFmt w:val="decimal"/>
      <w:isLgl/>
      <w:lvlText w:val="%1.%2.%3.%4.%5.%6"/>
      <w:lvlJc w:val="left"/>
      <w:pPr>
        <w:ind w:left="1440" w:hanging="1080"/>
      </w:pPr>
      <w:rPr>
        <w:rFonts w:eastAsiaTheme="minorEastAsia" w:hint="default"/>
        <w:sz w:val="24"/>
      </w:rPr>
    </w:lvl>
    <w:lvl w:ilvl="6">
      <w:start w:val="1"/>
      <w:numFmt w:val="decimal"/>
      <w:isLgl/>
      <w:lvlText w:val="%1.%2.%3.%4.%5.%6.%7"/>
      <w:lvlJc w:val="left"/>
      <w:pPr>
        <w:ind w:left="1800" w:hanging="1440"/>
      </w:pPr>
      <w:rPr>
        <w:rFonts w:eastAsiaTheme="minorEastAsia" w:hint="default"/>
        <w:sz w:val="24"/>
      </w:rPr>
    </w:lvl>
    <w:lvl w:ilvl="7">
      <w:start w:val="1"/>
      <w:numFmt w:val="decimal"/>
      <w:isLgl/>
      <w:lvlText w:val="%1.%2.%3.%4.%5.%6.%7.%8"/>
      <w:lvlJc w:val="left"/>
      <w:pPr>
        <w:ind w:left="1800" w:hanging="1440"/>
      </w:pPr>
      <w:rPr>
        <w:rFonts w:eastAsiaTheme="minorEastAsia" w:hint="default"/>
        <w:sz w:val="24"/>
      </w:rPr>
    </w:lvl>
    <w:lvl w:ilvl="8">
      <w:start w:val="1"/>
      <w:numFmt w:val="decimal"/>
      <w:isLgl/>
      <w:lvlText w:val="%1.%2.%3.%4.%5.%6.%7.%8.%9"/>
      <w:lvlJc w:val="left"/>
      <w:pPr>
        <w:ind w:left="1800" w:hanging="1440"/>
      </w:pPr>
      <w:rPr>
        <w:rFonts w:eastAsiaTheme="minorEastAsia" w:hint="default"/>
        <w:sz w:val="24"/>
      </w:rPr>
    </w:lvl>
  </w:abstractNum>
  <w:abstractNum w:abstractNumId="3">
    <w:nsid w:val="14D614B3"/>
    <w:multiLevelType w:val="hybridMultilevel"/>
    <w:tmpl w:val="EB7C8F92"/>
    <w:lvl w:ilvl="0" w:tplc="78EC7818">
      <w:start w:val="1"/>
      <w:numFmt w:val="decimal"/>
      <w:lvlText w:val="4.%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CEA02D8"/>
    <w:multiLevelType w:val="hybridMultilevel"/>
    <w:tmpl w:val="8AE6079E"/>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22710D0E"/>
    <w:multiLevelType w:val="hybridMultilevel"/>
    <w:tmpl w:val="06B6C7FE"/>
    <w:lvl w:ilvl="0" w:tplc="5DA028E2">
      <w:start w:val="1"/>
      <w:numFmt w:val="decimal"/>
      <w:lvlText w:val="5.%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0432BA0"/>
    <w:multiLevelType w:val="hybridMultilevel"/>
    <w:tmpl w:val="CBC4DB66"/>
    <w:lvl w:ilvl="0" w:tplc="76C60326">
      <w:start w:val="1"/>
      <w:numFmt w:val="decimal"/>
      <w:lvlText w:val="2.%1"/>
      <w:lvlJc w:val="left"/>
      <w:pPr>
        <w:ind w:left="5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1000E8C"/>
    <w:multiLevelType w:val="multilevel"/>
    <w:tmpl w:val="BCD6EDEA"/>
    <w:lvl w:ilvl="0">
      <w:start w:val="1"/>
      <w:numFmt w:val="upperRoman"/>
      <w:lvlText w:val="%1."/>
      <w:lvlJc w:val="left"/>
      <w:pPr>
        <w:ind w:left="1080" w:hanging="720"/>
      </w:pPr>
      <w:rPr>
        <w:rFonts w:hint="default"/>
      </w:rPr>
    </w:lvl>
    <w:lvl w:ilvl="1">
      <w:start w:val="1"/>
      <w:numFmt w:val="decimal"/>
      <w:isLgl/>
      <w:lvlText w:val="%1.%2"/>
      <w:lvlJc w:val="left"/>
      <w:pPr>
        <w:ind w:left="450" w:hanging="360"/>
      </w:pPr>
      <w:rPr>
        <w:rFonts w:eastAsiaTheme="minorEastAsia" w:hint="default"/>
        <w:sz w:val="24"/>
      </w:rPr>
    </w:lvl>
    <w:lvl w:ilvl="2">
      <w:start w:val="1"/>
      <w:numFmt w:val="decimal"/>
      <w:isLgl/>
      <w:lvlText w:val="%1.%2.%3"/>
      <w:lvlJc w:val="left"/>
      <w:pPr>
        <w:ind w:left="1080" w:hanging="720"/>
      </w:pPr>
      <w:rPr>
        <w:rFonts w:eastAsiaTheme="minorEastAsia" w:hint="default"/>
        <w:sz w:val="24"/>
      </w:rPr>
    </w:lvl>
    <w:lvl w:ilvl="3">
      <w:start w:val="1"/>
      <w:numFmt w:val="decimal"/>
      <w:isLgl/>
      <w:lvlText w:val="%1.%2.%3.%4"/>
      <w:lvlJc w:val="left"/>
      <w:pPr>
        <w:ind w:left="1080" w:hanging="720"/>
      </w:pPr>
      <w:rPr>
        <w:rFonts w:eastAsiaTheme="minorEastAsia" w:hint="default"/>
        <w:sz w:val="24"/>
      </w:rPr>
    </w:lvl>
    <w:lvl w:ilvl="4">
      <w:start w:val="1"/>
      <w:numFmt w:val="decimal"/>
      <w:isLgl/>
      <w:lvlText w:val="%1.%2.%3.%4.%5"/>
      <w:lvlJc w:val="left"/>
      <w:pPr>
        <w:ind w:left="1440" w:hanging="1080"/>
      </w:pPr>
      <w:rPr>
        <w:rFonts w:eastAsiaTheme="minorEastAsia" w:hint="default"/>
        <w:sz w:val="24"/>
      </w:rPr>
    </w:lvl>
    <w:lvl w:ilvl="5">
      <w:start w:val="1"/>
      <w:numFmt w:val="decimal"/>
      <w:isLgl/>
      <w:lvlText w:val="%1.%2.%3.%4.%5.%6"/>
      <w:lvlJc w:val="left"/>
      <w:pPr>
        <w:ind w:left="1440" w:hanging="1080"/>
      </w:pPr>
      <w:rPr>
        <w:rFonts w:eastAsiaTheme="minorEastAsia" w:hint="default"/>
        <w:sz w:val="24"/>
      </w:rPr>
    </w:lvl>
    <w:lvl w:ilvl="6">
      <w:start w:val="1"/>
      <w:numFmt w:val="decimal"/>
      <w:isLgl/>
      <w:lvlText w:val="%1.%2.%3.%4.%5.%6.%7"/>
      <w:lvlJc w:val="left"/>
      <w:pPr>
        <w:ind w:left="1800" w:hanging="1440"/>
      </w:pPr>
      <w:rPr>
        <w:rFonts w:eastAsiaTheme="minorEastAsia" w:hint="default"/>
        <w:sz w:val="24"/>
      </w:rPr>
    </w:lvl>
    <w:lvl w:ilvl="7">
      <w:start w:val="1"/>
      <w:numFmt w:val="decimal"/>
      <w:isLgl/>
      <w:lvlText w:val="%1.%2.%3.%4.%5.%6.%7.%8"/>
      <w:lvlJc w:val="left"/>
      <w:pPr>
        <w:ind w:left="1800" w:hanging="1440"/>
      </w:pPr>
      <w:rPr>
        <w:rFonts w:eastAsiaTheme="minorEastAsia" w:hint="default"/>
        <w:sz w:val="24"/>
      </w:rPr>
    </w:lvl>
    <w:lvl w:ilvl="8">
      <w:start w:val="1"/>
      <w:numFmt w:val="decimal"/>
      <w:isLgl/>
      <w:lvlText w:val="%1.%2.%3.%4.%5.%6.%7.%8.%9"/>
      <w:lvlJc w:val="left"/>
      <w:pPr>
        <w:ind w:left="1800" w:hanging="1440"/>
      </w:pPr>
      <w:rPr>
        <w:rFonts w:eastAsiaTheme="minorEastAsia" w:hint="default"/>
        <w:sz w:val="24"/>
      </w:rPr>
    </w:lvl>
  </w:abstractNum>
  <w:abstractNum w:abstractNumId="9">
    <w:nsid w:val="35A65B1D"/>
    <w:multiLevelType w:val="hybridMultilevel"/>
    <w:tmpl w:val="2E6AF980"/>
    <w:lvl w:ilvl="0" w:tplc="F0A8F94A">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9790655"/>
    <w:multiLevelType w:val="hybridMultilevel"/>
    <w:tmpl w:val="59825D96"/>
    <w:lvl w:ilvl="0" w:tplc="F9F4C2AA">
      <w:numFmt w:val="decimal"/>
      <w:lvlText w:val="6.%1"/>
      <w:lvlJc w:val="left"/>
      <w:pPr>
        <w:ind w:left="144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DF3472F"/>
    <w:multiLevelType w:val="hybridMultilevel"/>
    <w:tmpl w:val="42262A94"/>
    <w:lvl w:ilvl="0" w:tplc="04090017">
      <w:start w:val="1"/>
      <w:numFmt w:val="lowerLetter"/>
      <w:lvlText w:val="%1)"/>
      <w:lvlJc w:val="left"/>
      <w:pPr>
        <w:ind w:left="810" w:hanging="360"/>
      </w:p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2">
    <w:nsid w:val="40C7502B"/>
    <w:multiLevelType w:val="hybridMultilevel"/>
    <w:tmpl w:val="1952E820"/>
    <w:lvl w:ilvl="0" w:tplc="553E9CCE">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4DD5366C"/>
    <w:multiLevelType w:val="hybridMultilevel"/>
    <w:tmpl w:val="CF50B41C"/>
    <w:lvl w:ilvl="0" w:tplc="2014F23A">
      <w:start w:val="1"/>
      <w:numFmt w:val="decimal"/>
      <w:lvlText w:val="6.%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13F320B"/>
    <w:multiLevelType w:val="multilevel"/>
    <w:tmpl w:val="FD74F65E"/>
    <w:lvl w:ilvl="0">
      <w:start w:val="5"/>
      <w:numFmt w:val="decimal"/>
      <w:lvlText w:val="%1"/>
      <w:lvlJc w:val="left"/>
      <w:pPr>
        <w:ind w:left="360" w:hanging="360"/>
      </w:pPr>
      <w:rPr>
        <w:rFonts w:hint="default"/>
        <w:sz w:val="24"/>
      </w:rPr>
    </w:lvl>
    <w:lvl w:ilvl="1">
      <w:start w:val="2"/>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160" w:hanging="72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320" w:hanging="1440"/>
      </w:pPr>
      <w:rPr>
        <w:rFonts w:hint="default"/>
        <w:sz w:val="24"/>
      </w:rPr>
    </w:lvl>
  </w:abstractNum>
  <w:abstractNum w:abstractNumId="15">
    <w:nsid w:val="56900BB5"/>
    <w:multiLevelType w:val="multilevel"/>
    <w:tmpl w:val="C524B234"/>
    <w:lvl w:ilvl="0">
      <w:start w:val="5"/>
      <w:numFmt w:val="decimal"/>
      <w:lvlText w:val="%1."/>
      <w:lvlJc w:val="left"/>
      <w:pPr>
        <w:ind w:left="360" w:hanging="360"/>
      </w:pPr>
      <w:rPr>
        <w:rFonts w:hint="default"/>
        <w:sz w:val="24"/>
      </w:rPr>
    </w:lvl>
    <w:lvl w:ilvl="1">
      <w:start w:val="2"/>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320" w:hanging="1440"/>
      </w:pPr>
      <w:rPr>
        <w:rFonts w:hint="default"/>
        <w:sz w:val="24"/>
      </w:rPr>
    </w:lvl>
  </w:abstractNum>
  <w:abstractNum w:abstractNumId="16">
    <w:nsid w:val="591B3BAB"/>
    <w:multiLevelType w:val="multilevel"/>
    <w:tmpl w:val="B3707630"/>
    <w:lvl w:ilvl="0">
      <w:start w:val="5"/>
      <w:numFmt w:val="decimal"/>
      <w:lvlText w:val="%1."/>
      <w:lvlJc w:val="left"/>
      <w:pPr>
        <w:ind w:left="360" w:hanging="360"/>
      </w:pPr>
      <w:rPr>
        <w:rFonts w:hint="default"/>
        <w:sz w:val="24"/>
      </w:rPr>
    </w:lvl>
    <w:lvl w:ilvl="1">
      <w:start w:val="2"/>
      <w:numFmt w:val="decimal"/>
      <w:lvlText w:val="%1.%2."/>
      <w:lvlJc w:val="left"/>
      <w:pPr>
        <w:ind w:left="1080" w:hanging="360"/>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4680" w:hanging="1080"/>
      </w:pPr>
      <w:rPr>
        <w:rFonts w:hint="default"/>
        <w:sz w:val="24"/>
      </w:rPr>
    </w:lvl>
    <w:lvl w:ilvl="6">
      <w:start w:val="1"/>
      <w:numFmt w:val="decimal"/>
      <w:lvlText w:val="%1.%2.%3.%4.%5.%6.%7."/>
      <w:lvlJc w:val="left"/>
      <w:pPr>
        <w:ind w:left="5400" w:hanging="1080"/>
      </w:pPr>
      <w:rPr>
        <w:rFonts w:hint="default"/>
        <w:sz w:val="24"/>
      </w:rPr>
    </w:lvl>
    <w:lvl w:ilvl="7">
      <w:start w:val="1"/>
      <w:numFmt w:val="decimal"/>
      <w:lvlText w:val="%1.%2.%3.%4.%5.%6.%7.%8."/>
      <w:lvlJc w:val="left"/>
      <w:pPr>
        <w:ind w:left="6480" w:hanging="1440"/>
      </w:pPr>
      <w:rPr>
        <w:rFonts w:hint="default"/>
        <w:sz w:val="24"/>
      </w:rPr>
    </w:lvl>
    <w:lvl w:ilvl="8">
      <w:start w:val="1"/>
      <w:numFmt w:val="decimal"/>
      <w:lvlText w:val="%1.%2.%3.%4.%5.%6.%7.%8.%9."/>
      <w:lvlJc w:val="left"/>
      <w:pPr>
        <w:ind w:left="7200" w:hanging="1440"/>
      </w:pPr>
      <w:rPr>
        <w:rFonts w:hint="default"/>
        <w:sz w:val="24"/>
      </w:rPr>
    </w:lvl>
  </w:abstractNum>
  <w:abstractNum w:abstractNumId="17">
    <w:nsid w:val="6FC829AC"/>
    <w:multiLevelType w:val="hybridMultilevel"/>
    <w:tmpl w:val="EC4CDBD8"/>
    <w:lvl w:ilvl="0" w:tplc="61DE1C0C">
      <w:start w:val="1"/>
      <w:numFmt w:val="decimal"/>
      <w:lvlText w:val="3.%1"/>
      <w:lvlJc w:val="left"/>
      <w:pPr>
        <w:ind w:left="5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3BE7E85"/>
    <w:multiLevelType w:val="multilevel"/>
    <w:tmpl w:val="C57A7998"/>
    <w:lvl w:ilvl="0">
      <w:start w:val="1"/>
      <w:numFmt w:val="lowerLetter"/>
      <w:lvlText w:val="%1)"/>
      <w:lvlJc w:val="left"/>
      <w:pPr>
        <w:ind w:left="1080" w:hanging="360"/>
      </w:pPr>
      <w:rPr>
        <w:rFonts w:hint="default"/>
      </w:rPr>
    </w:lvl>
    <w:lvl w:ilvl="1">
      <w:start w:val="1"/>
      <w:numFmt w:val="decimal"/>
      <w:lvlText w:val="%2."/>
      <w:lvlJc w:val="left"/>
      <w:pPr>
        <w:ind w:left="1890" w:hanging="360"/>
      </w:pPr>
      <w:rPr>
        <w:rFonts w:hint="default"/>
      </w:rPr>
    </w:lvl>
    <w:lvl w:ilvl="2">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9">
    <w:nsid w:val="73DA472B"/>
    <w:multiLevelType w:val="multilevel"/>
    <w:tmpl w:val="096A6CE2"/>
    <w:lvl w:ilvl="0">
      <w:start w:val="1"/>
      <w:numFmt w:val="upperRoman"/>
      <w:lvlText w:val="%1."/>
      <w:lvlJc w:val="righ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nsid w:val="7C0E0100"/>
    <w:multiLevelType w:val="multilevel"/>
    <w:tmpl w:val="07D6D6CE"/>
    <w:lvl w:ilvl="0">
      <w:start w:val="1"/>
      <w:numFmt w:val="upperRoman"/>
      <w:lvlText w:val="%1."/>
      <w:lvlJc w:val="left"/>
      <w:pPr>
        <w:ind w:left="1080" w:hanging="720"/>
      </w:pPr>
      <w:rPr>
        <w:rFonts w:hint="default"/>
      </w:rPr>
    </w:lvl>
    <w:lvl w:ilvl="1">
      <w:start w:val="1"/>
      <w:numFmt w:val="decimal"/>
      <w:isLgl/>
      <w:lvlText w:val="%1.%2"/>
      <w:lvlJc w:val="left"/>
      <w:pPr>
        <w:ind w:left="450" w:hanging="360"/>
      </w:pPr>
      <w:rPr>
        <w:rFonts w:eastAsiaTheme="minorEastAsia" w:hint="default"/>
        <w:sz w:val="24"/>
      </w:rPr>
    </w:lvl>
    <w:lvl w:ilvl="2">
      <w:start w:val="1"/>
      <w:numFmt w:val="bullet"/>
      <w:lvlText w:val=""/>
      <w:lvlJc w:val="left"/>
      <w:pPr>
        <w:ind w:left="1080" w:hanging="720"/>
      </w:pPr>
      <w:rPr>
        <w:rFonts w:ascii="Symbol" w:hAnsi="Symbol" w:hint="default"/>
        <w:sz w:val="24"/>
      </w:rPr>
    </w:lvl>
    <w:lvl w:ilvl="3">
      <w:start w:val="1"/>
      <w:numFmt w:val="decimal"/>
      <w:isLgl/>
      <w:lvlText w:val="%1.%2.%3.%4"/>
      <w:lvlJc w:val="left"/>
      <w:pPr>
        <w:ind w:left="1080" w:hanging="720"/>
      </w:pPr>
      <w:rPr>
        <w:rFonts w:eastAsiaTheme="minorEastAsia" w:hint="default"/>
        <w:sz w:val="24"/>
      </w:rPr>
    </w:lvl>
    <w:lvl w:ilvl="4">
      <w:start w:val="1"/>
      <w:numFmt w:val="decimal"/>
      <w:isLgl/>
      <w:lvlText w:val="%1.%2.%3.%4.%5"/>
      <w:lvlJc w:val="left"/>
      <w:pPr>
        <w:ind w:left="1440" w:hanging="1080"/>
      </w:pPr>
      <w:rPr>
        <w:rFonts w:eastAsiaTheme="minorEastAsia" w:hint="default"/>
        <w:sz w:val="24"/>
      </w:rPr>
    </w:lvl>
    <w:lvl w:ilvl="5">
      <w:start w:val="1"/>
      <w:numFmt w:val="decimal"/>
      <w:isLgl/>
      <w:lvlText w:val="%1.%2.%3.%4.%5.%6"/>
      <w:lvlJc w:val="left"/>
      <w:pPr>
        <w:ind w:left="1440" w:hanging="1080"/>
      </w:pPr>
      <w:rPr>
        <w:rFonts w:eastAsiaTheme="minorEastAsia" w:hint="default"/>
        <w:sz w:val="24"/>
      </w:rPr>
    </w:lvl>
    <w:lvl w:ilvl="6">
      <w:start w:val="1"/>
      <w:numFmt w:val="decimal"/>
      <w:isLgl/>
      <w:lvlText w:val="%1.%2.%3.%4.%5.%6.%7"/>
      <w:lvlJc w:val="left"/>
      <w:pPr>
        <w:ind w:left="1800" w:hanging="1440"/>
      </w:pPr>
      <w:rPr>
        <w:rFonts w:eastAsiaTheme="minorEastAsia" w:hint="default"/>
        <w:sz w:val="24"/>
      </w:rPr>
    </w:lvl>
    <w:lvl w:ilvl="7">
      <w:start w:val="1"/>
      <w:numFmt w:val="decimal"/>
      <w:isLgl/>
      <w:lvlText w:val="%1.%2.%3.%4.%5.%6.%7.%8"/>
      <w:lvlJc w:val="left"/>
      <w:pPr>
        <w:ind w:left="1800" w:hanging="1440"/>
      </w:pPr>
      <w:rPr>
        <w:rFonts w:eastAsiaTheme="minorEastAsia" w:hint="default"/>
        <w:sz w:val="24"/>
      </w:rPr>
    </w:lvl>
    <w:lvl w:ilvl="8">
      <w:start w:val="1"/>
      <w:numFmt w:val="decimal"/>
      <w:isLgl/>
      <w:lvlText w:val="%1.%2.%3.%4.%5.%6.%7.%8.%9"/>
      <w:lvlJc w:val="left"/>
      <w:pPr>
        <w:ind w:left="1800" w:hanging="1440"/>
      </w:pPr>
      <w:rPr>
        <w:rFonts w:eastAsiaTheme="minorEastAsia" w:hint="default"/>
        <w:sz w:val="24"/>
      </w:rPr>
    </w:lvl>
  </w:abstractNum>
  <w:num w:numId="1">
    <w:abstractNumId w:val="8"/>
  </w:num>
  <w:num w:numId="2">
    <w:abstractNumId w:val="1"/>
  </w:num>
  <w:num w:numId="3">
    <w:abstractNumId w:val="18"/>
  </w:num>
  <w:num w:numId="4">
    <w:abstractNumId w:val="2"/>
  </w:num>
  <w:num w:numId="5">
    <w:abstractNumId w:val="5"/>
  </w:num>
  <w:num w:numId="6">
    <w:abstractNumId w:val="11"/>
  </w:num>
  <w:num w:numId="7">
    <w:abstractNumId w:val="9"/>
  </w:num>
  <w:num w:numId="8">
    <w:abstractNumId w:val="7"/>
  </w:num>
  <w:num w:numId="9">
    <w:abstractNumId w:val="17"/>
  </w:num>
  <w:num w:numId="10">
    <w:abstractNumId w:val="3"/>
  </w:num>
  <w:num w:numId="11">
    <w:abstractNumId w:val="6"/>
  </w:num>
  <w:num w:numId="12">
    <w:abstractNumId w:val="13"/>
  </w:num>
  <w:num w:numId="13">
    <w:abstractNumId w:val="0"/>
  </w:num>
  <w:num w:numId="14">
    <w:abstractNumId w:val="12"/>
  </w:num>
  <w:num w:numId="15">
    <w:abstractNumId w:val="1"/>
  </w:num>
  <w:num w:numId="16">
    <w:abstractNumId w:val="1"/>
  </w:num>
  <w:num w:numId="17">
    <w:abstractNumId w:val="1"/>
  </w:num>
  <w:num w:numId="18">
    <w:abstractNumId w:val="1"/>
  </w:num>
  <w:num w:numId="19">
    <w:abstractNumId w:val="19"/>
  </w:num>
  <w:num w:numId="20">
    <w:abstractNumId w:val="1"/>
  </w:num>
  <w:num w:numId="21">
    <w:abstractNumId w:val="16"/>
  </w:num>
  <w:num w:numId="22">
    <w:abstractNumId w:val="14"/>
  </w:num>
  <w:num w:numId="23">
    <w:abstractNumId w:val="15"/>
  </w:num>
  <w:num w:numId="24">
    <w:abstractNumId w:val="1"/>
  </w:num>
  <w:num w:numId="25">
    <w:abstractNumId w:val="10"/>
  </w:num>
  <w:num w:numId="26">
    <w:abstractNumId w:val="4"/>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visionView w:markup="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1E0"/>
    <w:rsid w:val="000674A3"/>
    <w:rsid w:val="000A1871"/>
    <w:rsid w:val="00182603"/>
    <w:rsid w:val="001E3991"/>
    <w:rsid w:val="001F6ACE"/>
    <w:rsid w:val="00226435"/>
    <w:rsid w:val="002413E1"/>
    <w:rsid w:val="00273AC1"/>
    <w:rsid w:val="002C7877"/>
    <w:rsid w:val="00380EDE"/>
    <w:rsid w:val="003E71E0"/>
    <w:rsid w:val="00406500"/>
    <w:rsid w:val="00442F66"/>
    <w:rsid w:val="00451C44"/>
    <w:rsid w:val="004C3191"/>
    <w:rsid w:val="00546391"/>
    <w:rsid w:val="00586FC0"/>
    <w:rsid w:val="00595F2F"/>
    <w:rsid w:val="006D7581"/>
    <w:rsid w:val="00735246"/>
    <w:rsid w:val="00757106"/>
    <w:rsid w:val="007A33E8"/>
    <w:rsid w:val="008173C4"/>
    <w:rsid w:val="008548BE"/>
    <w:rsid w:val="00960292"/>
    <w:rsid w:val="009D62FC"/>
    <w:rsid w:val="00B32193"/>
    <w:rsid w:val="00C84CB7"/>
    <w:rsid w:val="00F15948"/>
    <w:rsid w:val="00F22058"/>
    <w:rsid w:val="00F30937"/>
    <w:rsid w:val="00FA00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AAF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1E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1E0"/>
    <w:pPr>
      <w:ind w:left="720"/>
    </w:pPr>
  </w:style>
  <w:style w:type="paragraph" w:customStyle="1" w:styleId="Chapter">
    <w:name w:val="Chapter"/>
    <w:basedOn w:val="Normal"/>
    <w:next w:val="Normal"/>
    <w:uiPriority w:val="99"/>
    <w:rsid w:val="003E71E0"/>
    <w:pPr>
      <w:numPr>
        <w:numId w:val="2"/>
      </w:numPr>
      <w:tabs>
        <w:tab w:val="clear" w:pos="648"/>
        <w:tab w:val="num" w:pos="360"/>
        <w:tab w:val="left" w:pos="1440"/>
      </w:tabs>
      <w:spacing w:after="240"/>
      <w:ind w:firstLine="0"/>
      <w:jc w:val="center"/>
    </w:pPr>
    <w:rPr>
      <w:rFonts w:cs="Arial"/>
      <w:b/>
      <w:smallCaps/>
      <w:noProof/>
      <w:sz w:val="24"/>
    </w:rPr>
  </w:style>
  <w:style w:type="paragraph" w:customStyle="1" w:styleId="Paragraph">
    <w:name w:val="Paragraph"/>
    <w:aliases w:val="paragraph,p,PARAGRAPH,PG,pa,at"/>
    <w:basedOn w:val="BodyTextIndent"/>
    <w:link w:val="ParagraphChar"/>
    <w:uiPriority w:val="99"/>
    <w:rsid w:val="003E71E0"/>
    <w:pPr>
      <w:numPr>
        <w:ilvl w:val="1"/>
        <w:numId w:val="2"/>
      </w:numPr>
      <w:spacing w:before="120"/>
      <w:jc w:val="both"/>
      <w:outlineLvl w:val="1"/>
    </w:pPr>
    <w:rPr>
      <w:sz w:val="24"/>
    </w:rPr>
  </w:style>
  <w:style w:type="paragraph" w:customStyle="1" w:styleId="subpar">
    <w:name w:val="subpar"/>
    <w:basedOn w:val="BodyTextIndent3"/>
    <w:uiPriority w:val="99"/>
    <w:rsid w:val="003E71E0"/>
    <w:pPr>
      <w:numPr>
        <w:ilvl w:val="2"/>
        <w:numId w:val="2"/>
      </w:numPr>
      <w:spacing w:before="120"/>
      <w:jc w:val="both"/>
      <w:outlineLvl w:val="2"/>
    </w:pPr>
    <w:rPr>
      <w:sz w:val="24"/>
      <w:szCs w:val="20"/>
    </w:rPr>
  </w:style>
  <w:style w:type="paragraph" w:customStyle="1" w:styleId="SubSubPar">
    <w:name w:val="SubSubPar"/>
    <w:basedOn w:val="subpar"/>
    <w:uiPriority w:val="99"/>
    <w:rsid w:val="003E71E0"/>
    <w:pPr>
      <w:numPr>
        <w:ilvl w:val="3"/>
      </w:numPr>
      <w:tabs>
        <w:tab w:val="clear" w:pos="1584"/>
        <w:tab w:val="left" w:pos="0"/>
        <w:tab w:val="num" w:pos="720"/>
      </w:tabs>
      <w:ind w:left="720" w:hanging="360"/>
    </w:pPr>
  </w:style>
  <w:style w:type="character" w:customStyle="1" w:styleId="ParagraphChar">
    <w:name w:val="Paragraph Char"/>
    <w:basedOn w:val="DefaultParagraphFont"/>
    <w:link w:val="Paragraph"/>
    <w:uiPriority w:val="99"/>
    <w:rsid w:val="003E71E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3E71E0"/>
    <w:pPr>
      <w:tabs>
        <w:tab w:val="center" w:pos="4680"/>
        <w:tab w:val="right" w:pos="9360"/>
      </w:tabs>
    </w:pPr>
  </w:style>
  <w:style w:type="character" w:customStyle="1" w:styleId="HeaderChar">
    <w:name w:val="Header Char"/>
    <w:basedOn w:val="DefaultParagraphFont"/>
    <w:link w:val="Header"/>
    <w:uiPriority w:val="99"/>
    <w:rsid w:val="003E71E0"/>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E71E0"/>
    <w:pPr>
      <w:tabs>
        <w:tab w:val="center" w:pos="4680"/>
        <w:tab w:val="right" w:pos="9360"/>
      </w:tabs>
    </w:pPr>
  </w:style>
  <w:style w:type="character" w:customStyle="1" w:styleId="FooterChar">
    <w:name w:val="Footer Char"/>
    <w:basedOn w:val="DefaultParagraphFont"/>
    <w:link w:val="Footer"/>
    <w:uiPriority w:val="99"/>
    <w:rsid w:val="003E71E0"/>
    <w:rPr>
      <w:rFonts w:ascii="Times New Roman" w:eastAsia="Times New Roman" w:hAnsi="Times New Roman" w:cs="Times New Roman"/>
      <w:sz w:val="20"/>
      <w:szCs w:val="20"/>
    </w:rPr>
  </w:style>
  <w:style w:type="character" w:styleId="Hyperlink">
    <w:name w:val="Hyperlink"/>
    <w:basedOn w:val="DefaultParagraphFont"/>
    <w:uiPriority w:val="99"/>
    <w:unhideWhenUsed/>
    <w:rsid w:val="003E71E0"/>
    <w:rPr>
      <w:color w:val="0000FF" w:themeColor="hyperlink"/>
      <w:u w:val="single"/>
    </w:rPr>
  </w:style>
  <w:style w:type="paragraph" w:styleId="BodyTextIndent">
    <w:name w:val="Body Text Indent"/>
    <w:basedOn w:val="Normal"/>
    <w:link w:val="BodyTextIndentChar"/>
    <w:uiPriority w:val="99"/>
    <w:semiHidden/>
    <w:unhideWhenUsed/>
    <w:rsid w:val="003E71E0"/>
    <w:pPr>
      <w:spacing w:after="120"/>
      <w:ind w:left="360"/>
    </w:pPr>
  </w:style>
  <w:style w:type="character" w:customStyle="1" w:styleId="BodyTextIndentChar">
    <w:name w:val="Body Text Indent Char"/>
    <w:basedOn w:val="DefaultParagraphFont"/>
    <w:link w:val="BodyTextIndent"/>
    <w:uiPriority w:val="99"/>
    <w:semiHidden/>
    <w:rsid w:val="003E71E0"/>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3E71E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E71E0"/>
    <w:rPr>
      <w:rFonts w:ascii="Times New Roman" w:eastAsia="Times New Roman" w:hAnsi="Times New Roman" w:cs="Times New Roman"/>
      <w:sz w:val="16"/>
      <w:szCs w:val="16"/>
    </w:rPr>
  </w:style>
  <w:style w:type="paragraph" w:styleId="Subtitle">
    <w:name w:val="Subtitle"/>
    <w:basedOn w:val="Normal"/>
    <w:link w:val="SubtitleChar"/>
    <w:qFormat/>
    <w:rsid w:val="002C7877"/>
    <w:pPr>
      <w:jc w:val="both"/>
    </w:pPr>
    <w:rPr>
      <w:b/>
      <w:sz w:val="24"/>
      <w:szCs w:val="24"/>
    </w:rPr>
  </w:style>
  <w:style w:type="character" w:customStyle="1" w:styleId="SubtitleChar">
    <w:name w:val="Subtitle Char"/>
    <w:basedOn w:val="DefaultParagraphFont"/>
    <w:link w:val="Subtitle"/>
    <w:rsid w:val="002C7877"/>
    <w:rPr>
      <w:rFonts w:ascii="Times New Roman" w:eastAsia="Times New Roman" w:hAnsi="Times New Roman" w:cs="Times New Roman"/>
      <w:b/>
      <w:sz w:val="24"/>
      <w:szCs w:val="24"/>
    </w:rPr>
  </w:style>
  <w:style w:type="paragraph" w:styleId="BalloonText">
    <w:name w:val="Balloon Text"/>
    <w:basedOn w:val="Normal"/>
    <w:link w:val="BalloonTextChar"/>
    <w:uiPriority w:val="99"/>
    <w:semiHidden/>
    <w:unhideWhenUsed/>
    <w:rsid w:val="002C7877"/>
    <w:rPr>
      <w:rFonts w:ascii="Tahoma" w:hAnsi="Tahoma" w:cs="Tahoma"/>
      <w:sz w:val="16"/>
      <w:szCs w:val="16"/>
    </w:rPr>
  </w:style>
  <w:style w:type="character" w:customStyle="1" w:styleId="BalloonTextChar">
    <w:name w:val="Balloon Text Char"/>
    <w:basedOn w:val="DefaultParagraphFont"/>
    <w:link w:val="BalloonText"/>
    <w:uiPriority w:val="99"/>
    <w:semiHidden/>
    <w:rsid w:val="002C7877"/>
    <w:rPr>
      <w:rFonts w:ascii="Tahoma" w:eastAsia="Times New Roman" w:hAnsi="Tahoma" w:cs="Tahoma"/>
      <w:sz w:val="16"/>
      <w:szCs w:val="16"/>
    </w:rPr>
  </w:style>
  <w:style w:type="paragraph" w:customStyle="1" w:styleId="Default">
    <w:name w:val="Default"/>
    <w:rsid w:val="008173C4"/>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semiHidden/>
    <w:unhideWhenUsed/>
    <w:rsid w:val="008173C4"/>
    <w:rPr>
      <w:rFonts w:asciiTheme="minorHAnsi" w:eastAsiaTheme="minorEastAsia" w:hAnsiTheme="minorHAnsi" w:cstheme="minorBidi"/>
    </w:rPr>
  </w:style>
  <w:style w:type="character" w:customStyle="1" w:styleId="FootnoteTextChar">
    <w:name w:val="Footnote Text Char"/>
    <w:basedOn w:val="DefaultParagraphFont"/>
    <w:link w:val="FootnoteText"/>
    <w:uiPriority w:val="99"/>
    <w:semiHidden/>
    <w:rsid w:val="008173C4"/>
    <w:rPr>
      <w:rFonts w:eastAsiaTheme="minorEastAsia"/>
      <w:sz w:val="20"/>
      <w:szCs w:val="20"/>
    </w:rPr>
  </w:style>
  <w:style w:type="character" w:styleId="FootnoteReference">
    <w:name w:val="footnote reference"/>
    <w:basedOn w:val="DefaultParagraphFont"/>
    <w:uiPriority w:val="99"/>
    <w:semiHidden/>
    <w:unhideWhenUsed/>
    <w:rsid w:val="008173C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1E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1E0"/>
    <w:pPr>
      <w:ind w:left="720"/>
    </w:pPr>
  </w:style>
  <w:style w:type="paragraph" w:customStyle="1" w:styleId="Chapter">
    <w:name w:val="Chapter"/>
    <w:basedOn w:val="Normal"/>
    <w:next w:val="Normal"/>
    <w:uiPriority w:val="99"/>
    <w:rsid w:val="003E71E0"/>
    <w:pPr>
      <w:numPr>
        <w:numId w:val="2"/>
      </w:numPr>
      <w:tabs>
        <w:tab w:val="clear" w:pos="648"/>
        <w:tab w:val="num" w:pos="360"/>
        <w:tab w:val="left" w:pos="1440"/>
      </w:tabs>
      <w:spacing w:after="240"/>
      <w:ind w:firstLine="0"/>
      <w:jc w:val="center"/>
    </w:pPr>
    <w:rPr>
      <w:rFonts w:cs="Arial"/>
      <w:b/>
      <w:smallCaps/>
      <w:noProof/>
      <w:sz w:val="24"/>
    </w:rPr>
  </w:style>
  <w:style w:type="paragraph" w:customStyle="1" w:styleId="Paragraph">
    <w:name w:val="Paragraph"/>
    <w:aliases w:val="paragraph,p,PARAGRAPH,PG,pa,at"/>
    <w:basedOn w:val="BodyTextIndent"/>
    <w:link w:val="ParagraphChar"/>
    <w:uiPriority w:val="99"/>
    <w:rsid w:val="003E71E0"/>
    <w:pPr>
      <w:numPr>
        <w:ilvl w:val="1"/>
        <w:numId w:val="2"/>
      </w:numPr>
      <w:spacing w:before="120"/>
      <w:jc w:val="both"/>
      <w:outlineLvl w:val="1"/>
    </w:pPr>
    <w:rPr>
      <w:sz w:val="24"/>
    </w:rPr>
  </w:style>
  <w:style w:type="paragraph" w:customStyle="1" w:styleId="subpar">
    <w:name w:val="subpar"/>
    <w:basedOn w:val="BodyTextIndent3"/>
    <w:uiPriority w:val="99"/>
    <w:rsid w:val="003E71E0"/>
    <w:pPr>
      <w:numPr>
        <w:ilvl w:val="2"/>
        <w:numId w:val="2"/>
      </w:numPr>
      <w:spacing w:before="120"/>
      <w:jc w:val="both"/>
      <w:outlineLvl w:val="2"/>
    </w:pPr>
    <w:rPr>
      <w:sz w:val="24"/>
      <w:szCs w:val="20"/>
    </w:rPr>
  </w:style>
  <w:style w:type="paragraph" w:customStyle="1" w:styleId="SubSubPar">
    <w:name w:val="SubSubPar"/>
    <w:basedOn w:val="subpar"/>
    <w:uiPriority w:val="99"/>
    <w:rsid w:val="003E71E0"/>
    <w:pPr>
      <w:numPr>
        <w:ilvl w:val="3"/>
      </w:numPr>
      <w:tabs>
        <w:tab w:val="clear" w:pos="1584"/>
        <w:tab w:val="left" w:pos="0"/>
        <w:tab w:val="num" w:pos="720"/>
      </w:tabs>
      <w:ind w:left="720" w:hanging="360"/>
    </w:pPr>
  </w:style>
  <w:style w:type="character" w:customStyle="1" w:styleId="ParagraphChar">
    <w:name w:val="Paragraph Char"/>
    <w:basedOn w:val="DefaultParagraphFont"/>
    <w:link w:val="Paragraph"/>
    <w:uiPriority w:val="99"/>
    <w:rsid w:val="003E71E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3E71E0"/>
    <w:pPr>
      <w:tabs>
        <w:tab w:val="center" w:pos="4680"/>
        <w:tab w:val="right" w:pos="9360"/>
      </w:tabs>
    </w:pPr>
  </w:style>
  <w:style w:type="character" w:customStyle="1" w:styleId="HeaderChar">
    <w:name w:val="Header Char"/>
    <w:basedOn w:val="DefaultParagraphFont"/>
    <w:link w:val="Header"/>
    <w:uiPriority w:val="99"/>
    <w:rsid w:val="003E71E0"/>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E71E0"/>
    <w:pPr>
      <w:tabs>
        <w:tab w:val="center" w:pos="4680"/>
        <w:tab w:val="right" w:pos="9360"/>
      </w:tabs>
    </w:pPr>
  </w:style>
  <w:style w:type="character" w:customStyle="1" w:styleId="FooterChar">
    <w:name w:val="Footer Char"/>
    <w:basedOn w:val="DefaultParagraphFont"/>
    <w:link w:val="Footer"/>
    <w:uiPriority w:val="99"/>
    <w:rsid w:val="003E71E0"/>
    <w:rPr>
      <w:rFonts w:ascii="Times New Roman" w:eastAsia="Times New Roman" w:hAnsi="Times New Roman" w:cs="Times New Roman"/>
      <w:sz w:val="20"/>
      <w:szCs w:val="20"/>
    </w:rPr>
  </w:style>
  <w:style w:type="character" w:styleId="Hyperlink">
    <w:name w:val="Hyperlink"/>
    <w:basedOn w:val="DefaultParagraphFont"/>
    <w:uiPriority w:val="99"/>
    <w:unhideWhenUsed/>
    <w:rsid w:val="003E71E0"/>
    <w:rPr>
      <w:color w:val="0000FF" w:themeColor="hyperlink"/>
      <w:u w:val="single"/>
    </w:rPr>
  </w:style>
  <w:style w:type="paragraph" w:styleId="BodyTextIndent">
    <w:name w:val="Body Text Indent"/>
    <w:basedOn w:val="Normal"/>
    <w:link w:val="BodyTextIndentChar"/>
    <w:uiPriority w:val="99"/>
    <w:semiHidden/>
    <w:unhideWhenUsed/>
    <w:rsid w:val="003E71E0"/>
    <w:pPr>
      <w:spacing w:after="120"/>
      <w:ind w:left="360"/>
    </w:pPr>
  </w:style>
  <w:style w:type="character" w:customStyle="1" w:styleId="BodyTextIndentChar">
    <w:name w:val="Body Text Indent Char"/>
    <w:basedOn w:val="DefaultParagraphFont"/>
    <w:link w:val="BodyTextIndent"/>
    <w:uiPriority w:val="99"/>
    <w:semiHidden/>
    <w:rsid w:val="003E71E0"/>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3E71E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E71E0"/>
    <w:rPr>
      <w:rFonts w:ascii="Times New Roman" w:eastAsia="Times New Roman" w:hAnsi="Times New Roman" w:cs="Times New Roman"/>
      <w:sz w:val="16"/>
      <w:szCs w:val="16"/>
    </w:rPr>
  </w:style>
  <w:style w:type="paragraph" w:styleId="Subtitle">
    <w:name w:val="Subtitle"/>
    <w:basedOn w:val="Normal"/>
    <w:link w:val="SubtitleChar"/>
    <w:qFormat/>
    <w:rsid w:val="002C7877"/>
    <w:pPr>
      <w:jc w:val="both"/>
    </w:pPr>
    <w:rPr>
      <w:b/>
      <w:sz w:val="24"/>
      <w:szCs w:val="24"/>
    </w:rPr>
  </w:style>
  <w:style w:type="character" w:customStyle="1" w:styleId="SubtitleChar">
    <w:name w:val="Subtitle Char"/>
    <w:basedOn w:val="DefaultParagraphFont"/>
    <w:link w:val="Subtitle"/>
    <w:rsid w:val="002C7877"/>
    <w:rPr>
      <w:rFonts w:ascii="Times New Roman" w:eastAsia="Times New Roman" w:hAnsi="Times New Roman" w:cs="Times New Roman"/>
      <w:b/>
      <w:sz w:val="24"/>
      <w:szCs w:val="24"/>
    </w:rPr>
  </w:style>
  <w:style w:type="paragraph" w:styleId="BalloonText">
    <w:name w:val="Balloon Text"/>
    <w:basedOn w:val="Normal"/>
    <w:link w:val="BalloonTextChar"/>
    <w:uiPriority w:val="99"/>
    <w:semiHidden/>
    <w:unhideWhenUsed/>
    <w:rsid w:val="002C7877"/>
    <w:rPr>
      <w:rFonts w:ascii="Tahoma" w:hAnsi="Tahoma" w:cs="Tahoma"/>
      <w:sz w:val="16"/>
      <w:szCs w:val="16"/>
    </w:rPr>
  </w:style>
  <w:style w:type="character" w:customStyle="1" w:styleId="BalloonTextChar">
    <w:name w:val="Balloon Text Char"/>
    <w:basedOn w:val="DefaultParagraphFont"/>
    <w:link w:val="BalloonText"/>
    <w:uiPriority w:val="99"/>
    <w:semiHidden/>
    <w:rsid w:val="002C7877"/>
    <w:rPr>
      <w:rFonts w:ascii="Tahoma" w:eastAsia="Times New Roman" w:hAnsi="Tahoma" w:cs="Tahoma"/>
      <w:sz w:val="16"/>
      <w:szCs w:val="16"/>
    </w:rPr>
  </w:style>
  <w:style w:type="paragraph" w:customStyle="1" w:styleId="Default">
    <w:name w:val="Default"/>
    <w:rsid w:val="008173C4"/>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semiHidden/>
    <w:unhideWhenUsed/>
    <w:rsid w:val="008173C4"/>
    <w:rPr>
      <w:rFonts w:asciiTheme="minorHAnsi" w:eastAsiaTheme="minorEastAsia" w:hAnsiTheme="minorHAnsi" w:cstheme="minorBidi"/>
    </w:rPr>
  </w:style>
  <w:style w:type="character" w:customStyle="1" w:styleId="FootnoteTextChar">
    <w:name w:val="Footnote Text Char"/>
    <w:basedOn w:val="DefaultParagraphFont"/>
    <w:link w:val="FootnoteText"/>
    <w:uiPriority w:val="99"/>
    <w:semiHidden/>
    <w:rsid w:val="008173C4"/>
    <w:rPr>
      <w:rFonts w:eastAsiaTheme="minorEastAsia"/>
      <w:sz w:val="20"/>
      <w:szCs w:val="20"/>
    </w:rPr>
  </w:style>
  <w:style w:type="character" w:styleId="FootnoteReference">
    <w:name w:val="footnote reference"/>
    <w:basedOn w:val="DefaultParagraphFont"/>
    <w:uiPriority w:val="99"/>
    <w:semiHidden/>
    <w:unhideWhenUsed/>
    <w:rsid w:val="008173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77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39676580</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De Salvo, Carmine Paolo</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RG-T2622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AG-AGR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7CD87FD37736C4993A5F7E173E43811" ma:contentTypeVersion="0" ma:contentTypeDescription="A content type to manage public (operations) IDB documents" ma:contentTypeScope="" ma:versionID="ecb93a11ad8bdf2b1ba07840ecb5643a">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A5A80D-F4BD-4908-A276-7E8CA73A59BC}"/>
</file>

<file path=customXml/itemProps2.xml><?xml version="1.0" encoding="utf-8"?>
<ds:datastoreItem xmlns:ds="http://schemas.openxmlformats.org/officeDocument/2006/customXml" ds:itemID="{0DEFAAD5-B922-48D5-9BAC-A6CCF78D7FB9}"/>
</file>

<file path=customXml/itemProps3.xml><?xml version="1.0" encoding="utf-8"?>
<ds:datastoreItem xmlns:ds="http://schemas.openxmlformats.org/officeDocument/2006/customXml" ds:itemID="{60FC1157-7BD8-4F52-85A1-2EBAF78DFE03}"/>
</file>

<file path=customXml/itemProps4.xml><?xml version="1.0" encoding="utf-8"?>
<ds:datastoreItem xmlns:ds="http://schemas.openxmlformats.org/officeDocument/2006/customXml" ds:itemID="{F0B429B6-BF57-4A43-B15E-289DA94AD743}"/>
</file>

<file path=customXml/itemProps5.xml><?xml version="1.0" encoding="utf-8"?>
<ds:datastoreItem xmlns:ds="http://schemas.openxmlformats.org/officeDocument/2006/customXml" ds:itemID="{B08ED195-70DB-4D4D-9B09-89FAE7C6F247}"/>
</file>

<file path=docProps/app.xml><?xml version="1.0" encoding="utf-8"?>
<Properties xmlns="http://schemas.openxmlformats.org/officeDocument/2006/extended-properties" xmlns:vt="http://schemas.openxmlformats.org/officeDocument/2006/docPropsVTypes">
  <Template>Normal.dotm</Template>
  <TotalTime>88</TotalTime>
  <Pages>4</Pages>
  <Words>1207</Words>
  <Characters>6885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TORs -  Coordinator</dc:title>
  <dc:creator>Test</dc:creator>
  <cp:lastModifiedBy>IADB</cp:lastModifiedBy>
  <cp:revision>11</cp:revision>
  <cp:lastPrinted>2014-06-12T18:26:00Z</cp:lastPrinted>
  <dcterms:created xsi:type="dcterms:W3CDTF">2015-01-09T20:23:00Z</dcterms:created>
  <dcterms:modified xsi:type="dcterms:W3CDTF">2015-06-15T14:46:00Z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0x01010046CF21643EE8D14686A648AA6DAD08920027CD87FD37736C4993A5F7E173E43811</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