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EA" w:rsidRDefault="00B302EA" w:rsidP="00B302EA">
      <w:pPr>
        <w:pStyle w:val="ListParagraph"/>
        <w:ind w:left="0"/>
        <w:jc w:val="right"/>
        <w:rPr>
          <w:b/>
          <w:smallCaps/>
          <w:sz w:val="24"/>
          <w:szCs w:val="24"/>
        </w:rPr>
      </w:pPr>
      <w:r>
        <w:rPr>
          <w:b/>
          <w:smallCaps/>
          <w:sz w:val="24"/>
          <w:szCs w:val="24"/>
        </w:rPr>
        <w:t>Annex A</w:t>
      </w:r>
    </w:p>
    <w:p w:rsidR="00996F2E" w:rsidRPr="00562210" w:rsidRDefault="00996F2E" w:rsidP="00996F2E">
      <w:pPr>
        <w:pStyle w:val="ListParagraph"/>
        <w:ind w:left="0"/>
        <w:jc w:val="center"/>
        <w:rPr>
          <w:b/>
          <w:smallCaps/>
          <w:sz w:val="24"/>
          <w:szCs w:val="24"/>
        </w:rPr>
      </w:pPr>
      <w:r w:rsidRPr="00562210">
        <w:rPr>
          <w:b/>
          <w:smallCaps/>
          <w:sz w:val="24"/>
          <w:szCs w:val="24"/>
        </w:rPr>
        <w:t>regional</w:t>
      </w:r>
    </w:p>
    <w:p w:rsidR="00996F2E" w:rsidRPr="00562210" w:rsidRDefault="00996F2E" w:rsidP="00996F2E">
      <w:pPr>
        <w:pStyle w:val="ListParagraph"/>
        <w:ind w:left="0"/>
        <w:jc w:val="center"/>
        <w:rPr>
          <w:b/>
          <w:smallCaps/>
          <w:sz w:val="24"/>
          <w:szCs w:val="24"/>
        </w:rPr>
      </w:pPr>
    </w:p>
    <w:p w:rsidR="00996F2E" w:rsidRDefault="00520AAB" w:rsidP="00996F2E">
      <w:pPr>
        <w:pStyle w:val="ListParagraph"/>
        <w:ind w:left="0"/>
        <w:jc w:val="center"/>
        <w:rPr>
          <w:b/>
          <w:smallCaps/>
          <w:sz w:val="24"/>
          <w:szCs w:val="24"/>
        </w:rPr>
      </w:pPr>
      <w:r w:rsidRPr="00520AAB">
        <w:rPr>
          <w:b/>
          <w:smallCaps/>
          <w:sz w:val="24"/>
          <w:szCs w:val="24"/>
        </w:rPr>
        <w:t xml:space="preserve">SUPPORT TO AGRICULTURAL POLICY ANALYSIS TO IMPROVE FOOD SECURITY, COMPETITIVENESS AND ADAPTATION TO CLIMATE CHANGE IN THE CARIBBEAN </w:t>
      </w:r>
      <w:r w:rsidR="00996F2E">
        <w:rPr>
          <w:b/>
          <w:smallCaps/>
          <w:sz w:val="24"/>
          <w:szCs w:val="24"/>
        </w:rPr>
        <w:t>RG-T2622</w:t>
      </w:r>
    </w:p>
    <w:p w:rsidR="00780CDB" w:rsidRPr="00562210" w:rsidRDefault="00780CDB" w:rsidP="00996F2E">
      <w:pPr>
        <w:pStyle w:val="ListParagraph"/>
        <w:ind w:left="0"/>
        <w:jc w:val="center"/>
        <w:rPr>
          <w:b/>
          <w:smallCaps/>
          <w:sz w:val="24"/>
          <w:szCs w:val="24"/>
        </w:rPr>
      </w:pPr>
    </w:p>
    <w:p w:rsidR="00996F2E" w:rsidRPr="00F6093F" w:rsidRDefault="00996F2E" w:rsidP="00996F2E">
      <w:pPr>
        <w:jc w:val="center"/>
        <w:rPr>
          <w:b/>
          <w:smallCaps/>
          <w:sz w:val="24"/>
          <w:szCs w:val="24"/>
        </w:rPr>
      </w:pPr>
      <w:r w:rsidRPr="00F6093F">
        <w:rPr>
          <w:b/>
          <w:smallCaps/>
          <w:sz w:val="24"/>
          <w:szCs w:val="24"/>
        </w:rPr>
        <w:t>Terms of Reference</w:t>
      </w:r>
    </w:p>
    <w:p w:rsidR="00996F2E" w:rsidRPr="00F6093F" w:rsidRDefault="00996F2E" w:rsidP="00996F2E">
      <w:pPr>
        <w:jc w:val="center"/>
        <w:rPr>
          <w:b/>
          <w:smallCaps/>
          <w:sz w:val="24"/>
          <w:szCs w:val="24"/>
        </w:rPr>
      </w:pPr>
    </w:p>
    <w:p w:rsidR="00996F2E" w:rsidRPr="00F6093F" w:rsidRDefault="00996F2E" w:rsidP="00996F2E">
      <w:pPr>
        <w:jc w:val="center"/>
        <w:rPr>
          <w:b/>
          <w:smallCaps/>
          <w:sz w:val="24"/>
          <w:szCs w:val="24"/>
        </w:rPr>
      </w:pPr>
      <w:r>
        <w:rPr>
          <w:b/>
          <w:smallCaps/>
          <w:sz w:val="24"/>
          <w:szCs w:val="24"/>
        </w:rPr>
        <w:t xml:space="preserve">Quality Control and Product Development </w:t>
      </w:r>
    </w:p>
    <w:p w:rsidR="00996F2E" w:rsidRPr="00F6093F" w:rsidRDefault="00996F2E" w:rsidP="00996F2E">
      <w:pPr>
        <w:jc w:val="center"/>
        <w:rPr>
          <w:b/>
          <w:smallCaps/>
          <w:sz w:val="24"/>
          <w:szCs w:val="24"/>
        </w:rPr>
      </w:pPr>
    </w:p>
    <w:p w:rsidR="00996F2E" w:rsidRPr="00F6093F" w:rsidRDefault="00996F2E" w:rsidP="00B302EA">
      <w:pPr>
        <w:pStyle w:val="ListParagraph"/>
        <w:numPr>
          <w:ilvl w:val="0"/>
          <w:numId w:val="1"/>
        </w:numPr>
        <w:spacing w:before="240" w:after="240"/>
        <w:ind w:left="720"/>
        <w:jc w:val="center"/>
        <w:rPr>
          <w:b/>
          <w:bCs/>
          <w:smallCaps/>
          <w:sz w:val="24"/>
          <w:szCs w:val="24"/>
        </w:rPr>
      </w:pPr>
      <w:r w:rsidRPr="00F6093F">
        <w:rPr>
          <w:b/>
          <w:bCs/>
          <w:smallCaps/>
          <w:sz w:val="24"/>
          <w:szCs w:val="24"/>
        </w:rPr>
        <w:t>General Background</w:t>
      </w:r>
    </w:p>
    <w:p w:rsidR="001F5F5E" w:rsidRDefault="001F5F5E" w:rsidP="001F5F5E">
      <w:pPr>
        <w:pStyle w:val="Paragraph"/>
        <w:numPr>
          <w:ilvl w:val="0"/>
          <w:numId w:val="0"/>
        </w:numPr>
        <w:ind w:left="360"/>
      </w:pPr>
      <w:r>
        <w:t>For most of the past fifty years, real agricultural commodity prices followed a downward trend punctuated by short-lived peaks that were not matched by equally pronounced and short-lived price falls but rather were separated by extended price troughs. Since around 2002 it appears that food prices have departed from this secular decline: prices have now been above trend for longer than at any time in the previous forty years and food price inflation has been faster than overall inflation in most countries. Prices have also become increasingly volatile with successively higher peaks in 2007-2008, 2010-2011 and, most recently, 2012. Given their geographical location and reliance on food imports, Caribbean countries are among the most vulnerable in the world to food price increases and climate change with a high incidence on rural poverty. The Caribbean countries also show the highest import tariffs. This situation is particularly worrisome given that, in addition to higher import tariffs, the shipping structures of the Caribbean islands provide for very little direct service and low connectivity, which in turn leads to higher ocean freight rates.</w:t>
      </w:r>
    </w:p>
    <w:p w:rsidR="001F5F5E" w:rsidRDefault="001F5F5E" w:rsidP="001F5F5E">
      <w:pPr>
        <w:pStyle w:val="Paragraph"/>
        <w:numPr>
          <w:ilvl w:val="0"/>
          <w:numId w:val="0"/>
        </w:numPr>
        <w:ind w:left="360"/>
      </w:pPr>
      <w:r>
        <w:t xml:space="preserve">The objective of the referenced Technical Cooperation (TC) is therefore to generate policy recommendations for a more efficient allocation of fiscal resources that could lead to reduced vulnerability to volatile food prices in  Caribbean countries. </w:t>
      </w:r>
    </w:p>
    <w:p w:rsidR="001F5F5E" w:rsidRDefault="001F5F5E" w:rsidP="001F5F5E">
      <w:pPr>
        <w:pStyle w:val="Paragraph"/>
        <w:numPr>
          <w:ilvl w:val="0"/>
          <w:numId w:val="0"/>
        </w:numPr>
        <w:ind w:left="360"/>
      </w:pPr>
      <w:r>
        <w:t xml:space="preserve">To achieve this objective, the TC will finance studies in the following areas: i) trends in agricultural prices, production, trade and consumption; ii) structure and levels of support to the agricultural sector in a context of greater openness to trade in Barbados, Bahamas, Jamaica, Trinidad &amp; Tobago, Guyana and Suriname (this will include 6 separate knowledge products with country specific recommendations which are also coherent at the regional level); iii) value chains analyses for the most relevant crops in the Caribbean countries, and iv) cost/benefit analysis of different forms of budgetary support including support to private beneficiaries vs. support for general public services such as: animal and plant health, food safety, innovation and infrastructure in irrigation and drainage, among others. </w:t>
      </w:r>
    </w:p>
    <w:p w:rsidR="00996F2E" w:rsidRDefault="001F5F5E" w:rsidP="001F5F5E">
      <w:pPr>
        <w:pStyle w:val="Paragraph"/>
        <w:numPr>
          <w:ilvl w:val="0"/>
          <w:numId w:val="0"/>
        </w:numPr>
        <w:ind w:left="360"/>
      </w:pPr>
      <w:r>
        <w:t>The results will be disseminated through national workshops which will focus on addressing the specific structural/policy bottlenecks at the national level as well as one regional workshop which would ensure that the implemented national policy reforms are consistent for the region as a whole. The results will also propose policy reforms for public expenditure and policies aimed at achieving a more efficient allocation of fiscal resources and public goods investments in the Caribbean region.</w:t>
      </w:r>
    </w:p>
    <w:p w:rsidR="00996F2E" w:rsidRPr="00B302EA" w:rsidRDefault="00996F2E" w:rsidP="00B302EA">
      <w:pPr>
        <w:pStyle w:val="Paragraph"/>
        <w:numPr>
          <w:ilvl w:val="0"/>
          <w:numId w:val="1"/>
        </w:numPr>
        <w:tabs>
          <w:tab w:val="num" w:pos="810"/>
        </w:tabs>
        <w:spacing w:before="240" w:after="240"/>
        <w:ind w:left="720"/>
        <w:jc w:val="center"/>
        <w:rPr>
          <w:b/>
          <w:szCs w:val="24"/>
        </w:rPr>
      </w:pPr>
      <w:r w:rsidRPr="00334518">
        <w:rPr>
          <w:b/>
          <w:bCs/>
          <w:smallCaps/>
          <w:szCs w:val="24"/>
        </w:rPr>
        <w:lastRenderedPageBreak/>
        <w:t>Objectives of the Consultancy</w:t>
      </w:r>
    </w:p>
    <w:p w:rsidR="00996F2E" w:rsidRPr="00B302EA" w:rsidRDefault="00996F2E" w:rsidP="00B302EA">
      <w:pPr>
        <w:pStyle w:val="Paragraph"/>
        <w:numPr>
          <w:ilvl w:val="0"/>
          <w:numId w:val="0"/>
        </w:numPr>
        <w:ind w:left="720"/>
      </w:pPr>
      <w:r>
        <w:t>The main objective of the proposed consultancy is to s</w:t>
      </w:r>
      <w:r w:rsidRPr="000C1EDC">
        <w:t>upport the standardiz</w:t>
      </w:r>
      <w:r>
        <w:t>ation of</w:t>
      </w:r>
      <w:r w:rsidRPr="000C1EDC">
        <w:t xml:space="preserve"> </w:t>
      </w:r>
      <w:r>
        <w:t xml:space="preserve">    </w:t>
      </w:r>
      <w:r w:rsidRPr="000C1EDC">
        <w:t>information and analysis of</w:t>
      </w:r>
      <w:r w:rsidR="001F5F5E">
        <w:t xml:space="preserve"> </w:t>
      </w:r>
      <w:r w:rsidRPr="000C1EDC">
        <w:t>agricultural policies</w:t>
      </w:r>
      <w:r>
        <w:t xml:space="preserve">. The specific objectives of the consultancy are: a) </w:t>
      </w:r>
      <w:r>
        <w:rPr>
          <w:szCs w:val="24"/>
        </w:rPr>
        <w:t xml:space="preserve">to filter and </w:t>
      </w:r>
      <w:r w:rsidRPr="000C1EDC">
        <w:rPr>
          <w:szCs w:val="24"/>
        </w:rPr>
        <w:t>review</w:t>
      </w:r>
      <w:r>
        <w:rPr>
          <w:szCs w:val="24"/>
        </w:rPr>
        <w:t xml:space="preserve"> data sources, methodology, results and reports of PSE</w:t>
      </w:r>
      <w:r w:rsidR="00EB78E4">
        <w:rPr>
          <w:szCs w:val="24"/>
        </w:rPr>
        <w:t xml:space="preserve"> studies</w:t>
      </w:r>
      <w:r>
        <w:rPr>
          <w:szCs w:val="24"/>
        </w:rPr>
        <w:t xml:space="preserve"> for individual countries ready in order to ensure accuracy and homogeneity of </w:t>
      </w:r>
      <w:r w:rsidR="00EB78E4">
        <w:rPr>
          <w:szCs w:val="24"/>
        </w:rPr>
        <w:t xml:space="preserve">calculations </w:t>
      </w:r>
      <w:r>
        <w:rPr>
          <w:szCs w:val="24"/>
        </w:rPr>
        <w:t>, sources and data;</w:t>
      </w:r>
      <w:r w:rsidR="001F5F5E">
        <w:rPr>
          <w:szCs w:val="24"/>
        </w:rPr>
        <w:t xml:space="preserve">  b</w:t>
      </w:r>
      <w:r>
        <w:rPr>
          <w:szCs w:val="24"/>
        </w:rPr>
        <w:t xml:space="preserve">) to support the training </w:t>
      </w:r>
      <w:r w:rsidR="00570954">
        <w:rPr>
          <w:szCs w:val="24"/>
        </w:rPr>
        <w:t>on</w:t>
      </w:r>
      <w:r>
        <w:rPr>
          <w:szCs w:val="24"/>
        </w:rPr>
        <w:t xml:space="preserve"> the </w:t>
      </w:r>
      <w:r w:rsidR="001F5F5E">
        <w:rPr>
          <w:szCs w:val="24"/>
        </w:rPr>
        <w:t>PSE methodology in the region, c</w:t>
      </w:r>
      <w:r>
        <w:rPr>
          <w:szCs w:val="24"/>
        </w:rPr>
        <w:t xml:space="preserve">) to </w:t>
      </w:r>
      <w:r w:rsidRPr="000C1EDC">
        <w:rPr>
          <w:szCs w:val="24"/>
        </w:rPr>
        <w:t>support the policy dialogue in the region</w:t>
      </w:r>
      <w:r>
        <w:rPr>
          <w:szCs w:val="24"/>
        </w:rPr>
        <w:t xml:space="preserve"> and dissemination of results participating in regional workshops and dissemination activities</w:t>
      </w:r>
      <w:r w:rsidR="00557C41">
        <w:rPr>
          <w:szCs w:val="24"/>
        </w:rPr>
        <w:t xml:space="preserve">, and e) </w:t>
      </w:r>
      <w:r w:rsidR="00557C41" w:rsidRPr="00557C41">
        <w:rPr>
          <w:szCs w:val="24"/>
        </w:rPr>
        <w:t>t</w:t>
      </w:r>
      <w:r w:rsidR="00557C41">
        <w:rPr>
          <w:szCs w:val="24"/>
        </w:rPr>
        <w:t xml:space="preserve">o develop PSE studies for </w:t>
      </w:r>
      <w:r w:rsidR="00557C41" w:rsidRPr="00557C41">
        <w:rPr>
          <w:szCs w:val="24"/>
        </w:rPr>
        <w:t>Jamaica, Barbados and Bahamas, including a value chain analysis (Nominal Rate of Protection and Effective Rate of Protection) for the most relevant agricultural products</w:t>
      </w:r>
      <w:r>
        <w:rPr>
          <w:szCs w:val="24"/>
        </w:rPr>
        <w:t>.</w:t>
      </w:r>
    </w:p>
    <w:p w:rsidR="00996F2E" w:rsidRPr="00B302EA" w:rsidRDefault="00996F2E" w:rsidP="00B302EA">
      <w:pPr>
        <w:pStyle w:val="ListParagraph"/>
        <w:numPr>
          <w:ilvl w:val="0"/>
          <w:numId w:val="1"/>
        </w:numPr>
        <w:spacing w:before="240" w:after="240"/>
        <w:ind w:left="720"/>
        <w:jc w:val="center"/>
        <w:rPr>
          <w:b/>
          <w:bCs/>
          <w:smallCaps/>
          <w:sz w:val="24"/>
          <w:szCs w:val="24"/>
        </w:rPr>
      </w:pPr>
      <w:r w:rsidRPr="00F6093F">
        <w:rPr>
          <w:b/>
          <w:bCs/>
          <w:smallCaps/>
          <w:sz w:val="24"/>
          <w:szCs w:val="24"/>
        </w:rPr>
        <w:t>Main Activities</w:t>
      </w:r>
    </w:p>
    <w:p w:rsidR="00996F2E" w:rsidRPr="00F358DC" w:rsidRDefault="00996F2E" w:rsidP="00996F2E">
      <w:pPr>
        <w:pStyle w:val="Paragraph"/>
        <w:numPr>
          <w:ilvl w:val="0"/>
          <w:numId w:val="0"/>
        </w:numPr>
        <w:ind w:left="720"/>
        <w:rPr>
          <w:szCs w:val="24"/>
        </w:rPr>
      </w:pPr>
      <w:r w:rsidRPr="00F358DC">
        <w:rPr>
          <w:szCs w:val="24"/>
        </w:rPr>
        <w:t>The consultant will:</w:t>
      </w:r>
    </w:p>
    <w:p w:rsidR="007951CD" w:rsidRPr="00557C41" w:rsidRDefault="00EB78E4" w:rsidP="00780CDB">
      <w:pPr>
        <w:pStyle w:val="Paragraph"/>
        <w:numPr>
          <w:ilvl w:val="0"/>
          <w:numId w:val="4"/>
        </w:numPr>
        <w:ind w:left="1440" w:hanging="720"/>
        <w:rPr>
          <w:szCs w:val="24"/>
        </w:rPr>
      </w:pPr>
      <w:r>
        <w:rPr>
          <w:szCs w:val="24"/>
        </w:rPr>
        <w:t xml:space="preserve">Collect </w:t>
      </w:r>
      <w:r w:rsidR="007951CD">
        <w:rPr>
          <w:szCs w:val="24"/>
        </w:rPr>
        <w:t xml:space="preserve">PSE Data collection </w:t>
      </w:r>
      <w:r w:rsidR="00557C41">
        <w:rPr>
          <w:szCs w:val="24"/>
        </w:rPr>
        <w:t xml:space="preserve">and elaboration of PSE studies </w:t>
      </w:r>
      <w:r w:rsidR="007951CD" w:rsidRPr="00557C41">
        <w:rPr>
          <w:szCs w:val="24"/>
        </w:rPr>
        <w:t xml:space="preserve">for </w:t>
      </w:r>
      <w:r w:rsidR="007951CD" w:rsidRPr="00780CDB">
        <w:rPr>
          <w:szCs w:val="24"/>
        </w:rPr>
        <w:t xml:space="preserve">Jamaica, </w:t>
      </w:r>
      <w:r w:rsidR="00C858E0" w:rsidRPr="00780CDB">
        <w:rPr>
          <w:szCs w:val="24"/>
        </w:rPr>
        <w:t>Barbados and Bahamas</w:t>
      </w:r>
      <w:r w:rsidR="00557C41">
        <w:rPr>
          <w:szCs w:val="24"/>
        </w:rPr>
        <w:t xml:space="preserve">, </w:t>
      </w:r>
      <w:r w:rsidR="00557C41" w:rsidRPr="00557C41">
        <w:rPr>
          <w:szCs w:val="24"/>
        </w:rPr>
        <w:t>including a value chain analysis (Nominal Rate of Protection and Effective Rate of Protection) for the most relevant agricultural products</w:t>
      </w:r>
      <w:r w:rsidR="00C858E0" w:rsidRPr="00780CDB">
        <w:rPr>
          <w:szCs w:val="24"/>
        </w:rPr>
        <w:t>.</w:t>
      </w:r>
      <w:r w:rsidR="00C858E0" w:rsidRPr="00557C41">
        <w:rPr>
          <w:szCs w:val="24"/>
        </w:rPr>
        <w:t xml:space="preserve"> </w:t>
      </w:r>
    </w:p>
    <w:p w:rsidR="00996F2E" w:rsidRDefault="00996F2E" w:rsidP="00996F2E">
      <w:pPr>
        <w:pStyle w:val="Paragraph"/>
        <w:numPr>
          <w:ilvl w:val="0"/>
          <w:numId w:val="4"/>
        </w:numPr>
        <w:ind w:left="1440" w:hanging="720"/>
        <w:rPr>
          <w:szCs w:val="24"/>
        </w:rPr>
      </w:pPr>
      <w:r>
        <w:rPr>
          <w:szCs w:val="24"/>
        </w:rPr>
        <w:t xml:space="preserve">Support the PSE data compilation from the countries to provide accurate information </w:t>
      </w:r>
      <w:r w:rsidR="00570954">
        <w:rPr>
          <w:szCs w:val="24"/>
        </w:rPr>
        <w:t>for</w:t>
      </w:r>
      <w:r>
        <w:rPr>
          <w:szCs w:val="24"/>
        </w:rPr>
        <w:t xml:space="preserve"> migration. </w:t>
      </w:r>
      <w:r w:rsidR="001F5F5E">
        <w:rPr>
          <w:szCs w:val="24"/>
        </w:rPr>
        <w:t>Carefully</w:t>
      </w:r>
      <w:r>
        <w:rPr>
          <w:szCs w:val="24"/>
        </w:rPr>
        <w:t xml:space="preserve"> r</w:t>
      </w:r>
      <w:r w:rsidRPr="000C1EDC">
        <w:rPr>
          <w:szCs w:val="24"/>
        </w:rPr>
        <w:t>eview</w:t>
      </w:r>
      <w:r>
        <w:rPr>
          <w:szCs w:val="24"/>
        </w:rPr>
        <w:t xml:space="preserve"> data sources, methodology, results and reports of individual countries in order to ensure accuracy and homogeneity of procedures, sources and data.</w:t>
      </w:r>
    </w:p>
    <w:p w:rsidR="00996F2E" w:rsidRPr="00702FBD" w:rsidRDefault="00996F2E" w:rsidP="00996F2E">
      <w:pPr>
        <w:pStyle w:val="Paragraph"/>
        <w:numPr>
          <w:ilvl w:val="0"/>
          <w:numId w:val="4"/>
        </w:numPr>
        <w:ind w:left="1440" w:hanging="720"/>
        <w:rPr>
          <w:szCs w:val="24"/>
        </w:rPr>
      </w:pPr>
      <w:r w:rsidRPr="00702FBD">
        <w:rPr>
          <w:szCs w:val="24"/>
        </w:rPr>
        <w:t>Coordinate, provide technical support, review and revise PSE calculations. National or local consultants will be hired by IADB in order to ge</w:t>
      </w:r>
      <w:r>
        <w:rPr>
          <w:szCs w:val="24"/>
        </w:rPr>
        <w:t>nerate the</w:t>
      </w:r>
      <w:r w:rsidRPr="00702FBD">
        <w:rPr>
          <w:szCs w:val="24"/>
        </w:rPr>
        <w:t xml:space="preserve"> PSE</w:t>
      </w:r>
      <w:r>
        <w:rPr>
          <w:szCs w:val="24"/>
        </w:rPr>
        <w:t>’s</w:t>
      </w:r>
      <w:r w:rsidRPr="00702FBD">
        <w:rPr>
          <w:szCs w:val="24"/>
        </w:rPr>
        <w:t xml:space="preserve"> main </w:t>
      </w:r>
      <w:r>
        <w:rPr>
          <w:szCs w:val="24"/>
        </w:rPr>
        <w:t>indicators</w:t>
      </w:r>
      <w:r w:rsidRPr="00702FBD">
        <w:rPr>
          <w:szCs w:val="24"/>
        </w:rPr>
        <w:t>. This consultancy will advise the national consultants in: a) information required; b) organization and PSE estimations;</w:t>
      </w:r>
      <w:r>
        <w:rPr>
          <w:szCs w:val="24"/>
        </w:rPr>
        <w:t xml:space="preserve"> c) country “cookbooks” </w:t>
      </w:r>
      <w:r w:rsidR="00235B03">
        <w:rPr>
          <w:szCs w:val="24"/>
        </w:rPr>
        <w:t xml:space="preserve">which </w:t>
      </w:r>
      <w:r>
        <w:rPr>
          <w:szCs w:val="24"/>
        </w:rPr>
        <w:t>explain data sources and procedures</w:t>
      </w:r>
      <w:r w:rsidRPr="00702FBD">
        <w:rPr>
          <w:szCs w:val="24"/>
        </w:rPr>
        <w:t xml:space="preserve"> and </w:t>
      </w:r>
      <w:r>
        <w:rPr>
          <w:szCs w:val="24"/>
        </w:rPr>
        <w:t>d</w:t>
      </w:r>
      <w:r w:rsidRPr="00702FBD">
        <w:rPr>
          <w:szCs w:val="24"/>
        </w:rPr>
        <w:t xml:space="preserve">) power point presentations </w:t>
      </w:r>
      <w:r w:rsidR="00235B03">
        <w:rPr>
          <w:szCs w:val="24"/>
        </w:rPr>
        <w:t>and</w:t>
      </w:r>
      <w:r w:rsidRPr="00702FBD">
        <w:rPr>
          <w:szCs w:val="24"/>
        </w:rPr>
        <w:t xml:space="preserve"> reports.</w:t>
      </w:r>
    </w:p>
    <w:p w:rsidR="00996F2E" w:rsidRPr="00F358DC" w:rsidRDefault="00996F2E" w:rsidP="00996F2E">
      <w:pPr>
        <w:pStyle w:val="Paragraph"/>
        <w:numPr>
          <w:ilvl w:val="0"/>
          <w:numId w:val="4"/>
        </w:numPr>
        <w:ind w:left="1440" w:hanging="720"/>
        <w:rPr>
          <w:szCs w:val="24"/>
        </w:rPr>
      </w:pPr>
      <w:r>
        <w:rPr>
          <w:szCs w:val="24"/>
        </w:rPr>
        <w:t xml:space="preserve">Follow up </w:t>
      </w:r>
      <w:r w:rsidR="00C858E0">
        <w:rPr>
          <w:szCs w:val="24"/>
        </w:rPr>
        <w:t xml:space="preserve">on </w:t>
      </w:r>
      <w:r>
        <w:rPr>
          <w:szCs w:val="24"/>
        </w:rPr>
        <w:t xml:space="preserve">the </w:t>
      </w:r>
      <w:r w:rsidRPr="00F358DC">
        <w:rPr>
          <w:szCs w:val="24"/>
        </w:rPr>
        <w:t xml:space="preserve">migration of all the results </w:t>
      </w:r>
      <w:r>
        <w:rPr>
          <w:szCs w:val="24"/>
        </w:rPr>
        <w:t xml:space="preserve">(data) of the PSE indicators; </w:t>
      </w:r>
      <w:r w:rsidR="00235B03">
        <w:rPr>
          <w:szCs w:val="24"/>
        </w:rPr>
        <w:t>r</w:t>
      </w:r>
      <w:r>
        <w:rPr>
          <w:szCs w:val="24"/>
        </w:rPr>
        <w:t xml:space="preserve">evise and monitor the maintenance module.   </w:t>
      </w:r>
    </w:p>
    <w:p w:rsidR="00996F2E" w:rsidRDefault="00996F2E" w:rsidP="00996F2E">
      <w:pPr>
        <w:pStyle w:val="Paragraph"/>
        <w:numPr>
          <w:ilvl w:val="0"/>
          <w:numId w:val="4"/>
        </w:numPr>
        <w:ind w:left="1440" w:hanging="720"/>
        <w:rPr>
          <w:szCs w:val="24"/>
        </w:rPr>
      </w:pPr>
      <w:r>
        <w:rPr>
          <w:szCs w:val="24"/>
        </w:rPr>
        <w:t xml:space="preserve">Support the publication of policy brief and technical notes. </w:t>
      </w:r>
      <w:r w:rsidR="00235B03">
        <w:rPr>
          <w:szCs w:val="24"/>
        </w:rPr>
        <w:t>In addition, i</w:t>
      </w:r>
      <w:r>
        <w:rPr>
          <w:szCs w:val="24"/>
        </w:rPr>
        <w:t xml:space="preserve">n coordination with </w:t>
      </w:r>
      <w:r w:rsidR="00235B03">
        <w:rPr>
          <w:szCs w:val="24"/>
        </w:rPr>
        <w:t xml:space="preserve">the </w:t>
      </w:r>
      <w:r>
        <w:rPr>
          <w:szCs w:val="24"/>
        </w:rPr>
        <w:t xml:space="preserve">PSE team provide technical comments and review the documentation to be published. </w:t>
      </w:r>
    </w:p>
    <w:p w:rsidR="00C858E0" w:rsidRDefault="00996F2E" w:rsidP="00996F2E">
      <w:pPr>
        <w:pStyle w:val="Paragraph"/>
        <w:numPr>
          <w:ilvl w:val="0"/>
          <w:numId w:val="4"/>
        </w:numPr>
        <w:ind w:left="1440" w:hanging="720"/>
        <w:rPr>
          <w:szCs w:val="24"/>
        </w:rPr>
      </w:pPr>
      <w:r w:rsidRPr="00C858E0">
        <w:rPr>
          <w:szCs w:val="24"/>
        </w:rPr>
        <w:t>Support the development of an interactive application such as a newsletter or blog</w:t>
      </w:r>
      <w:r w:rsidR="00557C41">
        <w:rPr>
          <w:szCs w:val="24"/>
        </w:rPr>
        <w:t>.</w:t>
      </w:r>
    </w:p>
    <w:p w:rsidR="00996F2E" w:rsidRPr="00C858E0" w:rsidRDefault="00996F2E" w:rsidP="00996F2E">
      <w:pPr>
        <w:pStyle w:val="Paragraph"/>
        <w:numPr>
          <w:ilvl w:val="0"/>
          <w:numId w:val="4"/>
        </w:numPr>
        <w:ind w:left="1440" w:hanging="720"/>
        <w:rPr>
          <w:szCs w:val="24"/>
        </w:rPr>
      </w:pPr>
      <w:r w:rsidRPr="00C858E0">
        <w:rPr>
          <w:szCs w:val="24"/>
        </w:rPr>
        <w:t xml:space="preserve">Support </w:t>
      </w:r>
      <w:r w:rsidR="00262B7D">
        <w:rPr>
          <w:szCs w:val="24"/>
        </w:rPr>
        <w:t>r</w:t>
      </w:r>
      <w:r w:rsidRPr="00C858E0">
        <w:rPr>
          <w:szCs w:val="24"/>
        </w:rPr>
        <w:t>egional workshops and trainings (CIAT, RUTA, CEMA, CARDI) regarding the PSE methodology and results, and policy discussions providing technical comments.</w:t>
      </w:r>
    </w:p>
    <w:p w:rsidR="00996F2E" w:rsidRPr="00F00F74" w:rsidRDefault="00996F2E" w:rsidP="00996F2E">
      <w:pPr>
        <w:pStyle w:val="Paragraph"/>
        <w:numPr>
          <w:ilvl w:val="0"/>
          <w:numId w:val="4"/>
        </w:numPr>
        <w:ind w:left="1440" w:hanging="720"/>
        <w:rPr>
          <w:szCs w:val="24"/>
        </w:rPr>
      </w:pPr>
      <w:r w:rsidRPr="00702FBD">
        <w:rPr>
          <w:szCs w:val="24"/>
        </w:rPr>
        <w:t>Support the establish</w:t>
      </w:r>
      <w:r w:rsidR="00262B7D">
        <w:rPr>
          <w:szCs w:val="24"/>
        </w:rPr>
        <w:t>ment</w:t>
      </w:r>
      <w:r w:rsidRPr="00702FBD">
        <w:rPr>
          <w:szCs w:val="24"/>
        </w:rPr>
        <w:t xml:space="preserve"> of</w:t>
      </w:r>
      <w:r>
        <w:rPr>
          <w:szCs w:val="24"/>
        </w:rPr>
        <w:t xml:space="preserve"> an enhanced </w:t>
      </w:r>
      <w:r w:rsidRPr="00702FBD">
        <w:rPr>
          <w:szCs w:val="24"/>
        </w:rPr>
        <w:t>public expenditure review system at the budget planning stage using PSE/GSSE classification of budget expenses.</w:t>
      </w:r>
    </w:p>
    <w:p w:rsidR="00996F2E" w:rsidRPr="00B302EA" w:rsidRDefault="00996F2E" w:rsidP="00B302EA">
      <w:pPr>
        <w:pStyle w:val="ListParagraph"/>
        <w:keepNext/>
        <w:numPr>
          <w:ilvl w:val="0"/>
          <w:numId w:val="1"/>
        </w:numPr>
        <w:spacing w:before="240" w:after="240"/>
        <w:jc w:val="center"/>
        <w:rPr>
          <w:b/>
          <w:bCs/>
          <w:smallCaps/>
          <w:sz w:val="24"/>
          <w:szCs w:val="24"/>
        </w:rPr>
      </w:pPr>
      <w:r w:rsidRPr="00F6093F">
        <w:rPr>
          <w:b/>
          <w:bCs/>
          <w:smallCaps/>
          <w:sz w:val="24"/>
          <w:szCs w:val="24"/>
        </w:rPr>
        <w:lastRenderedPageBreak/>
        <w:t>Reports/Outputs</w:t>
      </w:r>
    </w:p>
    <w:p w:rsidR="00996F2E" w:rsidRPr="00702FBD" w:rsidRDefault="00996F2E" w:rsidP="00996F2E">
      <w:pPr>
        <w:ind w:firstLine="720"/>
        <w:jc w:val="both"/>
        <w:rPr>
          <w:sz w:val="24"/>
        </w:rPr>
      </w:pPr>
      <w:r w:rsidRPr="00702FBD">
        <w:rPr>
          <w:sz w:val="24"/>
        </w:rPr>
        <w:t xml:space="preserve">By conducting these activities, </w:t>
      </w:r>
      <w:r>
        <w:rPr>
          <w:sz w:val="24"/>
        </w:rPr>
        <w:t>CIAT</w:t>
      </w:r>
      <w:r w:rsidRPr="00702FBD">
        <w:rPr>
          <w:sz w:val="24"/>
        </w:rPr>
        <w:t xml:space="preserve"> is committed to deliver</w:t>
      </w:r>
      <w:r>
        <w:rPr>
          <w:sz w:val="24"/>
        </w:rPr>
        <w:t>ing</w:t>
      </w:r>
      <w:r w:rsidRPr="00702FBD">
        <w:rPr>
          <w:sz w:val="24"/>
        </w:rPr>
        <w:t xml:space="preserve"> the following products:  </w:t>
      </w:r>
    </w:p>
    <w:p w:rsidR="00996F2E" w:rsidRPr="00F00F74" w:rsidRDefault="00996F2E" w:rsidP="00996F2E">
      <w:pPr>
        <w:pStyle w:val="Paragraph"/>
        <w:numPr>
          <w:ilvl w:val="0"/>
          <w:numId w:val="5"/>
        </w:numPr>
        <w:rPr>
          <w:szCs w:val="24"/>
        </w:rPr>
      </w:pPr>
      <w:r w:rsidRPr="00F00F74">
        <w:rPr>
          <w:szCs w:val="24"/>
        </w:rPr>
        <w:t xml:space="preserve">Intermediate products by </w:t>
      </w:r>
      <w:r>
        <w:rPr>
          <w:szCs w:val="24"/>
        </w:rPr>
        <w:t>August 15</w:t>
      </w:r>
      <w:r w:rsidRPr="00F00F74">
        <w:rPr>
          <w:szCs w:val="24"/>
        </w:rPr>
        <w:t>, 201</w:t>
      </w:r>
      <w:r>
        <w:rPr>
          <w:szCs w:val="24"/>
        </w:rPr>
        <w:t>5</w:t>
      </w:r>
      <w:r w:rsidRPr="00F00F74">
        <w:rPr>
          <w:szCs w:val="24"/>
        </w:rPr>
        <w:t xml:space="preserve">, including: </w:t>
      </w:r>
    </w:p>
    <w:p w:rsidR="00996F2E" w:rsidRPr="003C726C" w:rsidRDefault="00996F2E" w:rsidP="00996F2E">
      <w:pPr>
        <w:pStyle w:val="Paragraph"/>
        <w:numPr>
          <w:ilvl w:val="1"/>
          <w:numId w:val="5"/>
        </w:numPr>
      </w:pPr>
      <w:r>
        <w:rPr>
          <w:szCs w:val="24"/>
        </w:rPr>
        <w:t>Written comments on the support and advice on data collection, analysis and findings on the PSE calculations for Barbados, Bahamas, Guyana, Jamaica, Trinidad and Tobago and Suriname.</w:t>
      </w:r>
    </w:p>
    <w:p w:rsidR="00996F2E" w:rsidRPr="00CB2BE7" w:rsidRDefault="00996F2E" w:rsidP="00996F2E">
      <w:pPr>
        <w:pStyle w:val="Paragraph"/>
        <w:numPr>
          <w:ilvl w:val="1"/>
          <w:numId w:val="5"/>
        </w:numPr>
        <w:rPr>
          <w:szCs w:val="24"/>
        </w:rPr>
      </w:pPr>
      <w:r w:rsidRPr="00CB2BE7">
        <w:rPr>
          <w:szCs w:val="24"/>
        </w:rPr>
        <w:t xml:space="preserve">Reviews and </w:t>
      </w:r>
      <w:r w:rsidR="001F5F5E">
        <w:rPr>
          <w:szCs w:val="24"/>
        </w:rPr>
        <w:t>provision of</w:t>
      </w:r>
      <w:r w:rsidRPr="00CB2BE7">
        <w:rPr>
          <w:szCs w:val="24"/>
        </w:rPr>
        <w:t xml:space="preserve"> quality control for the </w:t>
      </w:r>
      <w:r w:rsidR="001F5F5E">
        <w:rPr>
          <w:szCs w:val="24"/>
        </w:rPr>
        <w:t xml:space="preserve">2015 </w:t>
      </w:r>
      <w:r w:rsidRPr="00CB2BE7">
        <w:rPr>
          <w:szCs w:val="24"/>
        </w:rPr>
        <w:t xml:space="preserve">information. </w:t>
      </w:r>
      <w:r w:rsidR="0090523A">
        <w:rPr>
          <w:szCs w:val="24"/>
        </w:rPr>
        <w:t>This also includes w</w:t>
      </w:r>
      <w:r>
        <w:t>ritten comme</w:t>
      </w:r>
      <w:r w:rsidR="001F5F5E">
        <w:t>nts</w:t>
      </w:r>
      <w:r w:rsidR="0090523A">
        <w:t>.</w:t>
      </w:r>
    </w:p>
    <w:p w:rsidR="00996F2E" w:rsidRPr="003C726C" w:rsidRDefault="00996F2E" w:rsidP="00996F2E">
      <w:pPr>
        <w:pStyle w:val="Paragraph"/>
        <w:numPr>
          <w:ilvl w:val="1"/>
          <w:numId w:val="5"/>
        </w:numPr>
      </w:pPr>
      <w:r w:rsidRPr="003466AD">
        <w:rPr>
          <w:szCs w:val="24"/>
        </w:rPr>
        <w:t xml:space="preserve">Written comments on the “cook </w:t>
      </w:r>
      <w:r w:rsidR="001F5F5E">
        <w:rPr>
          <w:szCs w:val="24"/>
        </w:rPr>
        <w:t>books’ for the countries to be</w:t>
      </w:r>
      <w:r w:rsidRPr="003466AD">
        <w:rPr>
          <w:szCs w:val="24"/>
        </w:rPr>
        <w:t xml:space="preserve"> updated.</w:t>
      </w:r>
    </w:p>
    <w:p w:rsidR="00996F2E" w:rsidRPr="003C726C" w:rsidRDefault="00996F2E" w:rsidP="00996F2E">
      <w:pPr>
        <w:pStyle w:val="Paragraph"/>
        <w:numPr>
          <w:ilvl w:val="1"/>
          <w:numId w:val="5"/>
        </w:numPr>
      </w:pPr>
      <w:r>
        <w:rPr>
          <w:szCs w:val="24"/>
        </w:rPr>
        <w:t xml:space="preserve">Written comments on the “Special Topics” sections on a) climate change, b) food security, c) competitiveness and d) trade integration.  </w:t>
      </w:r>
    </w:p>
    <w:p w:rsidR="00996F2E" w:rsidRPr="00F46157" w:rsidRDefault="00996F2E" w:rsidP="00996F2E">
      <w:pPr>
        <w:pStyle w:val="Paragraph"/>
        <w:numPr>
          <w:ilvl w:val="0"/>
          <w:numId w:val="0"/>
        </w:numPr>
      </w:pPr>
    </w:p>
    <w:p w:rsidR="00996F2E" w:rsidRPr="005064D0" w:rsidRDefault="00996F2E" w:rsidP="00F71225">
      <w:pPr>
        <w:pStyle w:val="Paragraph"/>
        <w:numPr>
          <w:ilvl w:val="0"/>
          <w:numId w:val="5"/>
        </w:numPr>
      </w:pPr>
      <w:r>
        <w:rPr>
          <w:szCs w:val="24"/>
        </w:rPr>
        <w:t>Intermediate product</w:t>
      </w:r>
      <w:r w:rsidRPr="00A61BF6">
        <w:rPr>
          <w:szCs w:val="24"/>
        </w:rPr>
        <w:t xml:space="preserve">, </w:t>
      </w:r>
      <w:r w:rsidRPr="00F71225">
        <w:rPr>
          <w:szCs w:val="24"/>
        </w:rPr>
        <w:t xml:space="preserve">by </w:t>
      </w:r>
      <w:r w:rsidR="00F71225" w:rsidRPr="00F71225">
        <w:rPr>
          <w:szCs w:val="24"/>
        </w:rPr>
        <w:t>October</w:t>
      </w:r>
      <w:r w:rsidRPr="00F71225">
        <w:t xml:space="preserve"> 3</w:t>
      </w:r>
      <w:r w:rsidR="00F71225" w:rsidRPr="00F71225">
        <w:t>1</w:t>
      </w:r>
      <w:r w:rsidRPr="00F71225">
        <w:rPr>
          <w:szCs w:val="24"/>
        </w:rPr>
        <w:t>, 2015</w:t>
      </w:r>
      <w:r w:rsidR="00F71225">
        <w:rPr>
          <w:szCs w:val="24"/>
        </w:rPr>
        <w:t>:</w:t>
      </w:r>
    </w:p>
    <w:p w:rsidR="00996F2E" w:rsidRPr="0020243D" w:rsidRDefault="00996F2E" w:rsidP="00996F2E">
      <w:pPr>
        <w:pStyle w:val="Paragraph"/>
        <w:numPr>
          <w:ilvl w:val="1"/>
          <w:numId w:val="5"/>
        </w:numPr>
        <w:rPr>
          <w:szCs w:val="24"/>
        </w:rPr>
      </w:pPr>
      <w:r>
        <w:rPr>
          <w:szCs w:val="24"/>
        </w:rPr>
        <w:t>Written comments on the support and advice on data collection, analysis and findings on the PSE calculations.</w:t>
      </w:r>
    </w:p>
    <w:p w:rsidR="00996F2E" w:rsidRDefault="00996F2E" w:rsidP="00996F2E">
      <w:pPr>
        <w:pStyle w:val="Paragraph"/>
        <w:numPr>
          <w:ilvl w:val="1"/>
          <w:numId w:val="5"/>
        </w:numPr>
        <w:rPr>
          <w:szCs w:val="24"/>
        </w:rPr>
      </w:pPr>
      <w:r>
        <w:rPr>
          <w:szCs w:val="24"/>
        </w:rPr>
        <w:t>Written c</w:t>
      </w:r>
      <w:r w:rsidRPr="00825118">
        <w:rPr>
          <w:szCs w:val="24"/>
        </w:rPr>
        <w:t xml:space="preserve">omments </w:t>
      </w:r>
      <w:r>
        <w:rPr>
          <w:szCs w:val="24"/>
        </w:rPr>
        <w:t>on advice to develop a</w:t>
      </w:r>
      <w:r w:rsidRPr="00825118">
        <w:rPr>
          <w:szCs w:val="24"/>
        </w:rPr>
        <w:t xml:space="preserve"> blog </w:t>
      </w:r>
      <w:r w:rsidR="001F5F5E">
        <w:rPr>
          <w:szCs w:val="24"/>
        </w:rPr>
        <w:t>on Caribbean PSE studies</w:t>
      </w:r>
      <w:r>
        <w:rPr>
          <w:szCs w:val="24"/>
        </w:rPr>
        <w:t>.</w:t>
      </w:r>
    </w:p>
    <w:p w:rsidR="00996F2E" w:rsidRDefault="00996F2E" w:rsidP="00996F2E">
      <w:pPr>
        <w:pStyle w:val="Paragraph"/>
        <w:numPr>
          <w:ilvl w:val="1"/>
          <w:numId w:val="5"/>
        </w:numPr>
        <w:rPr>
          <w:szCs w:val="24"/>
        </w:rPr>
      </w:pPr>
      <w:r>
        <w:rPr>
          <w:szCs w:val="24"/>
        </w:rPr>
        <w:t xml:space="preserve">Materials </w:t>
      </w:r>
      <w:r w:rsidR="00E8392B">
        <w:rPr>
          <w:szCs w:val="24"/>
        </w:rPr>
        <w:t>to</w:t>
      </w:r>
      <w:r w:rsidR="001F5F5E">
        <w:rPr>
          <w:szCs w:val="24"/>
        </w:rPr>
        <w:t xml:space="preserve"> disseminate the results</w:t>
      </w:r>
      <w:r>
        <w:rPr>
          <w:szCs w:val="24"/>
        </w:rPr>
        <w:t xml:space="preserve"> for external users to be included in on line training sessions.</w:t>
      </w:r>
    </w:p>
    <w:p w:rsidR="00996F2E" w:rsidRDefault="00996F2E" w:rsidP="00996F2E">
      <w:pPr>
        <w:pStyle w:val="Paragraph"/>
        <w:numPr>
          <w:ilvl w:val="1"/>
          <w:numId w:val="5"/>
        </w:numPr>
        <w:rPr>
          <w:szCs w:val="24"/>
        </w:rPr>
      </w:pPr>
      <w:r>
        <w:rPr>
          <w:szCs w:val="24"/>
        </w:rPr>
        <w:t>Training sessions o</w:t>
      </w:r>
      <w:r w:rsidR="00E8392B">
        <w:rPr>
          <w:szCs w:val="24"/>
        </w:rPr>
        <w:t>n</w:t>
      </w:r>
      <w:r w:rsidR="001F5F5E">
        <w:rPr>
          <w:szCs w:val="24"/>
        </w:rPr>
        <w:t xml:space="preserve"> the</w:t>
      </w:r>
      <w:r>
        <w:rPr>
          <w:szCs w:val="24"/>
        </w:rPr>
        <w:t xml:space="preserve"> PSE methodology applications</w:t>
      </w:r>
      <w:r w:rsidR="0090523A">
        <w:rPr>
          <w:szCs w:val="24"/>
        </w:rPr>
        <w:t xml:space="preserve"> </w:t>
      </w:r>
      <w:r>
        <w:rPr>
          <w:szCs w:val="24"/>
        </w:rPr>
        <w:t xml:space="preserve">and at least one executed </w:t>
      </w:r>
      <w:r w:rsidR="0090523A">
        <w:rPr>
          <w:szCs w:val="24"/>
        </w:rPr>
        <w:t>to</w:t>
      </w:r>
      <w:r>
        <w:rPr>
          <w:szCs w:val="24"/>
        </w:rPr>
        <w:t xml:space="preserve"> different demands and users (consultants, IDB staff and policy makers).</w:t>
      </w:r>
    </w:p>
    <w:p w:rsidR="00996F2E" w:rsidRDefault="00996F2E" w:rsidP="00996F2E">
      <w:pPr>
        <w:pStyle w:val="Paragraph"/>
        <w:numPr>
          <w:ilvl w:val="1"/>
          <w:numId w:val="5"/>
        </w:numPr>
        <w:rPr>
          <w:szCs w:val="24"/>
        </w:rPr>
      </w:pPr>
      <w:r>
        <w:rPr>
          <w:szCs w:val="24"/>
        </w:rPr>
        <w:t>Identification of areas of complementarity between CIAT’s data bases and expertise in valu</w:t>
      </w:r>
      <w:r w:rsidR="001F5F5E">
        <w:rPr>
          <w:szCs w:val="24"/>
        </w:rPr>
        <w:t>e chain analysis and PSE studies</w:t>
      </w:r>
      <w:r>
        <w:rPr>
          <w:szCs w:val="24"/>
        </w:rPr>
        <w:t>.</w:t>
      </w:r>
    </w:p>
    <w:p w:rsidR="00911770" w:rsidRDefault="00911770" w:rsidP="00911770">
      <w:pPr>
        <w:pStyle w:val="Paragraph"/>
        <w:numPr>
          <w:ilvl w:val="1"/>
          <w:numId w:val="5"/>
        </w:numPr>
        <w:rPr>
          <w:szCs w:val="24"/>
        </w:rPr>
      </w:pPr>
      <w:r>
        <w:rPr>
          <w:szCs w:val="24"/>
        </w:rPr>
        <w:t xml:space="preserve">Intermediate reports for the </w:t>
      </w:r>
      <w:r w:rsidRPr="00911770">
        <w:rPr>
          <w:szCs w:val="24"/>
        </w:rPr>
        <w:t>PSE studies for Jamaica, Barbados and Bahamas, including a value chain analysis (Nominal Rate of Protection and Effective Rate of Protection) for the most relevant agricultural products</w:t>
      </w:r>
      <w:r w:rsidR="0090523A">
        <w:rPr>
          <w:szCs w:val="24"/>
        </w:rPr>
        <w:t>.</w:t>
      </w:r>
    </w:p>
    <w:p w:rsidR="00F71225" w:rsidRPr="004A5E26" w:rsidRDefault="00F71225" w:rsidP="00F71225">
      <w:pPr>
        <w:pStyle w:val="Paragraph"/>
        <w:numPr>
          <w:ilvl w:val="0"/>
          <w:numId w:val="0"/>
        </w:numPr>
        <w:ind w:left="1890"/>
        <w:rPr>
          <w:szCs w:val="24"/>
        </w:rPr>
      </w:pPr>
    </w:p>
    <w:p w:rsidR="00996F2E" w:rsidRPr="00505D91" w:rsidRDefault="00996F2E" w:rsidP="00F71225">
      <w:pPr>
        <w:pStyle w:val="Paragraph"/>
        <w:numPr>
          <w:ilvl w:val="0"/>
          <w:numId w:val="5"/>
        </w:numPr>
      </w:pPr>
      <w:r>
        <w:t xml:space="preserve">Final </w:t>
      </w:r>
      <w:r w:rsidRPr="00505D91">
        <w:t xml:space="preserve">product by </w:t>
      </w:r>
      <w:r w:rsidR="00F71225">
        <w:t>December</w:t>
      </w:r>
      <w:r>
        <w:t xml:space="preserve"> </w:t>
      </w:r>
      <w:r w:rsidRPr="00505D91">
        <w:t>15, 2</w:t>
      </w:r>
      <w:r>
        <w:t>015</w:t>
      </w:r>
      <w:r w:rsidR="00F71225">
        <w:t>:</w:t>
      </w:r>
    </w:p>
    <w:p w:rsidR="00996F2E" w:rsidRPr="001F5F5E" w:rsidRDefault="001F5F5E" w:rsidP="001F5F5E">
      <w:pPr>
        <w:pStyle w:val="Paragraph"/>
        <w:numPr>
          <w:ilvl w:val="1"/>
          <w:numId w:val="5"/>
        </w:numPr>
        <w:rPr>
          <w:szCs w:val="24"/>
        </w:rPr>
      </w:pPr>
      <w:r>
        <w:rPr>
          <w:szCs w:val="24"/>
        </w:rPr>
        <w:t>Reviews and</w:t>
      </w:r>
      <w:r w:rsidR="00996F2E" w:rsidRPr="001F5F5E">
        <w:rPr>
          <w:szCs w:val="24"/>
        </w:rPr>
        <w:t xml:space="preserve"> quality control for the information to be uploaded in 2015. </w:t>
      </w:r>
    </w:p>
    <w:p w:rsidR="00996F2E" w:rsidRPr="001F5F5E" w:rsidRDefault="00996F2E" w:rsidP="001F5F5E">
      <w:pPr>
        <w:pStyle w:val="Paragraph"/>
        <w:numPr>
          <w:ilvl w:val="1"/>
          <w:numId w:val="5"/>
        </w:numPr>
        <w:rPr>
          <w:szCs w:val="24"/>
        </w:rPr>
      </w:pPr>
      <w:r w:rsidRPr="001F5F5E">
        <w:rPr>
          <w:szCs w:val="24"/>
        </w:rPr>
        <w:t xml:space="preserve">Written comments on the data collection, analysis and findings on the PSE calculations, for </w:t>
      </w:r>
      <w:r w:rsidR="001F5F5E">
        <w:rPr>
          <w:szCs w:val="24"/>
        </w:rPr>
        <w:t>the</w:t>
      </w:r>
      <w:r w:rsidRPr="001F5F5E">
        <w:rPr>
          <w:szCs w:val="24"/>
        </w:rPr>
        <w:t xml:space="preserve"> Caribbean.</w:t>
      </w:r>
    </w:p>
    <w:p w:rsidR="00996F2E" w:rsidRPr="001F5F5E" w:rsidRDefault="00996F2E" w:rsidP="001F5F5E">
      <w:pPr>
        <w:pStyle w:val="Paragraph"/>
        <w:numPr>
          <w:ilvl w:val="1"/>
          <w:numId w:val="5"/>
        </w:numPr>
        <w:rPr>
          <w:szCs w:val="24"/>
        </w:rPr>
      </w:pPr>
      <w:r w:rsidRPr="001F5F5E">
        <w:rPr>
          <w:szCs w:val="24"/>
        </w:rPr>
        <w:t xml:space="preserve">Reviews and quality control </w:t>
      </w:r>
      <w:r w:rsidR="00F502B5">
        <w:rPr>
          <w:szCs w:val="24"/>
        </w:rPr>
        <w:t>for the studies</w:t>
      </w:r>
      <w:r w:rsidRPr="001F5F5E">
        <w:rPr>
          <w:szCs w:val="24"/>
        </w:rPr>
        <w:t xml:space="preserve">. </w:t>
      </w:r>
      <w:r w:rsidR="00AB5511" w:rsidRPr="001F5F5E">
        <w:rPr>
          <w:szCs w:val="24"/>
        </w:rPr>
        <w:t>This includes r</w:t>
      </w:r>
      <w:r w:rsidR="00795935" w:rsidRPr="001F5F5E">
        <w:rPr>
          <w:szCs w:val="24"/>
        </w:rPr>
        <w:t>eview</w:t>
      </w:r>
      <w:r w:rsidR="00AB5511" w:rsidRPr="001F5F5E">
        <w:rPr>
          <w:szCs w:val="24"/>
        </w:rPr>
        <w:t>ing</w:t>
      </w:r>
      <w:r w:rsidR="00795935" w:rsidRPr="001F5F5E">
        <w:rPr>
          <w:szCs w:val="24"/>
        </w:rPr>
        <w:t xml:space="preserve"> r</w:t>
      </w:r>
      <w:r w:rsidRPr="001F5F5E">
        <w:rPr>
          <w:szCs w:val="24"/>
        </w:rPr>
        <w:t>esults and</w:t>
      </w:r>
      <w:r w:rsidR="00795935" w:rsidRPr="001F5F5E">
        <w:rPr>
          <w:szCs w:val="24"/>
        </w:rPr>
        <w:t xml:space="preserve"> provid</w:t>
      </w:r>
      <w:r w:rsidR="00AB5511" w:rsidRPr="001F5F5E">
        <w:rPr>
          <w:szCs w:val="24"/>
        </w:rPr>
        <w:t>ing</w:t>
      </w:r>
      <w:r w:rsidRPr="001F5F5E">
        <w:rPr>
          <w:szCs w:val="24"/>
        </w:rPr>
        <w:t xml:space="preserve"> evaluation </w:t>
      </w:r>
      <w:r w:rsidR="00795935" w:rsidRPr="001F5F5E">
        <w:rPr>
          <w:szCs w:val="24"/>
        </w:rPr>
        <w:t>on</w:t>
      </w:r>
      <w:r w:rsidRPr="001F5F5E">
        <w:rPr>
          <w:szCs w:val="24"/>
        </w:rPr>
        <w:t xml:space="preserve"> training sessions.</w:t>
      </w:r>
    </w:p>
    <w:p w:rsidR="00996F2E" w:rsidRPr="001F5F5E" w:rsidRDefault="00996F2E" w:rsidP="001F5F5E">
      <w:pPr>
        <w:pStyle w:val="Paragraph"/>
        <w:numPr>
          <w:ilvl w:val="1"/>
          <w:numId w:val="5"/>
        </w:numPr>
        <w:rPr>
          <w:szCs w:val="24"/>
        </w:rPr>
      </w:pPr>
      <w:r w:rsidRPr="001F5F5E">
        <w:rPr>
          <w:szCs w:val="24"/>
        </w:rPr>
        <w:t>Final Report including description of all activities.</w:t>
      </w:r>
    </w:p>
    <w:p w:rsidR="00911770" w:rsidRPr="001F5F5E" w:rsidRDefault="00911770" w:rsidP="001F5F5E">
      <w:pPr>
        <w:pStyle w:val="Paragraph"/>
        <w:numPr>
          <w:ilvl w:val="1"/>
          <w:numId w:val="5"/>
        </w:numPr>
        <w:rPr>
          <w:szCs w:val="24"/>
        </w:rPr>
      </w:pPr>
      <w:r w:rsidRPr="001F5F5E">
        <w:rPr>
          <w:szCs w:val="24"/>
        </w:rPr>
        <w:t>Final reports for the PSE studies for Jamaica, Barbados and Bahamas, including a value chain analysis (Nominal Rate of Protection and Effective Rate of Protection) for the most relevant agricultural products</w:t>
      </w:r>
      <w:r w:rsidR="00780CDB" w:rsidRPr="001F5F5E">
        <w:rPr>
          <w:szCs w:val="24"/>
        </w:rPr>
        <w:t>.</w:t>
      </w:r>
    </w:p>
    <w:p w:rsidR="00996F2E" w:rsidRPr="00F6093F" w:rsidRDefault="00996F2E" w:rsidP="00780CDB">
      <w:pPr>
        <w:pStyle w:val="Paragraph"/>
        <w:numPr>
          <w:ilvl w:val="0"/>
          <w:numId w:val="0"/>
        </w:numPr>
        <w:rPr>
          <w:rFonts w:eastAsiaTheme="minorEastAsia"/>
          <w:szCs w:val="24"/>
        </w:rPr>
      </w:pPr>
    </w:p>
    <w:p w:rsidR="00996F2E" w:rsidRPr="00F6093F" w:rsidRDefault="00996F2E" w:rsidP="00B302EA">
      <w:pPr>
        <w:pStyle w:val="ListParagraph"/>
        <w:numPr>
          <w:ilvl w:val="0"/>
          <w:numId w:val="1"/>
        </w:numPr>
        <w:spacing w:before="240" w:after="240"/>
        <w:jc w:val="center"/>
        <w:rPr>
          <w:b/>
          <w:bCs/>
          <w:smallCaps/>
          <w:sz w:val="24"/>
          <w:szCs w:val="24"/>
        </w:rPr>
      </w:pPr>
      <w:r w:rsidRPr="00F6093F">
        <w:rPr>
          <w:b/>
          <w:bCs/>
          <w:smallCaps/>
          <w:sz w:val="24"/>
          <w:szCs w:val="24"/>
        </w:rPr>
        <w:t>Schedule of payment</w:t>
      </w:r>
    </w:p>
    <w:p w:rsidR="00996F2E" w:rsidRPr="007A13B0" w:rsidRDefault="00996F2E" w:rsidP="00C858E0">
      <w:pPr>
        <w:pStyle w:val="Paragraph"/>
        <w:numPr>
          <w:ilvl w:val="0"/>
          <w:numId w:val="0"/>
        </w:numPr>
        <w:ind w:left="90" w:firstLine="630"/>
        <w:rPr>
          <w:szCs w:val="24"/>
        </w:rPr>
      </w:pPr>
      <w:r>
        <w:rPr>
          <w:iCs/>
          <w:color w:val="000000"/>
        </w:rPr>
        <w:t xml:space="preserve">The payment schedule will be as follows: </w:t>
      </w:r>
    </w:p>
    <w:p w:rsidR="00996F2E" w:rsidRPr="00505D91" w:rsidRDefault="00911770" w:rsidP="001F5F5E">
      <w:pPr>
        <w:pStyle w:val="Paragraph"/>
        <w:numPr>
          <w:ilvl w:val="1"/>
          <w:numId w:val="19"/>
        </w:numPr>
      </w:pPr>
      <w:r>
        <w:t xml:space="preserve">Twenty </w:t>
      </w:r>
      <w:r w:rsidR="00996F2E" w:rsidRPr="001F5F5E">
        <w:rPr>
          <w:szCs w:val="24"/>
        </w:rPr>
        <w:t>percent</w:t>
      </w:r>
      <w:r w:rsidR="00996F2E">
        <w:t xml:space="preserve"> (</w:t>
      </w:r>
      <w:r>
        <w:t>2</w:t>
      </w:r>
      <w:r w:rsidR="00996F2E" w:rsidRPr="00505D91">
        <w:t xml:space="preserve">0%) of the total payment after contract signing; </w:t>
      </w:r>
    </w:p>
    <w:p w:rsidR="00996F2E" w:rsidRPr="00505D91" w:rsidRDefault="00911770" w:rsidP="001F5F5E">
      <w:pPr>
        <w:pStyle w:val="Paragraph"/>
        <w:numPr>
          <w:ilvl w:val="1"/>
          <w:numId w:val="19"/>
        </w:numPr>
      </w:pPr>
      <w:r>
        <w:t>Twenty</w:t>
      </w:r>
      <w:r w:rsidRPr="00505D91">
        <w:t xml:space="preserve"> </w:t>
      </w:r>
      <w:r w:rsidR="00996F2E" w:rsidRPr="001F5F5E">
        <w:rPr>
          <w:szCs w:val="24"/>
        </w:rPr>
        <w:t>percent</w:t>
      </w:r>
      <w:r w:rsidR="00996F2E">
        <w:t xml:space="preserve"> </w:t>
      </w:r>
      <w:r w:rsidR="00996F2E" w:rsidRPr="00505D91">
        <w:t>(</w:t>
      </w:r>
      <w:r>
        <w:t>20</w:t>
      </w:r>
      <w:r w:rsidR="00996F2E" w:rsidRPr="00505D91">
        <w:t xml:space="preserve">%) after submission and approval of the deliverables described in section </w:t>
      </w:r>
      <w:r w:rsidR="00996F2E">
        <w:t>4</w:t>
      </w:r>
      <w:r w:rsidR="00996F2E" w:rsidRPr="00505D91">
        <w:t xml:space="preserve"> (a)  </w:t>
      </w:r>
      <w:r w:rsidR="00780CDB">
        <w:t>above;</w:t>
      </w:r>
    </w:p>
    <w:p w:rsidR="00996F2E" w:rsidRPr="00891221" w:rsidRDefault="00911770" w:rsidP="001F5F5E">
      <w:pPr>
        <w:pStyle w:val="Paragraph"/>
        <w:numPr>
          <w:ilvl w:val="1"/>
          <w:numId w:val="19"/>
        </w:numPr>
      </w:pPr>
      <w:r>
        <w:t>Twenty</w:t>
      </w:r>
      <w:r w:rsidRPr="00891221">
        <w:t xml:space="preserve"> </w:t>
      </w:r>
      <w:r w:rsidR="00996F2E" w:rsidRPr="00891221">
        <w:t>percent</w:t>
      </w:r>
      <w:r w:rsidR="00996F2E">
        <w:t>(</w:t>
      </w:r>
      <w:r>
        <w:t>20</w:t>
      </w:r>
      <w:r w:rsidR="00996F2E" w:rsidRPr="00891221">
        <w:t xml:space="preserve">%) after submission and approval of the deliverables described in section </w:t>
      </w:r>
      <w:r w:rsidR="00996F2E">
        <w:t>4</w:t>
      </w:r>
      <w:r w:rsidR="00996F2E" w:rsidRPr="00505D91">
        <w:t xml:space="preserve"> (b) above; </w:t>
      </w:r>
    </w:p>
    <w:p w:rsidR="00996F2E" w:rsidRPr="00B302EA" w:rsidRDefault="00911770" w:rsidP="00B302EA">
      <w:pPr>
        <w:pStyle w:val="Paragraph"/>
        <w:numPr>
          <w:ilvl w:val="1"/>
          <w:numId w:val="19"/>
        </w:numPr>
      </w:pPr>
      <w:r>
        <w:t>Forty</w:t>
      </w:r>
      <w:r w:rsidRPr="00891221">
        <w:t xml:space="preserve"> </w:t>
      </w:r>
      <w:r w:rsidR="00996F2E" w:rsidRPr="001F5F5E">
        <w:rPr>
          <w:szCs w:val="24"/>
        </w:rPr>
        <w:t>percent</w:t>
      </w:r>
      <w:r w:rsidR="00996F2E" w:rsidRPr="00505D91">
        <w:t xml:space="preserve"> (</w:t>
      </w:r>
      <w:r>
        <w:t>4</w:t>
      </w:r>
      <w:r w:rsidR="00996F2E" w:rsidRPr="00505D91">
        <w:t xml:space="preserve">0%) percent will be paid after the submission and approval of the deliverables described in </w:t>
      </w:r>
      <w:r w:rsidR="00996F2E" w:rsidRPr="003C726C">
        <w:t>section 4 (c) above.</w:t>
      </w:r>
    </w:p>
    <w:p w:rsidR="00B302EA" w:rsidRPr="00F6093F" w:rsidRDefault="00B302EA" w:rsidP="00B302EA">
      <w:pPr>
        <w:pStyle w:val="ListParagraph"/>
        <w:keepNext/>
        <w:numPr>
          <w:ilvl w:val="0"/>
          <w:numId w:val="1"/>
        </w:numPr>
        <w:spacing w:before="240" w:after="240"/>
        <w:jc w:val="center"/>
        <w:rPr>
          <w:b/>
          <w:bCs/>
          <w:smallCaps/>
          <w:sz w:val="24"/>
          <w:szCs w:val="24"/>
        </w:rPr>
      </w:pPr>
      <w:r w:rsidRPr="00F6093F">
        <w:rPr>
          <w:b/>
          <w:bCs/>
          <w:smallCaps/>
          <w:sz w:val="24"/>
          <w:szCs w:val="24"/>
        </w:rPr>
        <w:t>Qualifications</w:t>
      </w:r>
    </w:p>
    <w:p w:rsidR="00B302EA" w:rsidRPr="00F6093F" w:rsidRDefault="00B302EA" w:rsidP="00B302EA">
      <w:pPr>
        <w:pStyle w:val="ListParagraph"/>
        <w:keepNext/>
        <w:spacing w:after="200" w:line="276" w:lineRule="auto"/>
        <w:ind w:left="450"/>
        <w:jc w:val="both"/>
        <w:rPr>
          <w:rFonts w:eastAsiaTheme="minorEastAsia"/>
          <w:sz w:val="24"/>
          <w:szCs w:val="24"/>
        </w:rPr>
      </w:pPr>
      <w:r w:rsidRPr="00F6093F">
        <w:rPr>
          <w:rFonts w:eastAsiaTheme="minorEastAsia"/>
          <w:sz w:val="24"/>
          <w:szCs w:val="24"/>
        </w:rPr>
        <w:t xml:space="preserve">The </w:t>
      </w:r>
      <w:r w:rsidRPr="00F6093F">
        <w:rPr>
          <w:sz w:val="24"/>
          <w:szCs w:val="24"/>
        </w:rPr>
        <w:t>consultant</w:t>
      </w:r>
      <w:r>
        <w:rPr>
          <w:sz w:val="24"/>
          <w:szCs w:val="24"/>
        </w:rPr>
        <w:t>s</w:t>
      </w:r>
      <w:r w:rsidRPr="00F6093F">
        <w:rPr>
          <w:rFonts w:eastAsiaTheme="minorEastAsia"/>
          <w:sz w:val="24"/>
          <w:szCs w:val="24"/>
        </w:rPr>
        <w:t xml:space="preserve"> will </w:t>
      </w:r>
      <w:r>
        <w:rPr>
          <w:rFonts w:eastAsiaTheme="minorEastAsia"/>
          <w:sz w:val="24"/>
          <w:szCs w:val="24"/>
        </w:rPr>
        <w:t xml:space="preserve">consist of </w:t>
      </w:r>
      <w:r w:rsidRPr="00F6093F">
        <w:rPr>
          <w:rFonts w:eastAsiaTheme="minorEastAsia"/>
          <w:sz w:val="24"/>
          <w:szCs w:val="24"/>
        </w:rPr>
        <w:t>a team of professionals that meet the following characteristics:</w:t>
      </w:r>
    </w:p>
    <w:p w:rsidR="00B302EA" w:rsidRDefault="00B302EA" w:rsidP="00B302EA">
      <w:pPr>
        <w:pStyle w:val="subpar"/>
        <w:numPr>
          <w:ilvl w:val="0"/>
          <w:numId w:val="21"/>
        </w:numPr>
        <w:jc w:val="left"/>
        <w:rPr>
          <w:szCs w:val="24"/>
        </w:rPr>
      </w:pPr>
      <w:r>
        <w:rPr>
          <w:szCs w:val="24"/>
        </w:rPr>
        <w:t>A post graduate degree in Agricultural Economics or related areas</w:t>
      </w:r>
    </w:p>
    <w:p w:rsidR="00B302EA" w:rsidRDefault="00B302EA" w:rsidP="00B302EA">
      <w:pPr>
        <w:pStyle w:val="subpar"/>
        <w:numPr>
          <w:ilvl w:val="0"/>
          <w:numId w:val="21"/>
        </w:numPr>
        <w:jc w:val="left"/>
        <w:rPr>
          <w:szCs w:val="24"/>
        </w:rPr>
      </w:pPr>
      <w:r>
        <w:rPr>
          <w:szCs w:val="24"/>
        </w:rPr>
        <w:t>A minimu</w:t>
      </w:r>
      <w:bookmarkStart w:id="0" w:name="_GoBack"/>
      <w:bookmarkEnd w:id="0"/>
      <w:r>
        <w:rPr>
          <w:szCs w:val="24"/>
        </w:rPr>
        <w:t>m 5</w:t>
      </w:r>
      <w:r w:rsidRPr="00F358DC">
        <w:rPr>
          <w:szCs w:val="24"/>
        </w:rPr>
        <w:t xml:space="preserve"> years of professional experience </w:t>
      </w:r>
      <w:r>
        <w:rPr>
          <w:szCs w:val="24"/>
        </w:rPr>
        <w:t>in OECD PSE indicators</w:t>
      </w:r>
      <w:r w:rsidRPr="00F358DC">
        <w:rPr>
          <w:szCs w:val="24"/>
        </w:rPr>
        <w:t>.</w:t>
      </w:r>
    </w:p>
    <w:p w:rsidR="00B302EA" w:rsidRPr="00F358DC" w:rsidRDefault="00B302EA" w:rsidP="00B302EA">
      <w:pPr>
        <w:pStyle w:val="subpar"/>
        <w:numPr>
          <w:ilvl w:val="0"/>
          <w:numId w:val="21"/>
        </w:numPr>
        <w:jc w:val="left"/>
        <w:rPr>
          <w:szCs w:val="24"/>
        </w:rPr>
      </w:pPr>
      <w:r>
        <w:rPr>
          <w:color w:val="000000"/>
        </w:rPr>
        <w:t>Experience working with PSEs over the past decade and expanding the coverage to other areas of LAC</w:t>
      </w:r>
      <w:r>
        <w:rPr>
          <w:bCs/>
        </w:rPr>
        <w:t>.</w:t>
      </w:r>
    </w:p>
    <w:p w:rsidR="00B302EA" w:rsidRPr="00B302EA" w:rsidRDefault="00B302EA" w:rsidP="00B302EA">
      <w:pPr>
        <w:pStyle w:val="subpar"/>
        <w:numPr>
          <w:ilvl w:val="0"/>
          <w:numId w:val="21"/>
        </w:numPr>
        <w:jc w:val="left"/>
        <w:rPr>
          <w:szCs w:val="24"/>
        </w:rPr>
      </w:pPr>
      <w:r w:rsidRPr="001634B4">
        <w:rPr>
          <w:szCs w:val="24"/>
        </w:rPr>
        <w:t xml:space="preserve">Proficiency in English </w:t>
      </w:r>
    </w:p>
    <w:p w:rsidR="00996F2E" w:rsidRPr="00F6093F" w:rsidRDefault="00996F2E" w:rsidP="00B302EA">
      <w:pPr>
        <w:pStyle w:val="ListParagraph"/>
        <w:numPr>
          <w:ilvl w:val="0"/>
          <w:numId w:val="1"/>
        </w:numPr>
        <w:spacing w:before="240" w:after="240"/>
        <w:jc w:val="center"/>
        <w:rPr>
          <w:b/>
          <w:bCs/>
          <w:smallCaps/>
          <w:sz w:val="24"/>
          <w:szCs w:val="24"/>
        </w:rPr>
      </w:pPr>
      <w:r w:rsidRPr="00F6093F">
        <w:rPr>
          <w:b/>
          <w:bCs/>
          <w:smallCaps/>
          <w:sz w:val="24"/>
          <w:szCs w:val="24"/>
        </w:rPr>
        <w:t>Characteristics of the consultancy</w:t>
      </w:r>
    </w:p>
    <w:p w:rsidR="000D52F6" w:rsidRDefault="00996F2E" w:rsidP="00B302EA">
      <w:pPr>
        <w:pStyle w:val="Paragraph"/>
        <w:numPr>
          <w:ilvl w:val="0"/>
          <w:numId w:val="0"/>
        </w:numPr>
        <w:ind w:left="360" w:firstLine="720"/>
      </w:pPr>
      <w:r>
        <w:rPr>
          <w:b/>
          <w:u w:val="single"/>
        </w:rPr>
        <w:t>Type:</w:t>
      </w:r>
      <w:r>
        <w:t xml:space="preserve"> Specialized Agency</w:t>
      </w:r>
    </w:p>
    <w:p w:rsidR="00996F2E" w:rsidRPr="003978D0" w:rsidRDefault="00996F2E" w:rsidP="000D52F6">
      <w:pPr>
        <w:pStyle w:val="subpar"/>
        <w:numPr>
          <w:ilvl w:val="0"/>
          <w:numId w:val="0"/>
        </w:numPr>
        <w:ind w:left="1152" w:hanging="72"/>
      </w:pPr>
      <w:r w:rsidRPr="003978D0">
        <w:t xml:space="preserve">This </w:t>
      </w:r>
      <w:r w:rsidR="00911770">
        <w:t>Technical Cooperation</w:t>
      </w:r>
      <w:r w:rsidRPr="003978D0">
        <w:t xml:space="preserve"> will draw on </w:t>
      </w:r>
      <w:r>
        <w:t>CIAT</w:t>
      </w:r>
      <w:r w:rsidRPr="003978D0">
        <w:t xml:space="preserve">’s work </w:t>
      </w:r>
      <w:r>
        <w:t>to improve agricultural productivity in Latin America and the Caribbean</w:t>
      </w:r>
      <w:r w:rsidRPr="003978D0">
        <w:t xml:space="preserve"> over the past </w:t>
      </w:r>
      <w:r>
        <w:t>five decades</w:t>
      </w:r>
      <w:r w:rsidRPr="003978D0">
        <w:t xml:space="preserve">. </w:t>
      </w:r>
      <w:r>
        <w:t>CIAT’s expertise and knowledge base</w:t>
      </w:r>
      <w:r w:rsidR="00795935">
        <w:t>d</w:t>
      </w:r>
      <w:r>
        <w:t xml:space="preserve"> on improving productivity complements the agricultural policy analysis content </w:t>
      </w:r>
      <w:r w:rsidR="00F502B5">
        <w:t>the studies</w:t>
      </w:r>
      <w:r>
        <w:t xml:space="preserve">.  Other benefits of CIAT conducting the work program </w:t>
      </w:r>
      <w:r w:rsidR="00795935">
        <w:t>include</w:t>
      </w:r>
      <w:r>
        <w:t xml:space="preserve"> its activities in countries where the IDB does not have a strong or active lending program in agriculture, and its contacts with the major commodity producer associations in the region.</w:t>
      </w:r>
    </w:p>
    <w:p w:rsidR="000D52F6" w:rsidRDefault="00996F2E" w:rsidP="000D52F6">
      <w:pPr>
        <w:pStyle w:val="Paragraph"/>
        <w:numPr>
          <w:ilvl w:val="0"/>
          <w:numId w:val="0"/>
        </w:numPr>
        <w:ind w:left="90"/>
        <w:rPr>
          <w:szCs w:val="24"/>
        </w:rPr>
      </w:pPr>
      <w:r>
        <w:rPr>
          <w:b/>
          <w:szCs w:val="24"/>
        </w:rPr>
        <w:t xml:space="preserve">   </w:t>
      </w:r>
      <w:r w:rsidR="000D52F6">
        <w:rPr>
          <w:b/>
          <w:szCs w:val="24"/>
        </w:rPr>
        <w:tab/>
        <w:t xml:space="preserve">      </w:t>
      </w:r>
      <w:r w:rsidRPr="00F358DC">
        <w:rPr>
          <w:b/>
          <w:szCs w:val="24"/>
        </w:rPr>
        <w:t>Starting date and duration:</w:t>
      </w:r>
      <w:r w:rsidRPr="00F358DC">
        <w:rPr>
          <w:szCs w:val="24"/>
        </w:rPr>
        <w:t xml:space="preserve"> </w:t>
      </w:r>
      <w:r>
        <w:rPr>
          <w:szCs w:val="24"/>
        </w:rPr>
        <w:t xml:space="preserve">from </w:t>
      </w:r>
      <w:r w:rsidR="000D52F6">
        <w:rPr>
          <w:szCs w:val="24"/>
        </w:rPr>
        <w:t xml:space="preserve">July 1, 2015 </w:t>
      </w:r>
      <w:r w:rsidRPr="00C06049">
        <w:rPr>
          <w:szCs w:val="24"/>
        </w:rPr>
        <w:t xml:space="preserve">to </w:t>
      </w:r>
      <w:r w:rsidR="000D52F6">
        <w:rPr>
          <w:szCs w:val="24"/>
        </w:rPr>
        <w:t>December</w:t>
      </w:r>
      <w:r w:rsidRPr="00BB7762">
        <w:rPr>
          <w:szCs w:val="24"/>
        </w:rPr>
        <w:t xml:space="preserve"> </w:t>
      </w:r>
      <w:r w:rsidR="000D52F6">
        <w:rPr>
          <w:szCs w:val="24"/>
        </w:rPr>
        <w:t>31</w:t>
      </w:r>
      <w:r w:rsidRPr="00BB7762">
        <w:rPr>
          <w:szCs w:val="24"/>
        </w:rPr>
        <w:t xml:space="preserve">, </w:t>
      </w:r>
      <w:r w:rsidRPr="003C726C">
        <w:rPr>
          <w:szCs w:val="24"/>
        </w:rPr>
        <w:t>2015.</w:t>
      </w:r>
      <w:r w:rsidRPr="00F358DC">
        <w:rPr>
          <w:szCs w:val="24"/>
        </w:rPr>
        <w:t xml:space="preserve"> </w:t>
      </w:r>
    </w:p>
    <w:p w:rsidR="000D52F6" w:rsidRDefault="00996F2E" w:rsidP="000D52F6">
      <w:pPr>
        <w:pStyle w:val="Paragraph"/>
        <w:numPr>
          <w:ilvl w:val="0"/>
          <w:numId w:val="0"/>
        </w:numPr>
        <w:ind w:left="360" w:firstLine="720"/>
        <w:rPr>
          <w:iCs/>
          <w:snapToGrid w:val="0"/>
          <w:szCs w:val="24"/>
        </w:rPr>
      </w:pPr>
      <w:r>
        <w:rPr>
          <w:b/>
          <w:szCs w:val="24"/>
        </w:rPr>
        <w:t>Place</w:t>
      </w:r>
      <w:r w:rsidRPr="00F358DC">
        <w:rPr>
          <w:b/>
          <w:szCs w:val="24"/>
        </w:rPr>
        <w:t>:</w:t>
      </w:r>
      <w:r w:rsidRPr="00F358DC">
        <w:rPr>
          <w:szCs w:val="24"/>
        </w:rPr>
        <w:t xml:space="preserve"> </w:t>
      </w:r>
      <w:r>
        <w:t>Consultant place</w:t>
      </w:r>
      <w:r>
        <w:rPr>
          <w:iCs/>
          <w:snapToGrid w:val="0"/>
          <w:szCs w:val="24"/>
        </w:rPr>
        <w:t xml:space="preserve">. The consultant will have </w:t>
      </w:r>
      <w:r w:rsidRPr="00F358DC">
        <w:rPr>
          <w:iCs/>
          <w:snapToGrid w:val="0"/>
          <w:szCs w:val="24"/>
        </w:rPr>
        <w:t xml:space="preserve">constant interaction with IDB staff </w:t>
      </w:r>
    </w:p>
    <w:p w:rsidR="00996F2E" w:rsidRPr="00B302EA" w:rsidRDefault="00996F2E" w:rsidP="00B302EA">
      <w:pPr>
        <w:pStyle w:val="Paragraph"/>
        <w:numPr>
          <w:ilvl w:val="0"/>
          <w:numId w:val="0"/>
        </w:numPr>
        <w:ind w:left="360" w:firstLine="720"/>
        <w:rPr>
          <w:szCs w:val="24"/>
        </w:rPr>
      </w:pPr>
      <w:r w:rsidRPr="00F358DC">
        <w:rPr>
          <w:iCs/>
          <w:snapToGrid w:val="0"/>
          <w:szCs w:val="24"/>
        </w:rPr>
        <w:t>in</w:t>
      </w:r>
      <w:r w:rsidR="000D52F6">
        <w:rPr>
          <w:iCs/>
          <w:snapToGrid w:val="0"/>
          <w:szCs w:val="24"/>
        </w:rPr>
        <w:t xml:space="preserve"> </w:t>
      </w:r>
      <w:r w:rsidRPr="00F358DC">
        <w:rPr>
          <w:iCs/>
          <w:snapToGrid w:val="0"/>
          <w:szCs w:val="24"/>
        </w:rPr>
        <w:t>Washington, DC</w:t>
      </w:r>
      <w:r>
        <w:rPr>
          <w:iCs/>
          <w:snapToGrid w:val="0"/>
          <w:szCs w:val="24"/>
        </w:rPr>
        <w:t>.</w:t>
      </w:r>
    </w:p>
    <w:p w:rsidR="00996F2E" w:rsidRDefault="00996F2E" w:rsidP="00B302EA">
      <w:pPr>
        <w:pStyle w:val="ListParagraph"/>
        <w:ind w:left="1080"/>
        <w:jc w:val="both"/>
        <w:rPr>
          <w:rFonts w:eastAsiaTheme="minorEastAsia"/>
          <w:sz w:val="24"/>
          <w:szCs w:val="24"/>
        </w:rPr>
      </w:pPr>
      <w:r w:rsidRPr="00B302EA">
        <w:rPr>
          <w:rFonts w:eastAsiaTheme="minorEastAsia"/>
          <w:b/>
          <w:sz w:val="24"/>
          <w:szCs w:val="24"/>
        </w:rPr>
        <w:t>Coordinator:</w:t>
      </w:r>
      <w:r w:rsidRPr="00FE0A78">
        <w:rPr>
          <w:rFonts w:eastAsiaTheme="minorEastAsia"/>
          <w:sz w:val="24"/>
          <w:szCs w:val="24"/>
        </w:rPr>
        <w:t xml:space="preserve"> P</w:t>
      </w:r>
      <w:r w:rsidR="00F71225">
        <w:rPr>
          <w:rFonts w:eastAsiaTheme="minorEastAsia"/>
          <w:sz w:val="24"/>
          <w:szCs w:val="24"/>
        </w:rPr>
        <w:t>aolo De</w:t>
      </w:r>
      <w:r w:rsidR="007A7624">
        <w:rPr>
          <w:rFonts w:eastAsiaTheme="minorEastAsia"/>
          <w:sz w:val="24"/>
          <w:szCs w:val="24"/>
        </w:rPr>
        <w:t xml:space="preserve"> </w:t>
      </w:r>
      <w:r w:rsidR="00F71225">
        <w:rPr>
          <w:rFonts w:eastAsiaTheme="minorEastAsia"/>
          <w:sz w:val="24"/>
          <w:szCs w:val="24"/>
        </w:rPr>
        <w:t>Salvo</w:t>
      </w:r>
      <w:r w:rsidRPr="00FE0A78">
        <w:rPr>
          <w:rFonts w:eastAsiaTheme="minorEastAsia"/>
          <w:sz w:val="24"/>
          <w:szCs w:val="24"/>
        </w:rPr>
        <w:t xml:space="preserve">, INE/RND </w:t>
      </w:r>
      <w:hyperlink r:id="rId8" w:history="1">
        <w:r w:rsidR="00F71225" w:rsidRPr="00BB61B6">
          <w:rPr>
            <w:rStyle w:val="Hyperlink"/>
            <w:rFonts w:eastAsiaTheme="minorEastAsia"/>
            <w:sz w:val="24"/>
            <w:szCs w:val="24"/>
          </w:rPr>
          <w:t>Desalvo@iadb.org</w:t>
        </w:r>
      </w:hyperlink>
      <w:r>
        <w:rPr>
          <w:rFonts w:eastAsiaTheme="minorEastAsia"/>
          <w:sz w:val="24"/>
          <w:szCs w:val="24"/>
        </w:rPr>
        <w:t xml:space="preserve"> </w:t>
      </w:r>
    </w:p>
    <w:p w:rsidR="00996F2E" w:rsidRPr="00F6093F" w:rsidRDefault="00996F2E" w:rsidP="00996F2E">
      <w:pPr>
        <w:pStyle w:val="ListParagraph"/>
        <w:jc w:val="both"/>
        <w:rPr>
          <w:rFonts w:eastAsiaTheme="minorEastAsia"/>
          <w:sz w:val="24"/>
          <w:szCs w:val="24"/>
        </w:rPr>
      </w:pPr>
    </w:p>
    <w:p w:rsidR="00B55471" w:rsidRDefault="00B55471"/>
    <w:sectPr w:rsidR="00B5547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218" w:rsidRDefault="00030218">
      <w:r>
        <w:separator/>
      </w:r>
    </w:p>
  </w:endnote>
  <w:endnote w:type="continuationSeparator" w:id="0">
    <w:p w:rsidR="00030218" w:rsidRDefault="00030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8E9" w:rsidRDefault="003D08E9">
    <w:pPr>
      <w:pStyle w:val="Footer"/>
      <w:jc w:val="center"/>
    </w:pPr>
  </w:p>
  <w:p w:rsidR="003D08E9" w:rsidRDefault="003D08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218" w:rsidRDefault="00030218">
      <w:r>
        <w:separator/>
      </w:r>
    </w:p>
  </w:footnote>
  <w:footnote w:type="continuationSeparator" w:id="0">
    <w:p w:rsidR="00030218" w:rsidRDefault="000302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8E9" w:rsidRPr="00B302EA" w:rsidRDefault="00B302EA" w:rsidP="00B302EA">
    <w:pPr>
      <w:pStyle w:val="Header"/>
      <w:jc w:val="right"/>
      <w:rPr>
        <w:sz w:val="22"/>
        <w:szCs w:val="22"/>
      </w:rPr>
    </w:pPr>
    <w:r>
      <w:rPr>
        <w:sz w:val="22"/>
        <w:szCs w:val="22"/>
      </w:rPr>
      <w:t>IDBDocs#39676584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51E7A"/>
    <w:multiLevelType w:val="hybridMultilevel"/>
    <w:tmpl w:val="BD564676"/>
    <w:lvl w:ilvl="0" w:tplc="E3A8653C">
      <w:start w:val="1"/>
      <w:numFmt w:val="lowerLetter"/>
      <w:lvlText w:val="(%1)"/>
      <w:lvlJc w:val="left"/>
      <w:pPr>
        <w:ind w:left="1500" w:hanging="360"/>
      </w:pPr>
      <w:rPr>
        <w:rFonts w:ascii="Times New Roman" w:eastAsia="Times New Roman" w:hAnsi="Times New Roman" w:cs="Times New Roman"/>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nsid w:val="0DAB7FC9"/>
    <w:multiLevelType w:val="multilevel"/>
    <w:tmpl w:val="38DA7184"/>
    <w:lvl w:ilvl="0">
      <w:start w:val="1"/>
      <w:numFmt w:val="upperRoman"/>
      <w:pStyle w:val="Chapter"/>
      <w:lvlText w:val="%1."/>
      <w:lvlJc w:val="center"/>
      <w:pPr>
        <w:tabs>
          <w:tab w:val="num" w:pos="648"/>
        </w:tabs>
        <w:ind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2">
    <w:nsid w:val="15EE09E4"/>
    <w:multiLevelType w:val="multilevel"/>
    <w:tmpl w:val="13EEE514"/>
    <w:lvl w:ilvl="0">
      <w:start w:val="1"/>
      <w:numFmt w:val="decimal"/>
      <w:lvlText w:val="%1."/>
      <w:lvlJc w:val="left"/>
      <w:pPr>
        <w:ind w:left="1440" w:hanging="360"/>
      </w:pPr>
    </w:lvl>
    <w:lvl w:ilvl="1">
      <w:start w:val="1"/>
      <w:numFmt w:val="decimal"/>
      <w:lvlText w:val="%2."/>
      <w:lvlJc w:val="left"/>
      <w:pPr>
        <w:ind w:left="2250" w:hanging="360"/>
      </w:pPr>
      <w:rPr>
        <w:rFonts w:hint="default"/>
      </w:rPr>
    </w:lvl>
    <w:lvl w:ilvl="2">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D25560F"/>
    <w:multiLevelType w:val="hybridMultilevel"/>
    <w:tmpl w:val="8E56E47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BC436CF"/>
    <w:multiLevelType w:val="multilevel"/>
    <w:tmpl w:val="C57A7998"/>
    <w:lvl w:ilvl="0">
      <w:start w:val="1"/>
      <w:numFmt w:val="lowerLetter"/>
      <w:lvlText w:val="%1)"/>
      <w:lvlJc w:val="left"/>
      <w:pPr>
        <w:ind w:left="1080" w:hanging="360"/>
      </w:pPr>
      <w:rPr>
        <w:rFonts w:hint="default"/>
      </w:rPr>
    </w:lvl>
    <w:lvl w:ilvl="1">
      <w:start w:val="1"/>
      <w:numFmt w:val="decimal"/>
      <w:lvlText w:val="%2."/>
      <w:lvlJc w:val="left"/>
      <w:pPr>
        <w:ind w:left="1890" w:hanging="360"/>
      </w:pPr>
      <w:rPr>
        <w:rFonts w:hint="default"/>
      </w:rPr>
    </w:lvl>
    <w:lvl w:ilvl="2">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
    <w:nsid w:val="31000E8C"/>
    <w:multiLevelType w:val="multilevel"/>
    <w:tmpl w:val="BCD6EDEA"/>
    <w:lvl w:ilvl="0">
      <w:start w:val="1"/>
      <w:numFmt w:val="upperRoman"/>
      <w:lvlText w:val="%1."/>
      <w:lvlJc w:val="left"/>
      <w:pPr>
        <w:ind w:left="1080" w:hanging="720"/>
      </w:pPr>
      <w:rPr>
        <w:rFonts w:hint="default"/>
      </w:rPr>
    </w:lvl>
    <w:lvl w:ilvl="1">
      <w:start w:val="1"/>
      <w:numFmt w:val="decimal"/>
      <w:isLgl/>
      <w:lvlText w:val="%1.%2"/>
      <w:lvlJc w:val="left"/>
      <w:pPr>
        <w:ind w:left="450" w:hanging="360"/>
      </w:pPr>
      <w:rPr>
        <w:rFonts w:eastAsiaTheme="minorEastAsia" w:hint="default"/>
        <w:sz w:val="24"/>
      </w:rPr>
    </w:lvl>
    <w:lvl w:ilvl="2">
      <w:start w:val="1"/>
      <w:numFmt w:val="decimal"/>
      <w:isLgl/>
      <w:lvlText w:val="%1.%2.%3"/>
      <w:lvlJc w:val="left"/>
      <w:pPr>
        <w:ind w:left="1080" w:hanging="720"/>
      </w:pPr>
      <w:rPr>
        <w:rFonts w:eastAsiaTheme="minorEastAsia" w:hint="default"/>
        <w:sz w:val="24"/>
      </w:rPr>
    </w:lvl>
    <w:lvl w:ilvl="3">
      <w:start w:val="1"/>
      <w:numFmt w:val="decimal"/>
      <w:isLgl/>
      <w:lvlText w:val="%1.%2.%3.%4"/>
      <w:lvlJc w:val="left"/>
      <w:pPr>
        <w:ind w:left="1080" w:hanging="720"/>
      </w:pPr>
      <w:rPr>
        <w:rFonts w:eastAsiaTheme="minorEastAsia" w:hint="default"/>
        <w:sz w:val="24"/>
      </w:rPr>
    </w:lvl>
    <w:lvl w:ilvl="4">
      <w:start w:val="1"/>
      <w:numFmt w:val="decimal"/>
      <w:isLgl/>
      <w:lvlText w:val="%1.%2.%3.%4.%5"/>
      <w:lvlJc w:val="left"/>
      <w:pPr>
        <w:ind w:left="1440" w:hanging="1080"/>
      </w:pPr>
      <w:rPr>
        <w:rFonts w:eastAsiaTheme="minorEastAsia" w:hint="default"/>
        <w:sz w:val="24"/>
      </w:rPr>
    </w:lvl>
    <w:lvl w:ilvl="5">
      <w:start w:val="1"/>
      <w:numFmt w:val="decimal"/>
      <w:isLgl/>
      <w:lvlText w:val="%1.%2.%3.%4.%5.%6"/>
      <w:lvlJc w:val="left"/>
      <w:pPr>
        <w:ind w:left="1440" w:hanging="1080"/>
      </w:pPr>
      <w:rPr>
        <w:rFonts w:eastAsiaTheme="minorEastAsia" w:hint="default"/>
        <w:sz w:val="24"/>
      </w:rPr>
    </w:lvl>
    <w:lvl w:ilvl="6">
      <w:start w:val="1"/>
      <w:numFmt w:val="decimal"/>
      <w:isLgl/>
      <w:lvlText w:val="%1.%2.%3.%4.%5.%6.%7"/>
      <w:lvlJc w:val="left"/>
      <w:pPr>
        <w:ind w:left="1800" w:hanging="1440"/>
      </w:pPr>
      <w:rPr>
        <w:rFonts w:eastAsiaTheme="minorEastAsia" w:hint="default"/>
        <w:sz w:val="24"/>
      </w:rPr>
    </w:lvl>
    <w:lvl w:ilvl="7">
      <w:start w:val="1"/>
      <w:numFmt w:val="decimal"/>
      <w:isLgl/>
      <w:lvlText w:val="%1.%2.%3.%4.%5.%6.%7.%8"/>
      <w:lvlJc w:val="left"/>
      <w:pPr>
        <w:ind w:left="1800" w:hanging="1440"/>
      </w:pPr>
      <w:rPr>
        <w:rFonts w:eastAsiaTheme="minorEastAsia" w:hint="default"/>
        <w:sz w:val="24"/>
      </w:rPr>
    </w:lvl>
    <w:lvl w:ilvl="8">
      <w:start w:val="1"/>
      <w:numFmt w:val="decimal"/>
      <w:isLgl/>
      <w:lvlText w:val="%1.%2.%3.%4.%5.%6.%7.%8.%9"/>
      <w:lvlJc w:val="left"/>
      <w:pPr>
        <w:ind w:left="1800" w:hanging="1440"/>
      </w:pPr>
      <w:rPr>
        <w:rFonts w:eastAsiaTheme="minorEastAsia" w:hint="default"/>
        <w:sz w:val="24"/>
      </w:rPr>
    </w:lvl>
  </w:abstractNum>
  <w:abstractNum w:abstractNumId="7">
    <w:nsid w:val="35245718"/>
    <w:multiLevelType w:val="hybridMultilevel"/>
    <w:tmpl w:val="26B8E4A8"/>
    <w:lvl w:ilvl="0" w:tplc="0409000F">
      <w:start w:val="1"/>
      <w:numFmt w:val="decimal"/>
      <w:lvlText w:val="%1."/>
      <w:lvlJc w:val="left"/>
      <w:pPr>
        <w:ind w:left="1440" w:hanging="360"/>
      </w:p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nsid w:val="535C3877"/>
    <w:multiLevelType w:val="hybridMultilevel"/>
    <w:tmpl w:val="D4242B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6BAA3448"/>
    <w:multiLevelType w:val="hybridMultilevel"/>
    <w:tmpl w:val="B25C0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3BE7E85"/>
    <w:multiLevelType w:val="multilevel"/>
    <w:tmpl w:val="C57A7998"/>
    <w:lvl w:ilvl="0">
      <w:start w:val="1"/>
      <w:numFmt w:val="lowerLetter"/>
      <w:lvlText w:val="%1)"/>
      <w:lvlJc w:val="left"/>
      <w:pPr>
        <w:ind w:left="1080" w:hanging="360"/>
      </w:pPr>
      <w:rPr>
        <w:rFonts w:hint="default"/>
      </w:rPr>
    </w:lvl>
    <w:lvl w:ilvl="1">
      <w:start w:val="1"/>
      <w:numFmt w:val="decimal"/>
      <w:lvlText w:val="%2."/>
      <w:lvlJc w:val="left"/>
      <w:pPr>
        <w:ind w:left="1890" w:hanging="360"/>
      </w:pPr>
      <w:rPr>
        <w:rFonts w:hint="default"/>
      </w:rPr>
    </w:lvl>
    <w:lvl w:ilvl="2">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num w:numId="1">
    <w:abstractNumId w:val="6"/>
  </w:num>
  <w:num w:numId="2">
    <w:abstractNumId w:val="1"/>
  </w:num>
  <w:num w:numId="3">
    <w:abstractNumId w:val="9"/>
  </w:num>
  <w:num w:numId="4">
    <w:abstractNumId w:val="0"/>
  </w:num>
  <w:num w:numId="5">
    <w:abstractNumId w:val="10"/>
  </w:num>
  <w:num w:numId="6">
    <w:abstractNumId w:val="2"/>
  </w:num>
  <w:num w:numId="7">
    <w:abstractNumId w:val="7"/>
  </w:num>
  <w:num w:numId="8">
    <w:abstractNumId w:val="4"/>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5"/>
  </w:num>
  <w:num w:numId="20">
    <w:abstractNumId w:val="3"/>
  </w:num>
  <w:num w:numId="2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chelB">
    <w15:presenceInfo w15:providerId="None" w15:userId="Rachel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F2E"/>
    <w:rsid w:val="00030218"/>
    <w:rsid w:val="0004744D"/>
    <w:rsid w:val="000D52F6"/>
    <w:rsid w:val="001060A7"/>
    <w:rsid w:val="001C6F36"/>
    <w:rsid w:val="001F5F5E"/>
    <w:rsid w:val="00223E71"/>
    <w:rsid w:val="00235B03"/>
    <w:rsid w:val="00262B7D"/>
    <w:rsid w:val="003D08E9"/>
    <w:rsid w:val="0042642C"/>
    <w:rsid w:val="00520AAB"/>
    <w:rsid w:val="00557C41"/>
    <w:rsid w:val="00570954"/>
    <w:rsid w:val="005E27B9"/>
    <w:rsid w:val="00780CDB"/>
    <w:rsid w:val="007951CD"/>
    <w:rsid w:val="00795935"/>
    <w:rsid w:val="007A7624"/>
    <w:rsid w:val="007F16A0"/>
    <w:rsid w:val="0090523A"/>
    <w:rsid w:val="00911770"/>
    <w:rsid w:val="00996F2E"/>
    <w:rsid w:val="00AB5511"/>
    <w:rsid w:val="00B12309"/>
    <w:rsid w:val="00B302EA"/>
    <w:rsid w:val="00B55471"/>
    <w:rsid w:val="00C858E0"/>
    <w:rsid w:val="00E8392B"/>
    <w:rsid w:val="00EB78E4"/>
    <w:rsid w:val="00F502B5"/>
    <w:rsid w:val="00F71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F2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F2E"/>
    <w:pPr>
      <w:ind w:left="720"/>
    </w:pPr>
  </w:style>
  <w:style w:type="paragraph" w:customStyle="1" w:styleId="Chapter">
    <w:name w:val="Chapter"/>
    <w:basedOn w:val="Normal"/>
    <w:next w:val="Normal"/>
    <w:uiPriority w:val="99"/>
    <w:rsid w:val="00996F2E"/>
    <w:pPr>
      <w:numPr>
        <w:numId w:val="2"/>
      </w:numPr>
      <w:tabs>
        <w:tab w:val="left" w:pos="1440"/>
      </w:tabs>
      <w:spacing w:after="240"/>
      <w:jc w:val="center"/>
    </w:pPr>
    <w:rPr>
      <w:rFonts w:cs="Arial"/>
      <w:b/>
      <w:smallCaps/>
      <w:noProof/>
      <w:sz w:val="24"/>
    </w:rPr>
  </w:style>
  <w:style w:type="paragraph" w:customStyle="1" w:styleId="Paragraph">
    <w:name w:val="Paragraph"/>
    <w:aliases w:val="paragraph,p,PARAGRAPH,PG,pa,at"/>
    <w:basedOn w:val="BodyTextIndent"/>
    <w:link w:val="ParagraphChar"/>
    <w:uiPriority w:val="99"/>
    <w:rsid w:val="00996F2E"/>
    <w:pPr>
      <w:numPr>
        <w:ilvl w:val="1"/>
        <w:numId w:val="2"/>
      </w:numPr>
      <w:spacing w:before="120"/>
      <w:jc w:val="both"/>
      <w:outlineLvl w:val="1"/>
    </w:pPr>
    <w:rPr>
      <w:sz w:val="24"/>
    </w:rPr>
  </w:style>
  <w:style w:type="paragraph" w:customStyle="1" w:styleId="subpar">
    <w:name w:val="subpar"/>
    <w:basedOn w:val="BodyTextIndent3"/>
    <w:uiPriority w:val="99"/>
    <w:rsid w:val="00996F2E"/>
    <w:pPr>
      <w:numPr>
        <w:ilvl w:val="2"/>
        <w:numId w:val="2"/>
      </w:numPr>
      <w:spacing w:before="120"/>
      <w:jc w:val="both"/>
      <w:outlineLvl w:val="2"/>
    </w:pPr>
    <w:rPr>
      <w:sz w:val="24"/>
      <w:szCs w:val="20"/>
    </w:rPr>
  </w:style>
  <w:style w:type="paragraph" w:customStyle="1" w:styleId="SubSubPar">
    <w:name w:val="SubSubPar"/>
    <w:basedOn w:val="subpar"/>
    <w:uiPriority w:val="99"/>
    <w:rsid w:val="00996F2E"/>
    <w:pPr>
      <w:numPr>
        <w:ilvl w:val="3"/>
      </w:numPr>
      <w:tabs>
        <w:tab w:val="clear" w:pos="1584"/>
        <w:tab w:val="left" w:pos="0"/>
        <w:tab w:val="num" w:pos="720"/>
      </w:tabs>
      <w:ind w:left="720" w:hanging="360"/>
    </w:pPr>
  </w:style>
  <w:style w:type="character" w:customStyle="1" w:styleId="ParagraphChar">
    <w:name w:val="Paragraph Char"/>
    <w:basedOn w:val="DefaultParagraphFont"/>
    <w:link w:val="Paragraph"/>
    <w:uiPriority w:val="99"/>
    <w:rsid w:val="00996F2E"/>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996F2E"/>
    <w:pPr>
      <w:tabs>
        <w:tab w:val="center" w:pos="4680"/>
        <w:tab w:val="right" w:pos="9360"/>
      </w:tabs>
    </w:pPr>
  </w:style>
  <w:style w:type="character" w:customStyle="1" w:styleId="HeaderChar">
    <w:name w:val="Header Char"/>
    <w:basedOn w:val="DefaultParagraphFont"/>
    <w:link w:val="Header"/>
    <w:uiPriority w:val="99"/>
    <w:rsid w:val="00996F2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996F2E"/>
    <w:pPr>
      <w:tabs>
        <w:tab w:val="center" w:pos="4680"/>
        <w:tab w:val="right" w:pos="9360"/>
      </w:tabs>
    </w:pPr>
  </w:style>
  <w:style w:type="character" w:customStyle="1" w:styleId="FooterChar">
    <w:name w:val="Footer Char"/>
    <w:basedOn w:val="DefaultParagraphFont"/>
    <w:link w:val="Footer"/>
    <w:uiPriority w:val="99"/>
    <w:rsid w:val="00996F2E"/>
    <w:rPr>
      <w:rFonts w:ascii="Times New Roman" w:eastAsia="Times New Roman" w:hAnsi="Times New Roman" w:cs="Times New Roman"/>
      <w:sz w:val="20"/>
      <w:szCs w:val="20"/>
    </w:rPr>
  </w:style>
  <w:style w:type="character" w:styleId="Hyperlink">
    <w:name w:val="Hyperlink"/>
    <w:basedOn w:val="DefaultParagraphFont"/>
    <w:uiPriority w:val="99"/>
    <w:unhideWhenUsed/>
    <w:rsid w:val="00996F2E"/>
    <w:rPr>
      <w:color w:val="0000FF" w:themeColor="hyperlink"/>
      <w:u w:val="single"/>
    </w:rPr>
  </w:style>
  <w:style w:type="paragraph" w:styleId="BodyTextIndent">
    <w:name w:val="Body Text Indent"/>
    <w:basedOn w:val="Normal"/>
    <w:link w:val="BodyTextIndentChar"/>
    <w:uiPriority w:val="99"/>
    <w:semiHidden/>
    <w:unhideWhenUsed/>
    <w:rsid w:val="00996F2E"/>
    <w:pPr>
      <w:spacing w:after="120"/>
      <w:ind w:left="360"/>
    </w:pPr>
  </w:style>
  <w:style w:type="character" w:customStyle="1" w:styleId="BodyTextIndentChar">
    <w:name w:val="Body Text Indent Char"/>
    <w:basedOn w:val="DefaultParagraphFont"/>
    <w:link w:val="BodyTextIndent"/>
    <w:uiPriority w:val="99"/>
    <w:semiHidden/>
    <w:rsid w:val="00996F2E"/>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996F2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96F2E"/>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557C41"/>
    <w:rPr>
      <w:rFonts w:ascii="Tahoma" w:hAnsi="Tahoma" w:cs="Tahoma"/>
      <w:sz w:val="16"/>
      <w:szCs w:val="16"/>
    </w:rPr>
  </w:style>
  <w:style w:type="character" w:customStyle="1" w:styleId="BalloonTextChar">
    <w:name w:val="Balloon Text Char"/>
    <w:basedOn w:val="DefaultParagraphFont"/>
    <w:link w:val="BalloonText"/>
    <w:uiPriority w:val="99"/>
    <w:semiHidden/>
    <w:rsid w:val="00557C4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F2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F2E"/>
    <w:pPr>
      <w:ind w:left="720"/>
    </w:pPr>
  </w:style>
  <w:style w:type="paragraph" w:customStyle="1" w:styleId="Chapter">
    <w:name w:val="Chapter"/>
    <w:basedOn w:val="Normal"/>
    <w:next w:val="Normal"/>
    <w:uiPriority w:val="99"/>
    <w:rsid w:val="00996F2E"/>
    <w:pPr>
      <w:numPr>
        <w:numId w:val="2"/>
      </w:numPr>
      <w:tabs>
        <w:tab w:val="left" w:pos="1440"/>
      </w:tabs>
      <w:spacing w:after="240"/>
      <w:jc w:val="center"/>
    </w:pPr>
    <w:rPr>
      <w:rFonts w:cs="Arial"/>
      <w:b/>
      <w:smallCaps/>
      <w:noProof/>
      <w:sz w:val="24"/>
    </w:rPr>
  </w:style>
  <w:style w:type="paragraph" w:customStyle="1" w:styleId="Paragraph">
    <w:name w:val="Paragraph"/>
    <w:aliases w:val="paragraph,p,PARAGRAPH,PG,pa,at"/>
    <w:basedOn w:val="BodyTextIndent"/>
    <w:link w:val="ParagraphChar"/>
    <w:uiPriority w:val="99"/>
    <w:rsid w:val="00996F2E"/>
    <w:pPr>
      <w:numPr>
        <w:ilvl w:val="1"/>
        <w:numId w:val="2"/>
      </w:numPr>
      <w:spacing w:before="120"/>
      <w:jc w:val="both"/>
      <w:outlineLvl w:val="1"/>
    </w:pPr>
    <w:rPr>
      <w:sz w:val="24"/>
    </w:rPr>
  </w:style>
  <w:style w:type="paragraph" w:customStyle="1" w:styleId="subpar">
    <w:name w:val="subpar"/>
    <w:basedOn w:val="BodyTextIndent3"/>
    <w:uiPriority w:val="99"/>
    <w:rsid w:val="00996F2E"/>
    <w:pPr>
      <w:numPr>
        <w:ilvl w:val="2"/>
        <w:numId w:val="2"/>
      </w:numPr>
      <w:spacing w:before="120"/>
      <w:jc w:val="both"/>
      <w:outlineLvl w:val="2"/>
    </w:pPr>
    <w:rPr>
      <w:sz w:val="24"/>
      <w:szCs w:val="20"/>
    </w:rPr>
  </w:style>
  <w:style w:type="paragraph" w:customStyle="1" w:styleId="SubSubPar">
    <w:name w:val="SubSubPar"/>
    <w:basedOn w:val="subpar"/>
    <w:uiPriority w:val="99"/>
    <w:rsid w:val="00996F2E"/>
    <w:pPr>
      <w:numPr>
        <w:ilvl w:val="3"/>
      </w:numPr>
      <w:tabs>
        <w:tab w:val="clear" w:pos="1584"/>
        <w:tab w:val="left" w:pos="0"/>
        <w:tab w:val="num" w:pos="720"/>
      </w:tabs>
      <w:ind w:left="720" w:hanging="360"/>
    </w:pPr>
  </w:style>
  <w:style w:type="character" w:customStyle="1" w:styleId="ParagraphChar">
    <w:name w:val="Paragraph Char"/>
    <w:basedOn w:val="DefaultParagraphFont"/>
    <w:link w:val="Paragraph"/>
    <w:uiPriority w:val="99"/>
    <w:rsid w:val="00996F2E"/>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996F2E"/>
    <w:pPr>
      <w:tabs>
        <w:tab w:val="center" w:pos="4680"/>
        <w:tab w:val="right" w:pos="9360"/>
      </w:tabs>
    </w:pPr>
  </w:style>
  <w:style w:type="character" w:customStyle="1" w:styleId="HeaderChar">
    <w:name w:val="Header Char"/>
    <w:basedOn w:val="DefaultParagraphFont"/>
    <w:link w:val="Header"/>
    <w:uiPriority w:val="99"/>
    <w:rsid w:val="00996F2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996F2E"/>
    <w:pPr>
      <w:tabs>
        <w:tab w:val="center" w:pos="4680"/>
        <w:tab w:val="right" w:pos="9360"/>
      </w:tabs>
    </w:pPr>
  </w:style>
  <w:style w:type="character" w:customStyle="1" w:styleId="FooterChar">
    <w:name w:val="Footer Char"/>
    <w:basedOn w:val="DefaultParagraphFont"/>
    <w:link w:val="Footer"/>
    <w:uiPriority w:val="99"/>
    <w:rsid w:val="00996F2E"/>
    <w:rPr>
      <w:rFonts w:ascii="Times New Roman" w:eastAsia="Times New Roman" w:hAnsi="Times New Roman" w:cs="Times New Roman"/>
      <w:sz w:val="20"/>
      <w:szCs w:val="20"/>
    </w:rPr>
  </w:style>
  <w:style w:type="character" w:styleId="Hyperlink">
    <w:name w:val="Hyperlink"/>
    <w:basedOn w:val="DefaultParagraphFont"/>
    <w:uiPriority w:val="99"/>
    <w:unhideWhenUsed/>
    <w:rsid w:val="00996F2E"/>
    <w:rPr>
      <w:color w:val="0000FF" w:themeColor="hyperlink"/>
      <w:u w:val="single"/>
    </w:rPr>
  </w:style>
  <w:style w:type="paragraph" w:styleId="BodyTextIndent">
    <w:name w:val="Body Text Indent"/>
    <w:basedOn w:val="Normal"/>
    <w:link w:val="BodyTextIndentChar"/>
    <w:uiPriority w:val="99"/>
    <w:semiHidden/>
    <w:unhideWhenUsed/>
    <w:rsid w:val="00996F2E"/>
    <w:pPr>
      <w:spacing w:after="120"/>
      <w:ind w:left="360"/>
    </w:pPr>
  </w:style>
  <w:style w:type="character" w:customStyle="1" w:styleId="BodyTextIndentChar">
    <w:name w:val="Body Text Indent Char"/>
    <w:basedOn w:val="DefaultParagraphFont"/>
    <w:link w:val="BodyTextIndent"/>
    <w:uiPriority w:val="99"/>
    <w:semiHidden/>
    <w:rsid w:val="00996F2E"/>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996F2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96F2E"/>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557C41"/>
    <w:rPr>
      <w:rFonts w:ascii="Tahoma" w:hAnsi="Tahoma" w:cs="Tahoma"/>
      <w:sz w:val="16"/>
      <w:szCs w:val="16"/>
    </w:rPr>
  </w:style>
  <w:style w:type="character" w:customStyle="1" w:styleId="BalloonTextChar">
    <w:name w:val="Balloon Text Char"/>
    <w:basedOn w:val="DefaultParagraphFont"/>
    <w:link w:val="BalloonText"/>
    <w:uiPriority w:val="99"/>
    <w:semiHidden/>
    <w:rsid w:val="00557C4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salvo@iadb.org" TargetMode="Externa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7CD87FD37736C4993A5F7E173E43811" ma:contentTypeVersion="0" ma:contentTypeDescription="A content type to manage public (operations) IDB documents" ma:contentTypeScope="" ma:versionID="ecb93a11ad8bdf2b1ba07840ecb5643a">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39676584</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De Salvo, Carmine Paolo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RG-T2622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AG-AGR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49EA9E84-79A6-4E3A-84E4-4CFE03D823A7}"/>
</file>

<file path=customXml/itemProps2.xml><?xml version="1.0" encoding="utf-8"?>
<ds:datastoreItem xmlns:ds="http://schemas.openxmlformats.org/officeDocument/2006/customXml" ds:itemID="{55A1644A-A2B7-4626-A579-C3D038DB5C2D}"/>
</file>

<file path=customXml/itemProps3.xml><?xml version="1.0" encoding="utf-8"?>
<ds:datastoreItem xmlns:ds="http://schemas.openxmlformats.org/officeDocument/2006/customXml" ds:itemID="{907BA757-F160-4113-8899-C25B47C888B4}"/>
</file>

<file path=customXml/itemProps4.xml><?xml version="1.0" encoding="utf-8"?>
<ds:datastoreItem xmlns:ds="http://schemas.openxmlformats.org/officeDocument/2006/customXml" ds:itemID="{7884AF97-37DB-427D-9045-FED30EC75B70}"/>
</file>

<file path=customXml/itemProps5.xml><?xml version="1.0" encoding="utf-8"?>
<ds:datastoreItem xmlns:ds="http://schemas.openxmlformats.org/officeDocument/2006/customXml" ds:itemID="{25534AD3-A7A3-4944-8943-64D9BA7CD77F}"/>
</file>

<file path=docProps/app.xml><?xml version="1.0" encoding="utf-8"?>
<Properties xmlns="http://schemas.openxmlformats.org/officeDocument/2006/extended-properties" xmlns:vt="http://schemas.openxmlformats.org/officeDocument/2006/docPropsVTypes">
  <Template>Normal.dotm</Template>
  <TotalTime>81</TotalTime>
  <Pages>4</Pages>
  <Words>1377</Words>
  <Characters>7850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 Specialized Agency</dc:title>
  <dc:subject/>
  <dc:creator>IADB</dc:creator>
  <cp:keywords/>
  <dc:description/>
  <cp:lastModifiedBy>IADB</cp:lastModifiedBy>
  <cp:revision>6</cp:revision>
  <dcterms:created xsi:type="dcterms:W3CDTF">2015-05-29T22:28:00Z</dcterms:created>
  <dcterms:modified xsi:type="dcterms:W3CDTF">2015-06-12T20:33:00Z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0x01010046CF21643EE8D14686A648AA6DAD08920027CD87FD37736C4993A5F7E173E43811</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