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word/fontTable.xml" ContentType="application/vnd.openxmlformats-officedocument.wordprocessingml.fontTable+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webSettings.xml" ContentType="application/vnd.openxmlformats-officedocument.wordprocessingml.webSettings+xml"/>
  <Override PartName="/docProps/core.xml" ContentType="application/vnd.openxmlformats-package.core-properties+xml"/>
  <Override PartName="/customXml/itemProps6.xml" ContentType="application/vnd.openxmlformats-officedocument.customXml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7.xml" ContentType="application/vnd.openxmlformats-officedocument.customXmlProperties+xml"/>
  <Override PartName="/docProps/custom.xml" ContentType="application/vnd.openxmlformats-officedocument.custom-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241DC97" w14:textId="55EF1BDE" w:rsidR="00F74396" w:rsidRPr="009A6092" w:rsidRDefault="00215F89" w:rsidP="00215F89">
      <w:pPr>
        <w:jc w:val="center"/>
        <w:rPr>
          <w:rFonts w:ascii="Times New Roman" w:hAnsi="Times New Roman" w:cs="Times New Roman"/>
          <w:b/>
          <w:smallCaps/>
          <w:sz w:val="24"/>
          <w:szCs w:val="24"/>
          <w:lang w:val="es-MX"/>
        </w:rPr>
      </w:pPr>
      <w:r w:rsidRPr="009A6092">
        <w:rPr>
          <w:rFonts w:ascii="Times New Roman" w:hAnsi="Times New Roman" w:cs="Times New Roman"/>
          <w:b/>
          <w:smallCaps/>
          <w:sz w:val="24"/>
          <w:szCs w:val="24"/>
          <w:lang w:val="es-MX"/>
        </w:rPr>
        <w:t xml:space="preserve">Medidas de </w:t>
      </w:r>
      <w:r w:rsidR="00F2260E" w:rsidRPr="009A6092">
        <w:rPr>
          <w:rFonts w:ascii="Times New Roman" w:hAnsi="Times New Roman" w:cs="Times New Roman"/>
          <w:b/>
          <w:smallCaps/>
          <w:sz w:val="24"/>
          <w:szCs w:val="24"/>
          <w:lang w:val="es-MX"/>
        </w:rPr>
        <w:t>p</w:t>
      </w:r>
      <w:r w:rsidRPr="009A6092">
        <w:rPr>
          <w:rFonts w:ascii="Times New Roman" w:hAnsi="Times New Roman" w:cs="Times New Roman"/>
          <w:b/>
          <w:smallCaps/>
          <w:sz w:val="24"/>
          <w:szCs w:val="24"/>
          <w:lang w:val="es-MX"/>
        </w:rPr>
        <w:t>ol</w:t>
      </w:r>
      <w:r w:rsidRPr="009A6092">
        <w:rPr>
          <w:rFonts w:ascii="Times New Roman" w:hAnsi="Times New Roman" w:cs="Times New Roman" w:hint="eastAsia"/>
          <w:b/>
          <w:smallCaps/>
          <w:sz w:val="24"/>
          <w:szCs w:val="24"/>
          <w:lang w:val="es-MX"/>
        </w:rPr>
        <w:t>í</w:t>
      </w:r>
      <w:r w:rsidRPr="009A6092">
        <w:rPr>
          <w:rFonts w:ascii="Times New Roman" w:hAnsi="Times New Roman" w:cs="Times New Roman"/>
          <w:b/>
          <w:smallCaps/>
          <w:sz w:val="24"/>
          <w:szCs w:val="24"/>
          <w:lang w:val="es-MX"/>
        </w:rPr>
        <w:t xml:space="preserve">tica </w:t>
      </w:r>
      <w:r w:rsidR="007F2D46" w:rsidRPr="009A6092">
        <w:rPr>
          <w:rFonts w:ascii="Times New Roman" w:hAnsi="Times New Roman" w:cs="Times New Roman"/>
          <w:b/>
          <w:smallCaps/>
          <w:sz w:val="24"/>
          <w:szCs w:val="24"/>
          <w:lang w:val="es-MX"/>
        </w:rPr>
        <w:t xml:space="preserve">pre-identificadas </w:t>
      </w:r>
      <w:r w:rsidR="00A4023C" w:rsidRPr="009A6092">
        <w:rPr>
          <w:rFonts w:ascii="Times New Roman" w:hAnsi="Times New Roman" w:cs="Times New Roman"/>
          <w:b/>
          <w:smallCaps/>
          <w:sz w:val="24"/>
          <w:szCs w:val="24"/>
          <w:lang w:val="es-MX"/>
        </w:rPr>
        <w:t>(Incluidas en la segunda operaci</w:t>
      </w:r>
      <w:r w:rsidR="00A4023C" w:rsidRPr="009A6092">
        <w:rPr>
          <w:rFonts w:ascii="Times New Roman" w:hAnsi="Times New Roman" w:cs="Times New Roman" w:hint="eastAsia"/>
          <w:b/>
          <w:smallCaps/>
          <w:sz w:val="24"/>
          <w:szCs w:val="24"/>
          <w:lang w:val="es-MX"/>
        </w:rPr>
        <w:t>ó</w:t>
      </w:r>
      <w:r w:rsidR="00A4023C" w:rsidRPr="009A6092">
        <w:rPr>
          <w:rFonts w:ascii="Times New Roman" w:hAnsi="Times New Roman" w:cs="Times New Roman"/>
          <w:b/>
          <w:smallCaps/>
          <w:sz w:val="24"/>
          <w:szCs w:val="24"/>
          <w:lang w:val="es-MX"/>
        </w:rPr>
        <w:t>n)</w:t>
      </w:r>
      <w:r w:rsidR="00FA57D2">
        <w:rPr>
          <w:rFonts w:ascii="Times New Roman" w:hAnsi="Times New Roman" w:cs="Times New Roman"/>
          <w:b/>
          <w:smallCaps/>
          <w:sz w:val="24"/>
          <w:szCs w:val="24"/>
          <w:lang w:val="es-MX"/>
        </w:rPr>
        <w:t xml:space="preserve"> </w:t>
      </w:r>
      <w:bookmarkStart w:id="0" w:name="_GoBack"/>
      <w:bookmarkEnd w:id="0"/>
      <w:r w:rsidR="00F2260E" w:rsidRPr="009A6092">
        <w:rPr>
          <w:rFonts w:ascii="Times New Roman" w:hAnsi="Times New Roman" w:cs="Times New Roman"/>
          <w:b/>
          <w:smallCaps/>
          <w:sz w:val="24"/>
          <w:szCs w:val="24"/>
          <w:lang w:val="es-MX"/>
        </w:rPr>
        <w:t>c</w:t>
      </w:r>
      <w:r w:rsidRPr="009A6092">
        <w:rPr>
          <w:rFonts w:ascii="Times New Roman" w:hAnsi="Times New Roman" w:cs="Times New Roman"/>
          <w:b/>
          <w:smallCaps/>
          <w:sz w:val="24"/>
          <w:szCs w:val="24"/>
          <w:lang w:val="es-MX"/>
        </w:rPr>
        <w:t xml:space="preserve">omparadas con las </w:t>
      </w:r>
      <w:r w:rsidR="00F2260E" w:rsidRPr="009A6092">
        <w:rPr>
          <w:rFonts w:ascii="Times New Roman" w:hAnsi="Times New Roman" w:cs="Times New Roman"/>
          <w:b/>
          <w:smallCaps/>
          <w:sz w:val="24"/>
          <w:szCs w:val="24"/>
          <w:lang w:val="es-MX"/>
        </w:rPr>
        <w:t>m</w:t>
      </w:r>
      <w:r w:rsidRPr="009A6092">
        <w:rPr>
          <w:rFonts w:ascii="Times New Roman" w:hAnsi="Times New Roman" w:cs="Times New Roman"/>
          <w:b/>
          <w:smallCaps/>
          <w:sz w:val="24"/>
          <w:szCs w:val="24"/>
          <w:lang w:val="es-MX"/>
        </w:rPr>
        <w:t xml:space="preserve">edidas </w:t>
      </w:r>
      <w:r w:rsidR="00F2260E" w:rsidRPr="009A6092">
        <w:rPr>
          <w:rFonts w:ascii="Times New Roman" w:hAnsi="Times New Roman" w:cs="Times New Roman"/>
          <w:b/>
          <w:smallCaps/>
          <w:sz w:val="24"/>
          <w:szCs w:val="24"/>
          <w:lang w:val="es-MX"/>
        </w:rPr>
        <w:t>a</w:t>
      </w:r>
      <w:r w:rsidRPr="009A6092">
        <w:rPr>
          <w:rFonts w:ascii="Times New Roman" w:hAnsi="Times New Roman" w:cs="Times New Roman"/>
          <w:b/>
          <w:smallCaps/>
          <w:sz w:val="24"/>
          <w:szCs w:val="24"/>
          <w:lang w:val="es-MX"/>
        </w:rPr>
        <w:t xml:space="preserve">cordadas para la </w:t>
      </w:r>
      <w:r w:rsidR="00F2260E" w:rsidRPr="009A6092">
        <w:rPr>
          <w:rFonts w:ascii="Times New Roman" w:hAnsi="Times New Roman" w:cs="Times New Roman"/>
          <w:b/>
          <w:smallCaps/>
          <w:sz w:val="24"/>
          <w:szCs w:val="24"/>
          <w:lang w:val="es-MX"/>
        </w:rPr>
        <w:t>t</w:t>
      </w:r>
      <w:r w:rsidRPr="009A6092">
        <w:rPr>
          <w:rFonts w:ascii="Times New Roman" w:hAnsi="Times New Roman" w:cs="Times New Roman"/>
          <w:b/>
          <w:smallCaps/>
          <w:sz w:val="24"/>
          <w:szCs w:val="24"/>
          <w:lang w:val="es-MX"/>
        </w:rPr>
        <w:t xml:space="preserve">ercera </w:t>
      </w:r>
      <w:r w:rsidR="00F2260E" w:rsidRPr="009A6092">
        <w:rPr>
          <w:rFonts w:ascii="Times New Roman" w:hAnsi="Times New Roman" w:cs="Times New Roman"/>
          <w:b/>
          <w:smallCaps/>
          <w:sz w:val="24"/>
          <w:szCs w:val="24"/>
          <w:lang w:val="es-MX"/>
        </w:rPr>
        <w:t>o</w:t>
      </w:r>
      <w:r w:rsidRPr="009A6092">
        <w:rPr>
          <w:rFonts w:ascii="Times New Roman" w:hAnsi="Times New Roman" w:cs="Times New Roman"/>
          <w:b/>
          <w:smallCaps/>
          <w:sz w:val="24"/>
          <w:szCs w:val="24"/>
          <w:lang w:val="es-MX"/>
        </w:rPr>
        <w:t>peraci</w:t>
      </w:r>
      <w:r w:rsidRPr="009A6092">
        <w:rPr>
          <w:rFonts w:ascii="Times New Roman" w:hAnsi="Times New Roman" w:cs="Times New Roman" w:hint="eastAsia"/>
          <w:b/>
          <w:smallCaps/>
          <w:sz w:val="24"/>
          <w:szCs w:val="24"/>
          <w:lang w:val="es-MX"/>
        </w:rPr>
        <w:t>ó</w:t>
      </w:r>
      <w:r w:rsidRPr="009A6092">
        <w:rPr>
          <w:rFonts w:ascii="Times New Roman" w:hAnsi="Times New Roman" w:cs="Times New Roman"/>
          <w:b/>
          <w:smallCaps/>
          <w:sz w:val="24"/>
          <w:szCs w:val="24"/>
          <w:lang w:val="es-MX"/>
        </w:rPr>
        <w:t>n</w:t>
      </w:r>
    </w:p>
    <w:tbl>
      <w:tblPr>
        <w:tblStyle w:val="TableGrid"/>
        <w:tblW w:w="13190" w:type="dxa"/>
        <w:tblLayout w:type="fixed"/>
        <w:tblLook w:val="04A0" w:firstRow="1" w:lastRow="0" w:firstColumn="1" w:lastColumn="0" w:noHBand="0" w:noVBand="1"/>
      </w:tblPr>
      <w:tblGrid>
        <w:gridCol w:w="3064"/>
        <w:gridCol w:w="2922"/>
        <w:gridCol w:w="3687"/>
        <w:gridCol w:w="3517"/>
      </w:tblGrid>
      <w:tr w:rsidR="00B32DE0" w:rsidRPr="002A5882" w14:paraId="32A62627" w14:textId="77777777" w:rsidTr="004A12C5">
        <w:trPr>
          <w:trHeight w:val="359"/>
          <w:tblHeader/>
        </w:trPr>
        <w:tc>
          <w:tcPr>
            <w:tcW w:w="3064" w:type="dxa"/>
            <w:shd w:val="clear" w:color="auto" w:fill="DBE5F1" w:themeFill="accent1" w:themeFillTint="33"/>
            <w:vAlign w:val="center"/>
          </w:tcPr>
          <w:p w14:paraId="63B886C3" w14:textId="77777777" w:rsidR="00B32DE0" w:rsidRPr="002A5882" w:rsidRDefault="00B32DE0" w:rsidP="00F2260E">
            <w:pPr>
              <w:spacing w:after="200" w:line="276" w:lineRule="auto"/>
              <w:jc w:val="center"/>
              <w:rPr>
                <w:rFonts w:ascii="Times New Roman" w:hAnsi="Times New Roman" w:cs="Times New Roman"/>
                <w:b/>
                <w:sz w:val="20"/>
                <w:szCs w:val="20"/>
                <w:lang w:val="es-MX"/>
              </w:rPr>
            </w:pPr>
            <w:r w:rsidRPr="002A5882">
              <w:rPr>
                <w:rFonts w:ascii="Times New Roman" w:hAnsi="Times New Roman" w:cs="Times New Roman"/>
                <w:b/>
                <w:sz w:val="20"/>
                <w:szCs w:val="20"/>
                <w:lang w:val="es-MX"/>
              </w:rPr>
              <w:t>Componente y Objetivo</w:t>
            </w:r>
          </w:p>
        </w:tc>
        <w:tc>
          <w:tcPr>
            <w:tcW w:w="2922" w:type="dxa"/>
            <w:shd w:val="clear" w:color="auto" w:fill="DBE5F1" w:themeFill="accent1" w:themeFillTint="33"/>
            <w:vAlign w:val="center"/>
          </w:tcPr>
          <w:p w14:paraId="3916D50F" w14:textId="77777777" w:rsidR="00B32DE0" w:rsidRPr="002A5882" w:rsidRDefault="00B32DE0" w:rsidP="00486C0D">
            <w:pPr>
              <w:spacing w:after="200"/>
              <w:jc w:val="center"/>
              <w:rPr>
                <w:rFonts w:ascii="Times New Roman" w:hAnsi="Times New Roman" w:cs="Times New Roman"/>
                <w:b/>
                <w:sz w:val="20"/>
                <w:szCs w:val="20"/>
                <w:lang w:val="es-MX"/>
              </w:rPr>
            </w:pPr>
            <w:r w:rsidRPr="002A5882">
              <w:rPr>
                <w:rFonts w:ascii="Times New Roman" w:hAnsi="Times New Roman" w:cs="Times New Roman"/>
                <w:b/>
                <w:sz w:val="20"/>
                <w:szCs w:val="20"/>
                <w:lang w:val="es-MX"/>
              </w:rPr>
              <w:t xml:space="preserve">Medidas </w:t>
            </w:r>
            <w:r w:rsidR="00AF08F6" w:rsidRPr="002A5882">
              <w:rPr>
                <w:rFonts w:ascii="Times New Roman" w:hAnsi="Times New Roman" w:cs="Times New Roman"/>
                <w:b/>
                <w:sz w:val="20"/>
                <w:szCs w:val="20"/>
                <w:lang w:val="es-MX"/>
              </w:rPr>
              <w:t>pre</w:t>
            </w:r>
            <w:r w:rsidR="003613D8">
              <w:rPr>
                <w:rFonts w:ascii="Times New Roman" w:hAnsi="Times New Roman" w:cs="Times New Roman"/>
                <w:b/>
                <w:sz w:val="20"/>
                <w:szCs w:val="20"/>
                <w:lang w:val="es-MX"/>
              </w:rPr>
              <w:t>-</w:t>
            </w:r>
            <w:r w:rsidR="00AF08F6" w:rsidRPr="002A5882">
              <w:rPr>
                <w:rFonts w:ascii="Times New Roman" w:hAnsi="Times New Roman" w:cs="Times New Roman"/>
                <w:b/>
                <w:sz w:val="20"/>
                <w:szCs w:val="20"/>
                <w:lang w:val="es-MX"/>
              </w:rPr>
              <w:t>ide</w:t>
            </w:r>
            <w:r w:rsidR="00486C0D" w:rsidRPr="002A5882">
              <w:rPr>
                <w:rFonts w:ascii="Times New Roman" w:hAnsi="Times New Roman" w:cs="Times New Roman"/>
                <w:b/>
                <w:sz w:val="20"/>
                <w:szCs w:val="20"/>
                <w:lang w:val="es-MX"/>
              </w:rPr>
              <w:t xml:space="preserve">ntificadas para la </w:t>
            </w:r>
            <w:r w:rsidRPr="002A5882">
              <w:rPr>
                <w:rFonts w:ascii="Times New Roman" w:hAnsi="Times New Roman" w:cs="Times New Roman"/>
                <w:b/>
                <w:sz w:val="20"/>
                <w:szCs w:val="20"/>
                <w:lang w:val="es-MX"/>
              </w:rPr>
              <w:t>tercera operación</w:t>
            </w:r>
          </w:p>
        </w:tc>
        <w:tc>
          <w:tcPr>
            <w:tcW w:w="3687" w:type="dxa"/>
            <w:shd w:val="clear" w:color="auto" w:fill="DBE5F1" w:themeFill="accent1" w:themeFillTint="33"/>
            <w:vAlign w:val="center"/>
          </w:tcPr>
          <w:p w14:paraId="3BF881B5" w14:textId="77777777" w:rsidR="00B32DE0" w:rsidRPr="009F7E83" w:rsidRDefault="00B32DE0" w:rsidP="00F2260E">
            <w:pPr>
              <w:spacing w:after="200"/>
              <w:jc w:val="center"/>
              <w:rPr>
                <w:rFonts w:ascii="Times New Roman" w:hAnsi="Times New Roman" w:cs="Times New Roman"/>
                <w:b/>
                <w:sz w:val="20"/>
                <w:szCs w:val="20"/>
                <w:lang w:val="es-MX"/>
              </w:rPr>
            </w:pPr>
            <w:r w:rsidRPr="004A12C5">
              <w:rPr>
                <w:rFonts w:ascii="Times New Roman" w:hAnsi="Times New Roman" w:cs="Times New Roman"/>
                <w:b/>
                <w:sz w:val="20"/>
                <w:szCs w:val="20"/>
                <w:lang w:val="es-MX"/>
              </w:rPr>
              <w:t>Medidas Acordadas (Tercera Operación)</w:t>
            </w:r>
          </w:p>
        </w:tc>
        <w:tc>
          <w:tcPr>
            <w:tcW w:w="3517" w:type="dxa"/>
            <w:shd w:val="clear" w:color="auto" w:fill="DBE5F1" w:themeFill="accent1" w:themeFillTint="33"/>
            <w:vAlign w:val="center"/>
          </w:tcPr>
          <w:p w14:paraId="4794CDC0" w14:textId="77777777" w:rsidR="00B32DE0" w:rsidRPr="002A5882" w:rsidRDefault="00B32DE0" w:rsidP="00F2260E">
            <w:pPr>
              <w:spacing w:after="200" w:line="276" w:lineRule="auto"/>
              <w:jc w:val="center"/>
              <w:rPr>
                <w:rFonts w:ascii="Times New Roman" w:hAnsi="Times New Roman" w:cs="Times New Roman"/>
                <w:b/>
                <w:sz w:val="20"/>
                <w:szCs w:val="20"/>
                <w:lang w:val="es-MX"/>
              </w:rPr>
            </w:pPr>
            <w:r w:rsidRPr="002A5882">
              <w:rPr>
                <w:rFonts w:ascii="Times New Roman" w:hAnsi="Times New Roman" w:cs="Times New Roman"/>
                <w:b/>
                <w:sz w:val="20"/>
                <w:szCs w:val="20"/>
                <w:lang w:val="es-MX"/>
              </w:rPr>
              <w:t>Comentarios</w:t>
            </w:r>
          </w:p>
        </w:tc>
      </w:tr>
      <w:tr w:rsidR="00B32DE0" w:rsidRPr="002A5882" w14:paraId="7921CABB" w14:textId="77777777" w:rsidTr="004A12C5">
        <w:tc>
          <w:tcPr>
            <w:tcW w:w="3064" w:type="dxa"/>
          </w:tcPr>
          <w:p w14:paraId="2B12731F" w14:textId="77777777" w:rsidR="00B32DE0" w:rsidRPr="002A5882" w:rsidRDefault="00B32DE0" w:rsidP="00DC62A9">
            <w:pPr>
              <w:pStyle w:val="ListParagraph"/>
              <w:spacing w:after="200" w:line="276" w:lineRule="auto"/>
              <w:ind w:left="0"/>
              <w:jc w:val="both"/>
              <w:rPr>
                <w:rFonts w:ascii="Times New Roman" w:hAnsi="Times New Roman" w:cs="Times New Roman"/>
                <w:sz w:val="20"/>
                <w:szCs w:val="20"/>
                <w:lang w:val="es-BO"/>
              </w:rPr>
            </w:pPr>
            <w:r w:rsidRPr="002A5882">
              <w:rPr>
                <w:rFonts w:ascii="Times New Roman" w:hAnsi="Times New Roman" w:cs="Times New Roman"/>
                <w:b/>
                <w:color w:val="000000" w:themeColor="text1"/>
                <w:sz w:val="20"/>
                <w:szCs w:val="20"/>
                <w:lang w:val="es-BO"/>
              </w:rPr>
              <w:t>Componente 1. Estabilidad macroeconómica</w:t>
            </w:r>
            <w:r w:rsidRPr="002A5882">
              <w:rPr>
                <w:rFonts w:ascii="Times New Roman" w:hAnsi="Times New Roman" w:cs="Times New Roman"/>
                <w:sz w:val="20"/>
                <w:szCs w:val="20"/>
                <w:lang w:val="es-MX"/>
              </w:rPr>
              <w:t>:</w:t>
            </w:r>
            <w:r w:rsidR="00DC62A9" w:rsidRPr="002A5882">
              <w:rPr>
                <w:rFonts w:ascii="Times New Roman" w:hAnsi="Times New Roman" w:cs="Times New Roman"/>
                <w:sz w:val="20"/>
                <w:szCs w:val="20"/>
                <w:lang w:val="es-MX"/>
              </w:rPr>
              <w:t xml:space="preserve"> </w:t>
            </w:r>
            <w:r w:rsidRPr="002A5882">
              <w:rPr>
                <w:rFonts w:ascii="Times New Roman" w:hAnsi="Times New Roman" w:cs="Times New Roman"/>
                <w:color w:val="000000" w:themeColor="text1"/>
                <w:sz w:val="20"/>
                <w:szCs w:val="20"/>
                <w:lang w:val="es-BO"/>
              </w:rPr>
              <w:t>Estabilidad macroeconómica y equilibrio fiscal sostenible.</w:t>
            </w:r>
          </w:p>
        </w:tc>
        <w:tc>
          <w:tcPr>
            <w:tcW w:w="2922" w:type="dxa"/>
          </w:tcPr>
          <w:p w14:paraId="7DD734A4" w14:textId="77777777" w:rsidR="00B32DE0" w:rsidRPr="009F7E83" w:rsidRDefault="00B32DE0" w:rsidP="00DC62A9">
            <w:pPr>
              <w:spacing w:after="200" w:line="276" w:lineRule="auto"/>
              <w:jc w:val="both"/>
              <w:rPr>
                <w:rFonts w:ascii="Times New Roman" w:hAnsi="Times New Roman" w:cs="Times New Roman"/>
                <w:sz w:val="20"/>
                <w:szCs w:val="20"/>
                <w:lang w:val="es-BO"/>
              </w:rPr>
            </w:pPr>
            <w:r w:rsidRPr="002A5882">
              <w:rPr>
                <w:rFonts w:ascii="Times New Roman" w:hAnsi="Times New Roman" w:cs="Times New Roman"/>
                <w:sz w:val="20"/>
                <w:szCs w:val="20"/>
                <w:lang w:val="es-MX"/>
              </w:rPr>
              <w:t xml:space="preserve">(1.1) </w:t>
            </w:r>
            <w:r w:rsidRPr="002A5882">
              <w:rPr>
                <w:rFonts w:ascii="Times New Roman" w:hAnsi="Times New Roman" w:cs="Times New Roman"/>
                <w:sz w:val="20"/>
                <w:szCs w:val="20"/>
                <w:lang w:val="es-BO"/>
              </w:rPr>
              <w:t xml:space="preserve">Mantenimiento de un marco de políticas apropiado y </w:t>
            </w:r>
            <w:r w:rsidRPr="004A12C5">
              <w:rPr>
                <w:rFonts w:ascii="Times New Roman" w:hAnsi="Times New Roman" w:cs="Times New Roman"/>
                <w:sz w:val="20"/>
                <w:szCs w:val="20"/>
                <w:lang w:val="es-BO"/>
              </w:rPr>
              <w:t>consistente con los objetivos del Programa.</w:t>
            </w:r>
          </w:p>
        </w:tc>
        <w:tc>
          <w:tcPr>
            <w:tcW w:w="3687" w:type="dxa"/>
          </w:tcPr>
          <w:p w14:paraId="440B6340" w14:textId="77777777" w:rsidR="00B32DE0" w:rsidRPr="002A5882" w:rsidRDefault="00B32DE0" w:rsidP="00DC62A9">
            <w:pPr>
              <w:spacing w:after="200" w:line="276" w:lineRule="auto"/>
              <w:jc w:val="both"/>
              <w:rPr>
                <w:rFonts w:ascii="Times New Roman" w:hAnsi="Times New Roman" w:cs="Times New Roman"/>
                <w:sz w:val="20"/>
                <w:szCs w:val="20"/>
                <w:lang w:val="es-BO"/>
              </w:rPr>
            </w:pPr>
            <w:r w:rsidRPr="002A5882">
              <w:rPr>
                <w:rFonts w:ascii="Times New Roman" w:hAnsi="Times New Roman" w:cs="Times New Roman"/>
                <w:sz w:val="20"/>
                <w:szCs w:val="20"/>
                <w:lang w:val="es-MX"/>
              </w:rPr>
              <w:t xml:space="preserve">(1.1) </w:t>
            </w:r>
            <w:r w:rsidRPr="002A5882">
              <w:rPr>
                <w:rFonts w:ascii="Times New Roman" w:hAnsi="Times New Roman" w:cs="Times New Roman"/>
                <w:color w:val="000000" w:themeColor="text1"/>
                <w:sz w:val="20"/>
                <w:szCs w:val="20"/>
                <w:lang w:val="es-BO"/>
              </w:rPr>
              <w:t>Mantenimiento de un marco de políticas apropiado y consistente con los objetivos del Programa.</w:t>
            </w:r>
          </w:p>
        </w:tc>
        <w:tc>
          <w:tcPr>
            <w:tcW w:w="3517" w:type="dxa"/>
          </w:tcPr>
          <w:p w14:paraId="03EB68D8" w14:textId="77777777" w:rsidR="00B32DE0" w:rsidRPr="002A5882" w:rsidRDefault="00B32DE0" w:rsidP="008F1AE9">
            <w:pPr>
              <w:pStyle w:val="Paragraph"/>
              <w:numPr>
                <w:ilvl w:val="0"/>
                <w:numId w:val="0"/>
              </w:numPr>
              <w:spacing w:before="20" w:after="20"/>
              <w:rPr>
                <w:sz w:val="20"/>
              </w:rPr>
            </w:pPr>
            <w:r w:rsidRPr="002A5882">
              <w:rPr>
                <w:sz w:val="20"/>
                <w:lang w:val="es-MX"/>
              </w:rPr>
              <w:t>Sin cambio</w:t>
            </w:r>
            <w:r w:rsidR="00F2260E" w:rsidRPr="002A5882">
              <w:rPr>
                <w:sz w:val="20"/>
                <w:lang w:val="es-MX"/>
              </w:rPr>
              <w:t>s</w:t>
            </w:r>
            <w:r w:rsidRPr="002A5882">
              <w:rPr>
                <w:sz w:val="20"/>
                <w:lang w:val="es-MX"/>
              </w:rPr>
              <w:t>.</w:t>
            </w:r>
            <w:r w:rsidR="00DC62A9" w:rsidRPr="002A5882">
              <w:rPr>
                <w:sz w:val="20"/>
                <w:lang w:val="es-MX"/>
              </w:rPr>
              <w:t xml:space="preserve"> </w:t>
            </w:r>
          </w:p>
        </w:tc>
      </w:tr>
      <w:tr w:rsidR="00B32DE0" w:rsidRPr="00FA57D2" w14:paraId="1557DD13" w14:textId="77777777" w:rsidTr="004A12C5">
        <w:tc>
          <w:tcPr>
            <w:tcW w:w="3064" w:type="dxa"/>
            <w:vMerge w:val="restart"/>
          </w:tcPr>
          <w:p w14:paraId="206B64D7" w14:textId="77777777" w:rsidR="00B32DE0" w:rsidRPr="004A12C5" w:rsidRDefault="00B32DE0" w:rsidP="00DC62A9">
            <w:pPr>
              <w:spacing w:after="200" w:line="276" w:lineRule="auto"/>
              <w:jc w:val="both"/>
              <w:rPr>
                <w:rFonts w:ascii="Times New Roman" w:hAnsi="Times New Roman" w:cs="Times New Roman"/>
                <w:sz w:val="20"/>
                <w:szCs w:val="20"/>
                <w:lang w:val="es-MX"/>
              </w:rPr>
            </w:pPr>
            <w:r w:rsidRPr="002A5882">
              <w:rPr>
                <w:rFonts w:ascii="Times New Roman" w:hAnsi="Times New Roman" w:cs="Times New Roman"/>
                <w:b/>
                <w:color w:val="000000" w:themeColor="text1"/>
                <w:sz w:val="20"/>
                <w:szCs w:val="20"/>
                <w:lang w:val="es-BO"/>
              </w:rPr>
              <w:t>Componente 2. Integralidad y calidad del proceso presupuestario</w:t>
            </w:r>
            <w:r w:rsidRPr="002A5882">
              <w:rPr>
                <w:rFonts w:ascii="Times New Roman" w:hAnsi="Times New Roman" w:cs="Times New Roman"/>
                <w:sz w:val="20"/>
                <w:szCs w:val="20"/>
                <w:lang w:val="es-MX"/>
              </w:rPr>
              <w:t xml:space="preserve">: </w:t>
            </w:r>
            <w:r w:rsidRPr="002A5882">
              <w:rPr>
                <w:rFonts w:ascii="Times New Roman" w:hAnsi="Times New Roman" w:cs="Times New Roman"/>
                <w:color w:val="000000" w:themeColor="text1"/>
                <w:sz w:val="20"/>
                <w:szCs w:val="20"/>
                <w:lang w:val="es-BO"/>
              </w:rPr>
              <w:t>Lograr una mayor integración y complementariedad entre las normas y etapas del ciclo presupuestario y fortalecer mecanismos que promuevan un mejor desempeño.</w:t>
            </w:r>
          </w:p>
        </w:tc>
        <w:tc>
          <w:tcPr>
            <w:tcW w:w="2922" w:type="dxa"/>
          </w:tcPr>
          <w:p w14:paraId="53085E27" w14:textId="77777777" w:rsidR="00B32DE0" w:rsidRPr="002A5882" w:rsidRDefault="00B32DE0" w:rsidP="00DC62A9">
            <w:pPr>
              <w:spacing w:after="200" w:line="276" w:lineRule="auto"/>
              <w:jc w:val="both"/>
              <w:rPr>
                <w:rFonts w:ascii="Times New Roman" w:hAnsi="Times New Roman" w:cs="Times New Roman"/>
                <w:sz w:val="20"/>
                <w:szCs w:val="20"/>
                <w:lang w:val="es-BO"/>
              </w:rPr>
            </w:pPr>
            <w:r w:rsidRPr="009F7E83">
              <w:rPr>
                <w:rFonts w:ascii="Times New Roman" w:hAnsi="Times New Roman" w:cs="Times New Roman"/>
                <w:sz w:val="20"/>
                <w:szCs w:val="20"/>
                <w:lang w:val="es-MX"/>
              </w:rPr>
              <w:t xml:space="preserve">(2.1) </w:t>
            </w:r>
            <w:r w:rsidRPr="002A5882">
              <w:rPr>
                <w:rFonts w:ascii="Times New Roman" w:hAnsi="Times New Roman" w:cs="Times New Roman"/>
                <w:sz w:val="20"/>
                <w:szCs w:val="20"/>
                <w:lang w:val="es-BO"/>
              </w:rPr>
              <w:t>Aprobación del Reglamento de la Ley Marco de Presupuesto, que enfatizará la integración de las etapas del ciclo presupuestario y la calidad del gasto, acorde con la nueva CPE.</w:t>
            </w:r>
          </w:p>
        </w:tc>
        <w:tc>
          <w:tcPr>
            <w:tcW w:w="3687" w:type="dxa"/>
          </w:tcPr>
          <w:p w14:paraId="0310D40A" w14:textId="77777777" w:rsidR="00B32DE0" w:rsidRPr="002A5882" w:rsidRDefault="00B32DE0" w:rsidP="00DC62A9">
            <w:pPr>
              <w:pStyle w:val="Paragraph"/>
              <w:numPr>
                <w:ilvl w:val="0"/>
                <w:numId w:val="0"/>
              </w:numPr>
              <w:spacing w:before="20" w:after="20"/>
              <w:rPr>
                <w:color w:val="000000" w:themeColor="text1"/>
                <w:sz w:val="20"/>
              </w:rPr>
            </w:pPr>
            <w:r w:rsidRPr="002A5882">
              <w:rPr>
                <w:sz w:val="20"/>
                <w:lang w:val="es-MX"/>
              </w:rPr>
              <w:t xml:space="preserve">(2.1) </w:t>
            </w:r>
            <w:r w:rsidRPr="002A5882">
              <w:rPr>
                <w:color w:val="000000" w:themeColor="text1"/>
                <w:sz w:val="20"/>
              </w:rPr>
              <w:t xml:space="preserve">Formulación del presupuesto plurianual en 10 </w:t>
            </w:r>
            <w:r w:rsidR="002A5882">
              <w:rPr>
                <w:color w:val="000000" w:themeColor="text1"/>
                <w:sz w:val="20"/>
              </w:rPr>
              <w:t>e</w:t>
            </w:r>
            <w:r w:rsidRPr="002A5882">
              <w:rPr>
                <w:color w:val="000000" w:themeColor="text1"/>
                <w:sz w:val="20"/>
              </w:rPr>
              <w:t xml:space="preserve">mpresas </w:t>
            </w:r>
            <w:r w:rsidR="002A5882">
              <w:rPr>
                <w:color w:val="000000" w:themeColor="text1"/>
                <w:sz w:val="20"/>
              </w:rPr>
              <w:t>p</w:t>
            </w:r>
            <w:r w:rsidRPr="002A5882">
              <w:rPr>
                <w:color w:val="000000" w:themeColor="text1"/>
                <w:sz w:val="20"/>
              </w:rPr>
              <w:t xml:space="preserve">úblicas </w:t>
            </w:r>
            <w:r w:rsidR="002A5882">
              <w:rPr>
                <w:color w:val="000000" w:themeColor="text1"/>
                <w:sz w:val="20"/>
              </w:rPr>
              <w:t>n</w:t>
            </w:r>
            <w:r w:rsidRPr="002A5882">
              <w:rPr>
                <w:color w:val="000000" w:themeColor="text1"/>
                <w:sz w:val="20"/>
              </w:rPr>
              <w:t>acionales que comprenden, al menos, el 60% del presupuesto de la Administración Central.</w:t>
            </w:r>
          </w:p>
          <w:p w14:paraId="37A33D41" w14:textId="77777777" w:rsidR="00B32DE0" w:rsidRPr="004A12C5" w:rsidRDefault="00B32DE0" w:rsidP="00DC62A9">
            <w:pPr>
              <w:pStyle w:val="Paragraph"/>
              <w:numPr>
                <w:ilvl w:val="0"/>
                <w:numId w:val="0"/>
              </w:numPr>
              <w:spacing w:before="20" w:after="20"/>
              <w:rPr>
                <w:color w:val="000000" w:themeColor="text1"/>
                <w:sz w:val="20"/>
              </w:rPr>
            </w:pPr>
          </w:p>
          <w:p w14:paraId="0C71B43F" w14:textId="77777777" w:rsidR="00B32DE0" w:rsidRPr="004A12C5" w:rsidRDefault="00B32DE0" w:rsidP="00DC62A9">
            <w:pPr>
              <w:pStyle w:val="Paragraph"/>
              <w:numPr>
                <w:ilvl w:val="0"/>
                <w:numId w:val="0"/>
              </w:numPr>
              <w:spacing w:before="20" w:after="20"/>
              <w:rPr>
                <w:color w:val="000000" w:themeColor="text1"/>
                <w:sz w:val="20"/>
              </w:rPr>
            </w:pPr>
            <w:r w:rsidRPr="009F7E83">
              <w:rPr>
                <w:color w:val="000000" w:themeColor="text1"/>
                <w:sz w:val="20"/>
              </w:rPr>
              <w:t>(2.2) Formulación del presupuesto plurianua</w:t>
            </w:r>
            <w:r w:rsidRPr="002A5882">
              <w:rPr>
                <w:color w:val="000000" w:themeColor="text1"/>
                <w:sz w:val="20"/>
              </w:rPr>
              <w:t>l en</w:t>
            </w:r>
            <w:r w:rsidR="00E47B80">
              <w:rPr>
                <w:color w:val="000000" w:themeColor="text1"/>
                <w:sz w:val="20"/>
              </w:rPr>
              <w:t xml:space="preserve"> </w:t>
            </w:r>
            <w:r w:rsidRPr="009F7E83">
              <w:rPr>
                <w:color w:val="000000" w:themeColor="text1"/>
                <w:sz w:val="20"/>
              </w:rPr>
              <w:t>al menos</w:t>
            </w:r>
            <w:r w:rsidR="002A5882">
              <w:rPr>
                <w:color w:val="000000" w:themeColor="text1"/>
                <w:sz w:val="20"/>
              </w:rPr>
              <w:t>,</w:t>
            </w:r>
            <w:r w:rsidRPr="002A5882">
              <w:rPr>
                <w:color w:val="000000" w:themeColor="text1"/>
                <w:sz w:val="20"/>
              </w:rPr>
              <w:t xml:space="preserve"> 5entidades públicas</w:t>
            </w:r>
            <w:r w:rsidR="002A5882">
              <w:rPr>
                <w:color w:val="000000" w:themeColor="text1"/>
                <w:sz w:val="20"/>
              </w:rPr>
              <w:t xml:space="preserve"> </w:t>
            </w:r>
            <w:r w:rsidRPr="002A5882">
              <w:rPr>
                <w:color w:val="000000" w:themeColor="text1"/>
                <w:sz w:val="20"/>
              </w:rPr>
              <w:t>del Gobierno Central, cuyo presupuesto conjunto sea equivalente, al menos, al 5% del Presupuesto de la Administración Central.</w:t>
            </w:r>
          </w:p>
          <w:p w14:paraId="011C7FE6" w14:textId="77777777" w:rsidR="00B32DE0" w:rsidRPr="009F7E83" w:rsidRDefault="00B32DE0" w:rsidP="00DC62A9">
            <w:pPr>
              <w:pStyle w:val="Paragraph"/>
              <w:numPr>
                <w:ilvl w:val="0"/>
                <w:numId w:val="0"/>
              </w:numPr>
              <w:spacing w:before="20" w:after="20"/>
              <w:rPr>
                <w:color w:val="000000" w:themeColor="text1"/>
                <w:sz w:val="20"/>
              </w:rPr>
            </w:pPr>
          </w:p>
          <w:p w14:paraId="3D635812" w14:textId="77777777" w:rsidR="00B32DE0" w:rsidRPr="002A5882" w:rsidRDefault="00B32DE0" w:rsidP="00DC62A9">
            <w:pPr>
              <w:pStyle w:val="Paragraph"/>
              <w:numPr>
                <w:ilvl w:val="0"/>
                <w:numId w:val="0"/>
              </w:numPr>
              <w:spacing w:before="20" w:after="20"/>
              <w:rPr>
                <w:color w:val="000000" w:themeColor="text1"/>
                <w:sz w:val="20"/>
              </w:rPr>
            </w:pPr>
            <w:r w:rsidRPr="002A5882">
              <w:rPr>
                <w:color w:val="000000" w:themeColor="text1"/>
                <w:sz w:val="20"/>
              </w:rPr>
              <w:t xml:space="preserve">(2.3) Elaboración y distribución a las entidades del sector público del Manual de Modificaciones y Compendio de Normas Presupuestarias. </w:t>
            </w:r>
          </w:p>
          <w:p w14:paraId="27368940" w14:textId="77777777" w:rsidR="00B32DE0" w:rsidRPr="002A5882" w:rsidRDefault="00B32DE0" w:rsidP="00DC62A9">
            <w:pPr>
              <w:pStyle w:val="Paragraph"/>
              <w:numPr>
                <w:ilvl w:val="0"/>
                <w:numId w:val="0"/>
              </w:numPr>
              <w:spacing w:before="20" w:after="20"/>
              <w:rPr>
                <w:color w:val="000000" w:themeColor="text1"/>
                <w:sz w:val="20"/>
              </w:rPr>
            </w:pPr>
          </w:p>
          <w:p w14:paraId="723C31F7" w14:textId="77777777" w:rsidR="00B32DE0" w:rsidRPr="002A5882" w:rsidRDefault="00B32DE0" w:rsidP="00DC62A9">
            <w:pPr>
              <w:pStyle w:val="Paragraph"/>
              <w:numPr>
                <w:ilvl w:val="0"/>
                <w:numId w:val="0"/>
              </w:numPr>
              <w:spacing w:before="20" w:after="20"/>
              <w:rPr>
                <w:color w:val="000000" w:themeColor="text1"/>
                <w:sz w:val="20"/>
              </w:rPr>
            </w:pPr>
          </w:p>
          <w:p w14:paraId="0A55C925" w14:textId="77777777" w:rsidR="00B32DE0" w:rsidRPr="002A5882" w:rsidRDefault="00B32DE0" w:rsidP="00DC62A9">
            <w:pPr>
              <w:spacing w:after="200" w:line="276" w:lineRule="auto"/>
              <w:jc w:val="both"/>
              <w:rPr>
                <w:rFonts w:ascii="Times New Roman" w:hAnsi="Times New Roman" w:cs="Times New Roman"/>
                <w:sz w:val="20"/>
                <w:szCs w:val="20"/>
                <w:lang w:val="es-BO"/>
              </w:rPr>
            </w:pPr>
          </w:p>
        </w:tc>
        <w:tc>
          <w:tcPr>
            <w:tcW w:w="3517" w:type="dxa"/>
          </w:tcPr>
          <w:p w14:paraId="18124006" w14:textId="77777777" w:rsidR="00B32DE0" w:rsidRPr="002A5882" w:rsidRDefault="00DC62A9" w:rsidP="00FE428A">
            <w:pPr>
              <w:spacing w:before="120" w:after="120" w:line="276" w:lineRule="auto"/>
              <w:jc w:val="both"/>
              <w:outlineLvl w:val="1"/>
              <w:rPr>
                <w:rFonts w:ascii="Times New Roman" w:eastAsia="Times New Roman" w:hAnsi="Times New Roman" w:cs="Times New Roman"/>
                <w:color w:val="000000" w:themeColor="text1"/>
                <w:sz w:val="20"/>
                <w:szCs w:val="20"/>
                <w:lang w:val="es-ES_tradnl"/>
              </w:rPr>
            </w:pPr>
            <w:r w:rsidRPr="002A5882">
              <w:rPr>
                <w:rFonts w:ascii="Times New Roman" w:eastAsia="Times New Roman" w:hAnsi="Times New Roman" w:cs="Times New Roman"/>
                <w:color w:val="000000" w:themeColor="text1"/>
                <w:sz w:val="20"/>
                <w:szCs w:val="20"/>
                <w:lang w:val="es-ES_tradnl"/>
              </w:rPr>
              <w:t>Se modificó la medida.</w:t>
            </w:r>
            <w:r w:rsidR="000C1814" w:rsidRPr="002A5882">
              <w:rPr>
                <w:rFonts w:ascii="Times New Roman" w:eastAsia="Times New Roman" w:hAnsi="Times New Roman" w:cs="Times New Roman"/>
                <w:color w:val="000000" w:themeColor="text1"/>
                <w:sz w:val="20"/>
                <w:szCs w:val="20"/>
                <w:lang w:val="es-ES_tradnl"/>
              </w:rPr>
              <w:t xml:space="preserve"> </w:t>
            </w:r>
            <w:r w:rsidR="00B32DE0" w:rsidRPr="002A5882">
              <w:rPr>
                <w:rFonts w:ascii="Times New Roman" w:eastAsia="Times New Roman" w:hAnsi="Times New Roman" w:cs="Times New Roman"/>
                <w:color w:val="000000" w:themeColor="text1"/>
                <w:sz w:val="20"/>
                <w:szCs w:val="20"/>
                <w:lang w:val="es-ES_tradnl"/>
              </w:rPr>
              <w:t>Inicialmente, se planteó la aprobación de una nueva Ley Marco de Presupuesto</w:t>
            </w:r>
            <w:r w:rsidR="003C4299" w:rsidRPr="002A5882">
              <w:rPr>
                <w:rFonts w:ascii="Times New Roman" w:eastAsia="Times New Roman" w:hAnsi="Times New Roman" w:cs="Times New Roman"/>
                <w:color w:val="000000" w:themeColor="text1"/>
                <w:sz w:val="20"/>
                <w:szCs w:val="20"/>
                <w:lang w:val="es-ES_tradnl"/>
              </w:rPr>
              <w:t xml:space="preserve"> </w:t>
            </w:r>
            <w:r w:rsidR="00527408" w:rsidRPr="002A5882">
              <w:rPr>
                <w:rFonts w:ascii="Times New Roman" w:eastAsia="Times New Roman" w:hAnsi="Times New Roman" w:cs="Times New Roman"/>
                <w:color w:val="000000" w:themeColor="text1"/>
                <w:sz w:val="20"/>
                <w:szCs w:val="20"/>
                <w:lang w:val="es-ES_tradnl"/>
              </w:rPr>
              <w:t xml:space="preserve">que rigiera el proceso presupuestario y </w:t>
            </w:r>
            <w:r w:rsidR="00FE428A" w:rsidRPr="002A5882">
              <w:rPr>
                <w:rFonts w:ascii="Times New Roman" w:eastAsia="Times New Roman" w:hAnsi="Times New Roman" w:cs="Times New Roman"/>
                <w:color w:val="000000" w:themeColor="text1"/>
                <w:sz w:val="20"/>
                <w:szCs w:val="20"/>
                <w:lang w:val="es-ES_tradnl"/>
              </w:rPr>
              <w:t>cont</w:t>
            </w:r>
            <w:r w:rsidR="00527408" w:rsidRPr="002A5882">
              <w:rPr>
                <w:rFonts w:ascii="Times New Roman" w:eastAsia="Times New Roman" w:hAnsi="Times New Roman" w:cs="Times New Roman"/>
                <w:color w:val="000000" w:themeColor="text1"/>
                <w:sz w:val="20"/>
                <w:szCs w:val="20"/>
                <w:lang w:val="es-ES_tradnl"/>
              </w:rPr>
              <w:t>r</w:t>
            </w:r>
            <w:r w:rsidR="00FE428A" w:rsidRPr="002A5882">
              <w:rPr>
                <w:rFonts w:ascii="Times New Roman" w:eastAsia="Times New Roman" w:hAnsi="Times New Roman" w:cs="Times New Roman"/>
                <w:color w:val="000000" w:themeColor="text1"/>
                <w:sz w:val="20"/>
                <w:szCs w:val="20"/>
                <w:lang w:val="es-ES_tradnl"/>
              </w:rPr>
              <w:t>ibuy</w:t>
            </w:r>
            <w:r w:rsidR="00527408" w:rsidRPr="002A5882">
              <w:rPr>
                <w:rFonts w:ascii="Times New Roman" w:eastAsia="Times New Roman" w:hAnsi="Times New Roman" w:cs="Times New Roman"/>
                <w:color w:val="000000" w:themeColor="text1"/>
                <w:sz w:val="20"/>
                <w:szCs w:val="20"/>
                <w:lang w:val="es-ES_tradnl"/>
              </w:rPr>
              <w:t>e</w:t>
            </w:r>
            <w:r w:rsidR="00FE428A" w:rsidRPr="002A5882">
              <w:rPr>
                <w:rFonts w:ascii="Times New Roman" w:eastAsia="Times New Roman" w:hAnsi="Times New Roman" w:cs="Times New Roman"/>
                <w:color w:val="000000" w:themeColor="text1"/>
                <w:sz w:val="20"/>
                <w:szCs w:val="20"/>
                <w:lang w:val="es-ES_tradnl"/>
              </w:rPr>
              <w:t>ra a resolv</w:t>
            </w:r>
            <w:r w:rsidR="00527408" w:rsidRPr="002A5882">
              <w:rPr>
                <w:rFonts w:ascii="Times New Roman" w:eastAsia="Times New Roman" w:hAnsi="Times New Roman" w:cs="Times New Roman"/>
                <w:color w:val="000000" w:themeColor="text1"/>
                <w:sz w:val="20"/>
                <w:szCs w:val="20"/>
                <w:lang w:val="es-ES_tradnl"/>
              </w:rPr>
              <w:t>er</w:t>
            </w:r>
            <w:r w:rsidR="00FE428A" w:rsidRPr="002A5882">
              <w:rPr>
                <w:rFonts w:ascii="Times New Roman" w:eastAsia="Times New Roman" w:hAnsi="Times New Roman" w:cs="Times New Roman"/>
                <w:color w:val="000000" w:themeColor="text1"/>
                <w:sz w:val="20"/>
                <w:szCs w:val="20"/>
                <w:lang w:val="es-ES_tradnl"/>
              </w:rPr>
              <w:t xml:space="preserve"> </w:t>
            </w:r>
            <w:r w:rsidR="003C4299" w:rsidRPr="002A5882">
              <w:rPr>
                <w:rFonts w:ascii="Times New Roman" w:eastAsia="Times New Roman" w:hAnsi="Times New Roman" w:cs="Times New Roman"/>
                <w:color w:val="000000" w:themeColor="text1"/>
                <w:sz w:val="20"/>
                <w:szCs w:val="20"/>
                <w:lang w:val="es-ES_tradnl"/>
              </w:rPr>
              <w:t xml:space="preserve">las debilidades identificadas en el proceso presupuestario </w:t>
            </w:r>
            <w:r w:rsidR="00A00C59" w:rsidRPr="002A5882">
              <w:rPr>
                <w:rFonts w:ascii="Times New Roman" w:eastAsia="Times New Roman" w:hAnsi="Times New Roman" w:cs="Times New Roman"/>
                <w:color w:val="000000" w:themeColor="text1"/>
                <w:sz w:val="20"/>
                <w:szCs w:val="20"/>
                <w:lang w:val="es-ES_tradnl"/>
              </w:rPr>
              <w:t>y en el marco jurídico</w:t>
            </w:r>
            <w:r w:rsidR="00FE428A" w:rsidRPr="002A5882">
              <w:rPr>
                <w:rFonts w:ascii="Times New Roman" w:eastAsia="Times New Roman" w:hAnsi="Times New Roman" w:cs="Times New Roman"/>
                <w:color w:val="000000" w:themeColor="text1"/>
                <w:sz w:val="20"/>
                <w:szCs w:val="20"/>
                <w:lang w:val="es-ES_tradnl"/>
              </w:rPr>
              <w:t xml:space="preserve"> y, a su vez, lo adecuara al nuevo ambiente institucional surgido de la CPE</w:t>
            </w:r>
            <w:r w:rsidR="00A00C59" w:rsidRPr="002A5882">
              <w:rPr>
                <w:rFonts w:ascii="Times New Roman" w:eastAsia="Times New Roman" w:hAnsi="Times New Roman" w:cs="Times New Roman"/>
                <w:color w:val="000000" w:themeColor="text1"/>
                <w:sz w:val="20"/>
                <w:szCs w:val="20"/>
                <w:lang w:val="es-ES_tradnl"/>
              </w:rPr>
              <w:t xml:space="preserve">. Sin embargo, </w:t>
            </w:r>
            <w:r w:rsidR="00527408" w:rsidRPr="002A5882">
              <w:rPr>
                <w:rFonts w:ascii="Times New Roman" w:eastAsia="Times New Roman" w:hAnsi="Times New Roman" w:cs="Times New Roman"/>
                <w:color w:val="000000" w:themeColor="text1"/>
                <w:sz w:val="20"/>
                <w:szCs w:val="20"/>
                <w:lang w:val="es-ES_tradnl"/>
              </w:rPr>
              <w:t xml:space="preserve">atento a dicho </w:t>
            </w:r>
            <w:r w:rsidR="00A00C59" w:rsidRPr="002A5882">
              <w:rPr>
                <w:rFonts w:ascii="Times New Roman" w:eastAsia="Times New Roman" w:hAnsi="Times New Roman" w:cs="Times New Roman"/>
                <w:color w:val="000000" w:themeColor="text1"/>
                <w:sz w:val="20"/>
                <w:szCs w:val="20"/>
                <w:lang w:val="es-ES_tradnl"/>
              </w:rPr>
              <w:t xml:space="preserve">nuevo ambiente institucional, el GBO considera que </w:t>
            </w:r>
            <w:r w:rsidR="001C77B7" w:rsidRPr="002A5882">
              <w:rPr>
                <w:rFonts w:ascii="Times New Roman" w:eastAsia="Times New Roman" w:hAnsi="Times New Roman" w:cs="Times New Roman"/>
                <w:color w:val="000000" w:themeColor="text1"/>
                <w:sz w:val="20"/>
                <w:szCs w:val="20"/>
                <w:lang w:val="es-ES_tradnl"/>
              </w:rPr>
              <w:t>la Administración</w:t>
            </w:r>
            <w:r w:rsidR="00A00C59" w:rsidRPr="002A5882">
              <w:rPr>
                <w:rFonts w:ascii="Times New Roman" w:eastAsia="Times New Roman" w:hAnsi="Times New Roman" w:cs="Times New Roman"/>
                <w:color w:val="000000" w:themeColor="text1"/>
                <w:sz w:val="20"/>
                <w:szCs w:val="20"/>
                <w:lang w:val="es-ES_tradnl"/>
              </w:rPr>
              <w:t xml:space="preserve"> Públic</w:t>
            </w:r>
            <w:r w:rsidR="001C77B7" w:rsidRPr="002A5882">
              <w:rPr>
                <w:rFonts w:ascii="Times New Roman" w:eastAsia="Times New Roman" w:hAnsi="Times New Roman" w:cs="Times New Roman"/>
                <w:color w:val="000000" w:themeColor="text1"/>
                <w:sz w:val="20"/>
                <w:szCs w:val="20"/>
                <w:lang w:val="es-ES_tradnl"/>
              </w:rPr>
              <w:t>a</w:t>
            </w:r>
            <w:r w:rsidR="00A00C59" w:rsidRPr="002A5882">
              <w:rPr>
                <w:rFonts w:ascii="Times New Roman" w:eastAsia="Times New Roman" w:hAnsi="Times New Roman" w:cs="Times New Roman"/>
                <w:color w:val="000000" w:themeColor="text1"/>
                <w:sz w:val="20"/>
                <w:szCs w:val="20"/>
                <w:lang w:val="es-ES_tradnl"/>
              </w:rPr>
              <w:t xml:space="preserve"> requiere un </w:t>
            </w:r>
            <w:r w:rsidR="001A7A8D" w:rsidRPr="002A5882">
              <w:rPr>
                <w:rFonts w:ascii="Times New Roman" w:eastAsia="Times New Roman" w:hAnsi="Times New Roman" w:cs="Times New Roman"/>
                <w:color w:val="000000" w:themeColor="text1"/>
                <w:sz w:val="20"/>
                <w:szCs w:val="20"/>
                <w:lang w:val="es-ES_tradnl"/>
              </w:rPr>
              <w:t xml:space="preserve">nuevo </w:t>
            </w:r>
            <w:r w:rsidR="00A00C59" w:rsidRPr="002A5882">
              <w:rPr>
                <w:rFonts w:ascii="Times New Roman" w:eastAsia="Times New Roman" w:hAnsi="Times New Roman" w:cs="Times New Roman"/>
                <w:color w:val="000000" w:themeColor="text1"/>
                <w:sz w:val="20"/>
                <w:szCs w:val="20"/>
                <w:lang w:val="es-ES_tradnl"/>
              </w:rPr>
              <w:t>marco legal</w:t>
            </w:r>
            <w:r w:rsidR="003C2D70" w:rsidRPr="002A5882">
              <w:rPr>
                <w:rFonts w:ascii="Times New Roman" w:eastAsia="Times New Roman" w:hAnsi="Times New Roman" w:cs="Times New Roman"/>
                <w:color w:val="000000" w:themeColor="text1"/>
                <w:sz w:val="20"/>
                <w:szCs w:val="20"/>
                <w:lang w:val="es-ES_tradnl"/>
              </w:rPr>
              <w:t xml:space="preserve"> para la gestión pública</w:t>
            </w:r>
            <w:r w:rsidR="00486C0D" w:rsidRPr="002A5882">
              <w:rPr>
                <w:rFonts w:ascii="Times New Roman" w:eastAsia="Times New Roman" w:hAnsi="Times New Roman" w:cs="Times New Roman"/>
                <w:color w:val="000000" w:themeColor="text1"/>
                <w:sz w:val="20"/>
                <w:szCs w:val="20"/>
                <w:lang w:val="es-ES_tradnl"/>
              </w:rPr>
              <w:t xml:space="preserve"> (Ley de Gestión Pública)</w:t>
            </w:r>
            <w:r w:rsidR="00A00C59" w:rsidRPr="002A5882">
              <w:rPr>
                <w:rFonts w:ascii="Times New Roman" w:eastAsia="Times New Roman" w:hAnsi="Times New Roman" w:cs="Times New Roman"/>
                <w:color w:val="000000" w:themeColor="text1"/>
                <w:sz w:val="20"/>
                <w:szCs w:val="20"/>
                <w:lang w:val="es-ES_tradnl"/>
              </w:rPr>
              <w:t>.</w:t>
            </w:r>
            <w:r w:rsidR="0028074D" w:rsidRPr="002A5882">
              <w:rPr>
                <w:rFonts w:ascii="Times New Roman" w:eastAsia="Times New Roman" w:hAnsi="Times New Roman" w:cs="Times New Roman"/>
                <w:color w:val="000000" w:themeColor="text1"/>
                <w:sz w:val="20"/>
                <w:szCs w:val="20"/>
                <w:lang w:val="es-ES_tradnl"/>
              </w:rPr>
              <w:t xml:space="preserve"> Entretanto, e</w:t>
            </w:r>
            <w:r w:rsidR="00A00C59" w:rsidRPr="002A5882">
              <w:rPr>
                <w:rFonts w:ascii="Times New Roman" w:eastAsia="Times New Roman" w:hAnsi="Times New Roman" w:cs="Times New Roman"/>
                <w:color w:val="000000" w:themeColor="text1"/>
                <w:sz w:val="20"/>
                <w:szCs w:val="20"/>
                <w:lang w:val="es-ES_tradnl"/>
              </w:rPr>
              <w:t>l MEFP avanzó con la adecuación normativa, principalmente, vía modificaciones introducidas en las Leyes Financiales</w:t>
            </w:r>
            <w:r w:rsidR="007C4C86" w:rsidRPr="002A5882">
              <w:rPr>
                <w:rFonts w:ascii="Times New Roman" w:eastAsia="Times New Roman" w:hAnsi="Times New Roman" w:cs="Times New Roman"/>
                <w:color w:val="000000" w:themeColor="text1"/>
                <w:sz w:val="20"/>
                <w:szCs w:val="20"/>
                <w:lang w:val="es-ES_tradnl"/>
              </w:rPr>
              <w:t xml:space="preserve"> (leyes anuales de presupuesto)</w:t>
            </w:r>
            <w:r w:rsidR="000C1814" w:rsidRPr="002A5882">
              <w:rPr>
                <w:rFonts w:ascii="Times New Roman" w:eastAsia="Times New Roman" w:hAnsi="Times New Roman" w:cs="Times New Roman"/>
                <w:color w:val="000000" w:themeColor="text1"/>
                <w:sz w:val="20"/>
                <w:szCs w:val="20"/>
                <w:lang w:val="es-ES_tradnl"/>
              </w:rPr>
              <w:t xml:space="preserve">. </w:t>
            </w:r>
            <w:r w:rsidR="00A00C59" w:rsidRPr="002A5882">
              <w:rPr>
                <w:rFonts w:ascii="Times New Roman" w:eastAsia="Times New Roman" w:hAnsi="Times New Roman" w:cs="Times New Roman"/>
                <w:color w:val="000000" w:themeColor="text1"/>
                <w:sz w:val="20"/>
                <w:szCs w:val="20"/>
                <w:lang w:val="es-ES_tradnl"/>
              </w:rPr>
              <w:t xml:space="preserve">Estos cambios sucesivos </w:t>
            </w:r>
            <w:r w:rsidR="00527408" w:rsidRPr="002A5882">
              <w:rPr>
                <w:rFonts w:ascii="Times New Roman" w:eastAsia="Times New Roman" w:hAnsi="Times New Roman" w:cs="Times New Roman"/>
                <w:color w:val="000000" w:themeColor="text1"/>
                <w:sz w:val="20"/>
                <w:szCs w:val="20"/>
                <w:lang w:val="es-ES_tradnl"/>
              </w:rPr>
              <w:t>contribuyeron a resolver los desajustes normativos identificados oportunamente, pero</w:t>
            </w:r>
            <w:r w:rsidR="00FE428A" w:rsidRPr="002A5882">
              <w:rPr>
                <w:rFonts w:ascii="Times New Roman" w:eastAsia="Times New Roman" w:hAnsi="Times New Roman" w:cs="Times New Roman"/>
                <w:color w:val="000000" w:themeColor="text1"/>
                <w:sz w:val="20"/>
                <w:szCs w:val="20"/>
                <w:lang w:val="es-ES_tradnl"/>
              </w:rPr>
              <w:t>,</w:t>
            </w:r>
            <w:r w:rsidR="00527408" w:rsidRPr="002A5882">
              <w:rPr>
                <w:rFonts w:ascii="Times New Roman" w:eastAsia="Times New Roman" w:hAnsi="Times New Roman" w:cs="Times New Roman"/>
                <w:color w:val="000000" w:themeColor="text1"/>
                <w:sz w:val="20"/>
                <w:szCs w:val="20"/>
                <w:lang w:val="es-ES_tradnl"/>
              </w:rPr>
              <w:t xml:space="preserve"> a su vez, </w:t>
            </w:r>
            <w:r w:rsidR="00A00C59" w:rsidRPr="002A5882">
              <w:rPr>
                <w:rFonts w:ascii="Times New Roman" w:eastAsia="Times New Roman" w:hAnsi="Times New Roman" w:cs="Times New Roman"/>
                <w:color w:val="000000" w:themeColor="text1"/>
                <w:sz w:val="20"/>
                <w:szCs w:val="20"/>
                <w:lang w:val="es-ES_tradnl"/>
              </w:rPr>
              <w:t>dieron lugar a una cierta fragmentación que dificulta</w:t>
            </w:r>
            <w:r w:rsidR="000C1814" w:rsidRPr="002A5882">
              <w:rPr>
                <w:rFonts w:ascii="Times New Roman" w:eastAsia="Times New Roman" w:hAnsi="Times New Roman" w:cs="Times New Roman"/>
                <w:color w:val="000000" w:themeColor="text1"/>
                <w:sz w:val="20"/>
                <w:szCs w:val="20"/>
                <w:lang w:val="es-ES_tradnl"/>
              </w:rPr>
              <w:t xml:space="preserve"> </w:t>
            </w:r>
            <w:r w:rsidR="00A00C59" w:rsidRPr="002A5882">
              <w:rPr>
                <w:rFonts w:ascii="Times New Roman" w:eastAsia="Times New Roman" w:hAnsi="Times New Roman" w:cs="Times New Roman"/>
                <w:color w:val="000000" w:themeColor="text1"/>
                <w:sz w:val="20"/>
                <w:szCs w:val="20"/>
                <w:lang w:val="es-ES_tradnl"/>
              </w:rPr>
              <w:t>la adecuada aplicación de la normativa</w:t>
            </w:r>
            <w:r w:rsidR="000C1814" w:rsidRPr="002A5882">
              <w:rPr>
                <w:rFonts w:ascii="Times New Roman" w:eastAsia="Times New Roman" w:hAnsi="Times New Roman" w:cs="Times New Roman"/>
                <w:color w:val="000000" w:themeColor="text1"/>
                <w:sz w:val="20"/>
                <w:szCs w:val="20"/>
                <w:lang w:val="es-ES_tradnl"/>
              </w:rPr>
              <w:t xml:space="preserve">, por lo cual </w:t>
            </w:r>
            <w:r w:rsidR="00A00C59" w:rsidRPr="002A5882">
              <w:rPr>
                <w:rFonts w:ascii="Times New Roman" w:eastAsia="Times New Roman" w:hAnsi="Times New Roman" w:cs="Times New Roman"/>
                <w:color w:val="000000" w:themeColor="text1"/>
                <w:sz w:val="20"/>
                <w:szCs w:val="20"/>
                <w:lang w:val="es-ES_tradnl"/>
              </w:rPr>
              <w:t xml:space="preserve">se </w:t>
            </w:r>
            <w:r w:rsidR="00A00C59" w:rsidRPr="002A5882">
              <w:rPr>
                <w:rFonts w:ascii="Times New Roman" w:eastAsia="Times New Roman" w:hAnsi="Times New Roman" w:cs="Times New Roman"/>
                <w:color w:val="000000" w:themeColor="text1"/>
                <w:sz w:val="20"/>
                <w:szCs w:val="20"/>
                <w:lang w:val="es-ES_tradnl"/>
              </w:rPr>
              <w:lastRenderedPageBreak/>
              <w:t>hace necesario concentrar en un solo texto-guía el marco jurídico que rige el proceso presupuestario</w:t>
            </w:r>
            <w:r w:rsidR="00FE428A" w:rsidRPr="002A5882">
              <w:rPr>
                <w:rFonts w:ascii="Times New Roman" w:eastAsia="Times New Roman" w:hAnsi="Times New Roman" w:cs="Times New Roman"/>
                <w:color w:val="000000" w:themeColor="text1"/>
                <w:sz w:val="20"/>
                <w:szCs w:val="20"/>
                <w:lang w:val="es-ES_tradnl"/>
              </w:rPr>
              <w:t>.</w:t>
            </w:r>
            <w:r w:rsidR="00A00C59" w:rsidRPr="002A5882">
              <w:rPr>
                <w:rFonts w:ascii="Times New Roman" w:eastAsia="Times New Roman" w:hAnsi="Times New Roman" w:cs="Times New Roman"/>
                <w:color w:val="000000" w:themeColor="text1"/>
                <w:sz w:val="20"/>
                <w:szCs w:val="20"/>
                <w:lang w:val="es-ES_tradnl"/>
              </w:rPr>
              <w:t xml:space="preserve"> </w:t>
            </w:r>
          </w:p>
          <w:p w14:paraId="0F2EE6C5" w14:textId="77777777" w:rsidR="00FE428A" w:rsidRPr="002A5882" w:rsidRDefault="00FE428A" w:rsidP="00FE428A">
            <w:pPr>
              <w:spacing w:before="120" w:after="120" w:line="276" w:lineRule="auto"/>
              <w:jc w:val="both"/>
              <w:outlineLvl w:val="1"/>
              <w:rPr>
                <w:rFonts w:ascii="Times New Roman" w:eastAsia="Times New Roman" w:hAnsi="Times New Roman" w:cs="Times New Roman"/>
                <w:color w:val="000000" w:themeColor="text1"/>
                <w:sz w:val="20"/>
                <w:szCs w:val="20"/>
                <w:lang w:val="es-ES_tradnl"/>
              </w:rPr>
            </w:pPr>
            <w:r w:rsidRPr="002A5882">
              <w:rPr>
                <w:rFonts w:ascii="Times New Roman" w:eastAsia="Times New Roman" w:hAnsi="Times New Roman" w:cs="Times New Roman"/>
                <w:color w:val="000000" w:themeColor="text1"/>
                <w:sz w:val="20"/>
                <w:szCs w:val="20"/>
                <w:lang w:val="es-ES_tradnl"/>
              </w:rPr>
              <w:t>Asimismo, el fortalecimiento del proceso presupuestario se profundiza con la introducción del presupuesto plurianual, como herramienta que, entre otras ventajas, contribuye a una mejor planificación en el mediano plazo, mejora la previsibilidad del gasto público, reduce la incertidumbre del sector privado respecto del comportamiento futuro del gasto público, facilita la canalización del ahorro a actividades prioritarias y mejora el seguimiento de proyectos y programas de maduración plurianual.</w:t>
            </w:r>
          </w:p>
        </w:tc>
      </w:tr>
      <w:tr w:rsidR="00B32DE0" w:rsidRPr="00FA57D2" w14:paraId="739BC2E7" w14:textId="77777777" w:rsidTr="004A12C5">
        <w:tc>
          <w:tcPr>
            <w:tcW w:w="3064" w:type="dxa"/>
            <w:vMerge/>
          </w:tcPr>
          <w:p w14:paraId="66C8DCA5" w14:textId="77777777" w:rsidR="00B32DE0" w:rsidRPr="002A5882" w:rsidRDefault="00B32DE0" w:rsidP="00DC62A9">
            <w:pPr>
              <w:spacing w:after="200" w:line="276" w:lineRule="auto"/>
              <w:jc w:val="both"/>
              <w:rPr>
                <w:rFonts w:ascii="Times New Roman" w:hAnsi="Times New Roman" w:cs="Times New Roman"/>
                <w:sz w:val="20"/>
                <w:szCs w:val="20"/>
                <w:lang w:val="es-MX"/>
              </w:rPr>
            </w:pPr>
          </w:p>
        </w:tc>
        <w:tc>
          <w:tcPr>
            <w:tcW w:w="2922" w:type="dxa"/>
          </w:tcPr>
          <w:p w14:paraId="42C58F5E" w14:textId="77777777" w:rsidR="00B32DE0" w:rsidRPr="002A5882" w:rsidRDefault="00B32DE0" w:rsidP="00DC62A9">
            <w:pPr>
              <w:spacing w:after="200" w:line="276" w:lineRule="auto"/>
              <w:jc w:val="both"/>
              <w:rPr>
                <w:rFonts w:ascii="Times New Roman" w:hAnsi="Times New Roman" w:cs="Times New Roman"/>
                <w:sz w:val="20"/>
                <w:szCs w:val="20"/>
                <w:lang w:val="es-BO"/>
              </w:rPr>
            </w:pPr>
            <w:r w:rsidRPr="002A5882">
              <w:rPr>
                <w:rFonts w:ascii="Times New Roman" w:hAnsi="Times New Roman" w:cs="Times New Roman"/>
                <w:sz w:val="20"/>
                <w:szCs w:val="20"/>
                <w:lang w:val="es-MX"/>
              </w:rPr>
              <w:t xml:space="preserve">(2.2) </w:t>
            </w:r>
            <w:r w:rsidRPr="002A5882">
              <w:rPr>
                <w:rFonts w:ascii="Times New Roman" w:hAnsi="Times New Roman" w:cs="Times New Roman"/>
                <w:color w:val="000000" w:themeColor="text1"/>
                <w:sz w:val="20"/>
                <w:szCs w:val="20"/>
                <w:lang w:val="es-BO"/>
              </w:rPr>
              <w:t>Las Directrices Presupuestarias emitidas para el año vigente incorporan los parámetros establecidos a partir del marco macro-fiscal.</w:t>
            </w:r>
          </w:p>
        </w:tc>
        <w:tc>
          <w:tcPr>
            <w:tcW w:w="3687" w:type="dxa"/>
          </w:tcPr>
          <w:p w14:paraId="3019D26E" w14:textId="77777777" w:rsidR="00B32DE0" w:rsidRPr="002A5882" w:rsidRDefault="00B32DE0" w:rsidP="00DC62A9">
            <w:pPr>
              <w:pStyle w:val="Paragraph"/>
              <w:numPr>
                <w:ilvl w:val="0"/>
                <w:numId w:val="0"/>
              </w:numPr>
              <w:spacing w:before="20" w:after="20"/>
              <w:rPr>
                <w:color w:val="000000" w:themeColor="text1"/>
                <w:sz w:val="20"/>
              </w:rPr>
            </w:pPr>
            <w:r w:rsidRPr="002A5882">
              <w:rPr>
                <w:sz w:val="20"/>
                <w:lang w:val="es-MX"/>
              </w:rPr>
              <w:t xml:space="preserve">(2.4) </w:t>
            </w:r>
            <w:r w:rsidRPr="002A5882">
              <w:rPr>
                <w:color w:val="000000" w:themeColor="text1"/>
                <w:sz w:val="20"/>
              </w:rPr>
              <w:t>La formulación presupuestaria para la gestión 2014 incorpora l</w:t>
            </w:r>
            <w:r w:rsidR="00E66D8F">
              <w:rPr>
                <w:color w:val="000000" w:themeColor="text1"/>
                <w:sz w:val="20"/>
              </w:rPr>
              <w:t>as variables macroeconómicas</w:t>
            </w:r>
            <w:r w:rsidRPr="002A5882">
              <w:rPr>
                <w:color w:val="000000" w:themeColor="text1"/>
                <w:sz w:val="20"/>
              </w:rPr>
              <w:t xml:space="preserve"> establecid</w:t>
            </w:r>
            <w:r w:rsidR="00E66D8F">
              <w:rPr>
                <w:color w:val="000000" w:themeColor="text1"/>
                <w:sz w:val="20"/>
              </w:rPr>
              <w:t>a</w:t>
            </w:r>
            <w:r w:rsidRPr="002A5882">
              <w:rPr>
                <w:color w:val="000000" w:themeColor="text1"/>
                <w:sz w:val="20"/>
              </w:rPr>
              <w:t>s a partir del marco macro-fiscal.</w:t>
            </w:r>
          </w:p>
          <w:p w14:paraId="69AA9229" w14:textId="77777777" w:rsidR="00B32DE0" w:rsidRPr="002A5882" w:rsidRDefault="00B32DE0" w:rsidP="00DC62A9">
            <w:pPr>
              <w:pStyle w:val="Paragraph"/>
              <w:numPr>
                <w:ilvl w:val="0"/>
                <w:numId w:val="0"/>
              </w:numPr>
              <w:spacing w:before="20" w:after="20"/>
              <w:rPr>
                <w:color w:val="000000" w:themeColor="text1"/>
                <w:sz w:val="20"/>
              </w:rPr>
            </w:pPr>
          </w:p>
          <w:p w14:paraId="4FB624AE" w14:textId="77777777" w:rsidR="000C1814" w:rsidRPr="002A5882" w:rsidRDefault="000C1814" w:rsidP="00DC62A9">
            <w:pPr>
              <w:pStyle w:val="Paragraph"/>
              <w:numPr>
                <w:ilvl w:val="0"/>
                <w:numId w:val="0"/>
              </w:numPr>
              <w:spacing w:before="20" w:after="20"/>
              <w:rPr>
                <w:color w:val="000000" w:themeColor="text1"/>
                <w:sz w:val="20"/>
              </w:rPr>
            </w:pPr>
          </w:p>
          <w:p w14:paraId="19AA15BC" w14:textId="5119D2AD" w:rsidR="00AC6C81" w:rsidRPr="002A5882" w:rsidRDefault="00B32DE0" w:rsidP="00DC62A9">
            <w:pPr>
              <w:pStyle w:val="Paragraph"/>
              <w:numPr>
                <w:ilvl w:val="0"/>
                <w:numId w:val="0"/>
              </w:numPr>
              <w:spacing w:before="20" w:after="20"/>
              <w:rPr>
                <w:color w:val="000000" w:themeColor="text1"/>
                <w:sz w:val="20"/>
              </w:rPr>
            </w:pPr>
            <w:r w:rsidRPr="002A5882">
              <w:rPr>
                <w:color w:val="000000" w:themeColor="text1"/>
                <w:sz w:val="20"/>
              </w:rPr>
              <w:t xml:space="preserve">(2.5) Incorporación de los </w:t>
            </w:r>
            <w:r w:rsidR="00E47B80">
              <w:rPr>
                <w:color w:val="000000" w:themeColor="text1"/>
                <w:sz w:val="20"/>
              </w:rPr>
              <w:t>variables macroeconómicas</w:t>
            </w:r>
            <w:r w:rsidR="00E47B80" w:rsidRPr="004A12C5">
              <w:rPr>
                <w:color w:val="000000" w:themeColor="text1"/>
                <w:sz w:val="20"/>
              </w:rPr>
              <w:t xml:space="preserve"> </w:t>
            </w:r>
            <w:r w:rsidRPr="009F7E83">
              <w:rPr>
                <w:color w:val="000000" w:themeColor="text1"/>
                <w:sz w:val="20"/>
              </w:rPr>
              <w:t>establecid</w:t>
            </w:r>
            <w:r w:rsidR="00E47B80">
              <w:rPr>
                <w:color w:val="000000" w:themeColor="text1"/>
                <w:sz w:val="20"/>
              </w:rPr>
              <w:t>a</w:t>
            </w:r>
            <w:r w:rsidRPr="009F7E83">
              <w:rPr>
                <w:color w:val="000000" w:themeColor="text1"/>
                <w:sz w:val="20"/>
              </w:rPr>
              <w:t>s en el marco macro fiscal al presupuesto plurianual de 10 empresas públicas nacionales, a partir del ciclo presupuestario 2013.</w:t>
            </w:r>
            <w:r w:rsidR="00FA57D2">
              <w:rPr>
                <w:color w:val="000000" w:themeColor="text1"/>
                <w:sz w:val="20"/>
              </w:rPr>
              <w:t xml:space="preserve"> </w:t>
            </w:r>
          </w:p>
          <w:p w14:paraId="2D107DB4" w14:textId="77777777" w:rsidR="00B32DE0" w:rsidRPr="002A5882" w:rsidRDefault="00B32DE0" w:rsidP="00DC62A9">
            <w:pPr>
              <w:spacing w:after="200" w:line="276" w:lineRule="auto"/>
              <w:jc w:val="both"/>
              <w:rPr>
                <w:rFonts w:ascii="Times New Roman" w:hAnsi="Times New Roman" w:cs="Times New Roman"/>
                <w:sz w:val="20"/>
                <w:szCs w:val="20"/>
                <w:lang w:val="es-ES_tradnl"/>
              </w:rPr>
            </w:pPr>
          </w:p>
        </w:tc>
        <w:tc>
          <w:tcPr>
            <w:tcW w:w="3517" w:type="dxa"/>
          </w:tcPr>
          <w:p w14:paraId="6CB322E7" w14:textId="77777777" w:rsidR="00B32DE0" w:rsidRPr="002A5882" w:rsidRDefault="008F1AE9" w:rsidP="00DC62A9">
            <w:pPr>
              <w:spacing w:after="200" w:line="276" w:lineRule="auto"/>
              <w:jc w:val="both"/>
              <w:rPr>
                <w:rFonts w:ascii="Times New Roman" w:hAnsi="Times New Roman" w:cs="Times New Roman"/>
                <w:sz w:val="20"/>
                <w:szCs w:val="20"/>
                <w:lang w:val="es-MX"/>
              </w:rPr>
            </w:pPr>
            <w:r w:rsidRPr="002A5882">
              <w:rPr>
                <w:rFonts w:ascii="Times New Roman" w:hAnsi="Times New Roman" w:cs="Times New Roman"/>
                <w:sz w:val="20"/>
                <w:szCs w:val="20"/>
                <w:lang w:val="es-MX"/>
              </w:rPr>
              <w:t>Se mejoró</w:t>
            </w:r>
            <w:r w:rsidR="00B32DE0" w:rsidRPr="002A5882">
              <w:rPr>
                <w:rFonts w:ascii="Times New Roman" w:hAnsi="Times New Roman" w:cs="Times New Roman"/>
                <w:sz w:val="20"/>
                <w:szCs w:val="20"/>
                <w:lang w:val="es-MX"/>
              </w:rPr>
              <w:t xml:space="preserve"> la redacción.</w:t>
            </w:r>
          </w:p>
          <w:p w14:paraId="2F4EE0D2" w14:textId="77777777" w:rsidR="00B32DE0" w:rsidRPr="002A5882" w:rsidRDefault="00B32DE0" w:rsidP="00DC62A9">
            <w:pPr>
              <w:spacing w:after="200" w:line="276" w:lineRule="auto"/>
              <w:jc w:val="both"/>
              <w:rPr>
                <w:rFonts w:ascii="Times New Roman" w:hAnsi="Times New Roman" w:cs="Times New Roman"/>
                <w:sz w:val="20"/>
                <w:szCs w:val="20"/>
                <w:lang w:val="es-MX"/>
              </w:rPr>
            </w:pPr>
          </w:p>
          <w:p w14:paraId="00139728" w14:textId="77777777" w:rsidR="000C1814" w:rsidRPr="002A5882" w:rsidRDefault="000C1814" w:rsidP="00DC62A9">
            <w:pPr>
              <w:spacing w:after="200" w:line="276" w:lineRule="auto"/>
              <w:jc w:val="both"/>
              <w:rPr>
                <w:rFonts w:ascii="Times New Roman" w:hAnsi="Times New Roman" w:cs="Times New Roman"/>
                <w:sz w:val="20"/>
                <w:szCs w:val="20"/>
                <w:lang w:val="es-MX"/>
              </w:rPr>
            </w:pPr>
          </w:p>
          <w:p w14:paraId="0A9A9C39" w14:textId="77777777" w:rsidR="007C4C86" w:rsidRPr="002A5882" w:rsidRDefault="007C4C86" w:rsidP="000C1814">
            <w:pPr>
              <w:spacing w:after="200" w:line="276" w:lineRule="auto"/>
              <w:jc w:val="both"/>
              <w:rPr>
                <w:rFonts w:ascii="Times New Roman" w:hAnsi="Times New Roman" w:cs="Times New Roman"/>
                <w:sz w:val="20"/>
                <w:szCs w:val="20"/>
                <w:lang w:val="es-MX"/>
              </w:rPr>
            </w:pPr>
          </w:p>
          <w:p w14:paraId="6867DD25" w14:textId="77777777" w:rsidR="00B32DE0" w:rsidRPr="002A5882" w:rsidRDefault="00B32DE0" w:rsidP="000C1814">
            <w:pPr>
              <w:spacing w:after="200" w:line="276" w:lineRule="auto"/>
              <w:jc w:val="both"/>
              <w:rPr>
                <w:rFonts w:ascii="Times New Roman" w:hAnsi="Times New Roman" w:cs="Times New Roman"/>
                <w:sz w:val="20"/>
                <w:szCs w:val="20"/>
                <w:lang w:val="es-BO"/>
              </w:rPr>
            </w:pPr>
            <w:r w:rsidRPr="002A5882">
              <w:rPr>
                <w:rFonts w:ascii="Times New Roman" w:eastAsia="Times New Roman" w:hAnsi="Times New Roman" w:cs="Times New Roman"/>
                <w:color w:val="000000" w:themeColor="text1"/>
                <w:sz w:val="20"/>
                <w:szCs w:val="20"/>
                <w:lang w:val="es-ES_tradnl"/>
              </w:rPr>
              <w:t xml:space="preserve">Se </w:t>
            </w:r>
            <w:r w:rsidR="008F1AE9" w:rsidRPr="002A5882">
              <w:rPr>
                <w:rFonts w:ascii="Times New Roman" w:eastAsia="Times New Roman" w:hAnsi="Times New Roman" w:cs="Times New Roman"/>
                <w:color w:val="000000" w:themeColor="text1"/>
                <w:sz w:val="20"/>
                <w:szCs w:val="20"/>
                <w:lang w:val="es-ES_tradnl"/>
              </w:rPr>
              <w:t>adicionó</w:t>
            </w:r>
            <w:r w:rsidRPr="002A5882">
              <w:rPr>
                <w:rFonts w:ascii="Times New Roman" w:eastAsia="Times New Roman" w:hAnsi="Times New Roman" w:cs="Times New Roman"/>
                <w:color w:val="000000" w:themeColor="text1"/>
                <w:sz w:val="20"/>
                <w:szCs w:val="20"/>
                <w:lang w:val="es-ES_tradnl"/>
              </w:rPr>
              <w:t xml:space="preserve"> </w:t>
            </w:r>
            <w:r w:rsidR="000C1814" w:rsidRPr="002A5882">
              <w:rPr>
                <w:rFonts w:ascii="Times New Roman" w:eastAsia="Times New Roman" w:hAnsi="Times New Roman" w:cs="Times New Roman"/>
                <w:color w:val="000000" w:themeColor="text1"/>
                <w:sz w:val="20"/>
                <w:szCs w:val="20"/>
                <w:lang w:val="es-ES_tradnl"/>
              </w:rPr>
              <w:t>esta</w:t>
            </w:r>
            <w:r w:rsidRPr="002A5882">
              <w:rPr>
                <w:rFonts w:ascii="Times New Roman" w:eastAsia="Times New Roman" w:hAnsi="Times New Roman" w:cs="Times New Roman"/>
                <w:color w:val="000000" w:themeColor="text1"/>
                <w:sz w:val="20"/>
                <w:szCs w:val="20"/>
                <w:lang w:val="es-ES_tradnl"/>
              </w:rPr>
              <w:t xml:space="preserve"> </w:t>
            </w:r>
            <w:r w:rsidR="000C1814" w:rsidRPr="002A5882">
              <w:rPr>
                <w:rFonts w:ascii="Times New Roman" w:eastAsia="Times New Roman" w:hAnsi="Times New Roman" w:cs="Times New Roman"/>
                <w:color w:val="000000" w:themeColor="text1"/>
                <w:sz w:val="20"/>
                <w:szCs w:val="20"/>
                <w:lang w:val="es-ES_tradnl"/>
              </w:rPr>
              <w:t>medida</w:t>
            </w:r>
            <w:r w:rsidRPr="002A5882">
              <w:rPr>
                <w:rFonts w:ascii="Times New Roman" w:eastAsia="Times New Roman" w:hAnsi="Times New Roman" w:cs="Times New Roman"/>
                <w:color w:val="000000" w:themeColor="text1"/>
                <w:sz w:val="20"/>
                <w:szCs w:val="20"/>
                <w:lang w:val="es-ES_tradnl"/>
              </w:rPr>
              <w:t xml:space="preserve"> para apoyar la consolidación del marco macro fiscal como herramienta de política pública.</w:t>
            </w:r>
          </w:p>
        </w:tc>
      </w:tr>
      <w:tr w:rsidR="00B32DE0" w:rsidRPr="009370F6" w14:paraId="02532E5D" w14:textId="77777777" w:rsidTr="004A12C5">
        <w:tc>
          <w:tcPr>
            <w:tcW w:w="3064" w:type="dxa"/>
            <w:vMerge/>
          </w:tcPr>
          <w:p w14:paraId="39910637" w14:textId="77777777" w:rsidR="00B32DE0" w:rsidRPr="002A5882" w:rsidRDefault="00B32DE0" w:rsidP="00DC62A9">
            <w:pPr>
              <w:spacing w:after="200" w:line="276" w:lineRule="auto"/>
              <w:jc w:val="both"/>
              <w:rPr>
                <w:rFonts w:ascii="Times New Roman" w:hAnsi="Times New Roman" w:cs="Times New Roman"/>
                <w:sz w:val="20"/>
                <w:szCs w:val="20"/>
                <w:lang w:val="es-MX"/>
              </w:rPr>
            </w:pPr>
          </w:p>
        </w:tc>
        <w:tc>
          <w:tcPr>
            <w:tcW w:w="2922" w:type="dxa"/>
          </w:tcPr>
          <w:p w14:paraId="0BA82DD9" w14:textId="77777777" w:rsidR="00B32DE0" w:rsidRPr="002A5882" w:rsidRDefault="00B32DE0" w:rsidP="00DC62A9">
            <w:pPr>
              <w:spacing w:after="200" w:line="276" w:lineRule="auto"/>
              <w:jc w:val="both"/>
              <w:rPr>
                <w:rFonts w:ascii="Times New Roman" w:hAnsi="Times New Roman" w:cs="Times New Roman"/>
                <w:sz w:val="20"/>
                <w:szCs w:val="20"/>
                <w:lang w:val="es-BO"/>
              </w:rPr>
            </w:pPr>
            <w:r w:rsidRPr="002A5882">
              <w:rPr>
                <w:rFonts w:ascii="Times New Roman" w:hAnsi="Times New Roman" w:cs="Times New Roman"/>
                <w:sz w:val="20"/>
                <w:szCs w:val="20"/>
                <w:lang w:val="es-MX"/>
              </w:rPr>
              <w:t xml:space="preserve">(2.3) </w:t>
            </w:r>
            <w:r w:rsidRPr="002A5882">
              <w:rPr>
                <w:rFonts w:ascii="Times New Roman" w:hAnsi="Times New Roman" w:cs="Times New Roman"/>
                <w:sz w:val="20"/>
                <w:szCs w:val="20"/>
                <w:lang w:val="es-BO"/>
              </w:rPr>
              <w:t xml:space="preserve">Implementación de la herramienta de apoyo para la generación de información </w:t>
            </w:r>
            <w:r w:rsidRPr="002A5882">
              <w:rPr>
                <w:rFonts w:ascii="Times New Roman" w:hAnsi="Times New Roman" w:cs="Times New Roman"/>
                <w:sz w:val="20"/>
                <w:szCs w:val="20"/>
                <w:lang w:val="es-BO"/>
              </w:rPr>
              <w:lastRenderedPageBreak/>
              <w:t>gerencial en todos los ministerios.</w:t>
            </w:r>
          </w:p>
        </w:tc>
        <w:tc>
          <w:tcPr>
            <w:tcW w:w="3687" w:type="dxa"/>
          </w:tcPr>
          <w:p w14:paraId="4DF38458" w14:textId="77777777" w:rsidR="00B32DE0" w:rsidRPr="004A12C5" w:rsidRDefault="00B32DE0" w:rsidP="00DC62A9">
            <w:pPr>
              <w:spacing w:after="200" w:line="276" w:lineRule="auto"/>
              <w:jc w:val="both"/>
              <w:rPr>
                <w:rFonts w:ascii="Times New Roman" w:hAnsi="Times New Roman" w:cs="Times New Roman"/>
                <w:sz w:val="20"/>
                <w:szCs w:val="20"/>
                <w:lang w:val="es-BO"/>
              </w:rPr>
            </w:pPr>
            <w:r w:rsidRPr="002A5882">
              <w:rPr>
                <w:rFonts w:ascii="Times New Roman" w:hAnsi="Times New Roman" w:cs="Times New Roman"/>
                <w:sz w:val="20"/>
                <w:szCs w:val="20"/>
                <w:lang w:val="es-MX"/>
              </w:rPr>
              <w:lastRenderedPageBreak/>
              <w:t xml:space="preserve">(4.1) </w:t>
            </w:r>
            <w:r w:rsidRPr="002A5882">
              <w:rPr>
                <w:rFonts w:ascii="Times New Roman" w:hAnsi="Times New Roman" w:cs="Times New Roman"/>
                <w:color w:val="000000" w:themeColor="text1"/>
                <w:sz w:val="20"/>
                <w:szCs w:val="20"/>
                <w:lang w:val="es-BO"/>
              </w:rPr>
              <w:t xml:space="preserve">Implementación en todos los ministerios de la AC y en 5 </w:t>
            </w:r>
            <w:r w:rsidR="002A5882">
              <w:rPr>
                <w:rFonts w:ascii="Times New Roman" w:hAnsi="Times New Roman" w:cs="Times New Roman"/>
                <w:color w:val="000000" w:themeColor="text1"/>
                <w:sz w:val="20"/>
                <w:szCs w:val="20"/>
                <w:lang w:val="es-BO"/>
              </w:rPr>
              <w:t>e</w:t>
            </w:r>
            <w:r w:rsidRPr="002A5882">
              <w:rPr>
                <w:rFonts w:ascii="Times New Roman" w:hAnsi="Times New Roman" w:cs="Times New Roman"/>
                <w:color w:val="000000" w:themeColor="text1"/>
                <w:sz w:val="20"/>
                <w:szCs w:val="20"/>
                <w:lang w:val="es-BO"/>
              </w:rPr>
              <w:t xml:space="preserve">mpresas </w:t>
            </w:r>
            <w:r w:rsidR="002A5882">
              <w:rPr>
                <w:rFonts w:ascii="Times New Roman" w:hAnsi="Times New Roman" w:cs="Times New Roman"/>
                <w:color w:val="000000" w:themeColor="text1"/>
                <w:sz w:val="20"/>
                <w:szCs w:val="20"/>
                <w:lang w:val="es-BO"/>
              </w:rPr>
              <w:t>p</w:t>
            </w:r>
            <w:r w:rsidRPr="002A5882">
              <w:rPr>
                <w:rFonts w:ascii="Times New Roman" w:hAnsi="Times New Roman" w:cs="Times New Roman"/>
                <w:color w:val="000000" w:themeColor="text1"/>
                <w:sz w:val="20"/>
                <w:szCs w:val="20"/>
                <w:lang w:val="es-BO"/>
              </w:rPr>
              <w:t xml:space="preserve">úblicas </w:t>
            </w:r>
            <w:r w:rsidR="002A5882">
              <w:rPr>
                <w:rFonts w:ascii="Times New Roman" w:hAnsi="Times New Roman" w:cs="Times New Roman"/>
                <w:color w:val="000000" w:themeColor="text1"/>
                <w:sz w:val="20"/>
                <w:szCs w:val="20"/>
                <w:lang w:val="es-BO"/>
              </w:rPr>
              <w:t>n</w:t>
            </w:r>
            <w:r w:rsidRPr="002A5882">
              <w:rPr>
                <w:rFonts w:ascii="Times New Roman" w:hAnsi="Times New Roman" w:cs="Times New Roman"/>
                <w:color w:val="000000" w:themeColor="text1"/>
                <w:sz w:val="20"/>
                <w:szCs w:val="20"/>
                <w:lang w:val="es-BO"/>
              </w:rPr>
              <w:t xml:space="preserve">acionales de la herramienta de </w:t>
            </w:r>
            <w:r w:rsidRPr="002A5882">
              <w:rPr>
                <w:rFonts w:ascii="Times New Roman" w:hAnsi="Times New Roman" w:cs="Times New Roman"/>
                <w:color w:val="000000" w:themeColor="text1"/>
                <w:sz w:val="20"/>
                <w:szCs w:val="20"/>
                <w:lang w:val="es-BO"/>
              </w:rPr>
              <w:lastRenderedPageBreak/>
              <w:t>apoyo para la generación de información gerencial, que contenga información sobre ejecución presupuestaria del gobierno central, entidades territoriales y empresas públicas.</w:t>
            </w:r>
          </w:p>
        </w:tc>
        <w:tc>
          <w:tcPr>
            <w:tcW w:w="3517" w:type="dxa"/>
          </w:tcPr>
          <w:p w14:paraId="12290BBF" w14:textId="27B421CC" w:rsidR="002A5882" w:rsidRPr="002A5882" w:rsidRDefault="00B32DE0" w:rsidP="002A5882">
            <w:pPr>
              <w:spacing w:after="200" w:line="276" w:lineRule="auto"/>
              <w:jc w:val="both"/>
              <w:rPr>
                <w:rFonts w:ascii="Times New Roman" w:hAnsi="Times New Roman" w:cs="Times New Roman"/>
                <w:sz w:val="20"/>
                <w:szCs w:val="20"/>
                <w:lang w:val="es-MX"/>
              </w:rPr>
            </w:pPr>
            <w:r w:rsidRPr="009F7E83">
              <w:rPr>
                <w:rFonts w:ascii="Times New Roman" w:hAnsi="Times New Roman" w:cs="Times New Roman"/>
                <w:sz w:val="20"/>
                <w:szCs w:val="20"/>
                <w:lang w:val="es-MX"/>
              </w:rPr>
              <w:lastRenderedPageBreak/>
              <w:t xml:space="preserve">Se trasladó </w:t>
            </w:r>
            <w:r w:rsidR="000C1814" w:rsidRPr="009F7E83">
              <w:rPr>
                <w:rFonts w:ascii="Times New Roman" w:hAnsi="Times New Roman" w:cs="Times New Roman"/>
                <w:sz w:val="20"/>
                <w:szCs w:val="20"/>
                <w:lang w:val="es-MX"/>
              </w:rPr>
              <w:t xml:space="preserve">la </w:t>
            </w:r>
            <w:r w:rsidR="000C1814" w:rsidRPr="002A5882">
              <w:rPr>
                <w:rFonts w:ascii="Times New Roman" w:hAnsi="Times New Roman" w:cs="Times New Roman"/>
                <w:sz w:val="20"/>
                <w:szCs w:val="20"/>
                <w:lang w:val="es-MX"/>
              </w:rPr>
              <w:t>medida</w:t>
            </w:r>
            <w:r w:rsidRPr="002A5882">
              <w:rPr>
                <w:rFonts w:ascii="Times New Roman" w:hAnsi="Times New Roman" w:cs="Times New Roman"/>
                <w:sz w:val="20"/>
                <w:szCs w:val="20"/>
                <w:lang w:val="es-MX"/>
              </w:rPr>
              <w:t xml:space="preserve"> al componente 4 porque está relacionada con la</w:t>
            </w:r>
            <w:r w:rsidR="00FA57D2">
              <w:rPr>
                <w:rFonts w:ascii="Times New Roman" w:hAnsi="Times New Roman" w:cs="Times New Roman"/>
                <w:sz w:val="20"/>
                <w:szCs w:val="20"/>
                <w:lang w:val="es-MX"/>
              </w:rPr>
              <w:t xml:space="preserve"> </w:t>
            </w:r>
            <w:r w:rsidRPr="002A5882">
              <w:rPr>
                <w:rFonts w:ascii="Times New Roman" w:hAnsi="Times New Roman" w:cs="Times New Roman"/>
                <w:color w:val="000000" w:themeColor="text1"/>
                <w:sz w:val="20"/>
                <w:szCs w:val="20"/>
                <w:lang w:val="es-BO"/>
              </w:rPr>
              <w:t xml:space="preserve">mejora en la ejecución y eficiencia del gasto </w:t>
            </w:r>
            <w:r w:rsidRPr="002A5882">
              <w:rPr>
                <w:rFonts w:ascii="Times New Roman" w:hAnsi="Times New Roman" w:cs="Times New Roman"/>
                <w:color w:val="000000" w:themeColor="text1"/>
                <w:sz w:val="20"/>
                <w:szCs w:val="20"/>
                <w:lang w:val="es-BO"/>
              </w:rPr>
              <w:lastRenderedPageBreak/>
              <w:t>público</w:t>
            </w:r>
            <w:r w:rsidRPr="002A5882">
              <w:rPr>
                <w:rFonts w:ascii="Times New Roman" w:hAnsi="Times New Roman" w:cs="Times New Roman"/>
                <w:sz w:val="20"/>
                <w:szCs w:val="20"/>
                <w:lang w:val="es-MX"/>
              </w:rPr>
              <w:t>.</w:t>
            </w:r>
            <w:r w:rsidR="002A5882">
              <w:rPr>
                <w:rFonts w:ascii="Times New Roman" w:hAnsi="Times New Roman" w:cs="Times New Roman"/>
                <w:sz w:val="20"/>
                <w:szCs w:val="20"/>
                <w:lang w:val="es-MX"/>
              </w:rPr>
              <w:t xml:space="preserve"> Asimismo, s</w:t>
            </w:r>
            <w:r w:rsidR="002A5882" w:rsidRPr="002A5882">
              <w:rPr>
                <w:rFonts w:ascii="Times New Roman" w:hAnsi="Times New Roman" w:cs="Times New Roman"/>
                <w:sz w:val="20"/>
                <w:szCs w:val="20"/>
                <w:lang w:val="es-MX"/>
              </w:rPr>
              <w:t>e mejoró la redacción y se amplió el alcance de la medida.</w:t>
            </w:r>
          </w:p>
          <w:p w14:paraId="4BB467D1" w14:textId="77777777" w:rsidR="00B32DE0" w:rsidRPr="002A5882" w:rsidRDefault="00B32DE0" w:rsidP="00DC62A9">
            <w:pPr>
              <w:spacing w:after="200" w:line="276" w:lineRule="auto"/>
              <w:jc w:val="both"/>
              <w:rPr>
                <w:rFonts w:ascii="Times New Roman" w:hAnsi="Times New Roman" w:cs="Times New Roman"/>
                <w:sz w:val="20"/>
                <w:szCs w:val="20"/>
                <w:lang w:val="es-MX"/>
              </w:rPr>
            </w:pPr>
          </w:p>
          <w:p w14:paraId="62FF9710" w14:textId="77777777" w:rsidR="00B32DE0" w:rsidRPr="002A5882" w:rsidRDefault="00B32DE0" w:rsidP="00CB153C">
            <w:pPr>
              <w:jc w:val="both"/>
              <w:rPr>
                <w:rFonts w:ascii="Times New Roman" w:hAnsi="Times New Roman" w:cs="Times New Roman"/>
                <w:sz w:val="20"/>
                <w:szCs w:val="20"/>
                <w:lang w:val="es-MX"/>
              </w:rPr>
            </w:pPr>
          </w:p>
        </w:tc>
      </w:tr>
      <w:tr w:rsidR="00B32DE0" w:rsidRPr="009370F6" w14:paraId="3F33C94C" w14:textId="77777777" w:rsidTr="004A12C5">
        <w:tc>
          <w:tcPr>
            <w:tcW w:w="3064" w:type="dxa"/>
            <w:vMerge/>
          </w:tcPr>
          <w:p w14:paraId="4C264854" w14:textId="77777777" w:rsidR="00B32DE0" w:rsidRPr="002A5882" w:rsidRDefault="00B32DE0" w:rsidP="00DC62A9">
            <w:pPr>
              <w:spacing w:after="200" w:line="276" w:lineRule="auto"/>
              <w:jc w:val="both"/>
              <w:rPr>
                <w:rFonts w:ascii="Times New Roman" w:hAnsi="Times New Roman" w:cs="Times New Roman"/>
                <w:sz w:val="20"/>
                <w:szCs w:val="20"/>
                <w:lang w:val="es-MX"/>
              </w:rPr>
            </w:pPr>
          </w:p>
        </w:tc>
        <w:tc>
          <w:tcPr>
            <w:tcW w:w="2922" w:type="dxa"/>
          </w:tcPr>
          <w:p w14:paraId="73B18E3D" w14:textId="77777777" w:rsidR="00B32DE0" w:rsidRPr="002A5882" w:rsidRDefault="00B32DE0" w:rsidP="00DC62A9">
            <w:pPr>
              <w:spacing w:after="200" w:line="276" w:lineRule="auto"/>
              <w:jc w:val="both"/>
              <w:rPr>
                <w:rFonts w:ascii="Times New Roman" w:hAnsi="Times New Roman" w:cs="Times New Roman"/>
                <w:sz w:val="20"/>
                <w:szCs w:val="20"/>
                <w:lang w:val="es-BO"/>
              </w:rPr>
            </w:pPr>
            <w:r w:rsidRPr="002A5882">
              <w:rPr>
                <w:rFonts w:ascii="Times New Roman" w:hAnsi="Times New Roman" w:cs="Times New Roman"/>
                <w:sz w:val="20"/>
                <w:szCs w:val="20"/>
                <w:lang w:val="es-MX"/>
              </w:rPr>
              <w:t xml:space="preserve">(2.4) </w:t>
            </w:r>
            <w:r w:rsidRPr="002A5882">
              <w:rPr>
                <w:rFonts w:ascii="Times New Roman" w:hAnsi="Times New Roman" w:cs="Times New Roman"/>
                <w:sz w:val="20"/>
                <w:szCs w:val="20"/>
                <w:lang w:val="es-BO"/>
              </w:rPr>
              <w:t>Firma de Convenios de Gestión con tres entidades más, siendo, por lo menos una en otro ministerio y avance sustancial en la ejecución.</w:t>
            </w:r>
          </w:p>
        </w:tc>
        <w:tc>
          <w:tcPr>
            <w:tcW w:w="3687" w:type="dxa"/>
          </w:tcPr>
          <w:p w14:paraId="7DAAB530" w14:textId="77777777" w:rsidR="00B32DE0" w:rsidRPr="004A12C5" w:rsidRDefault="00B32DE0" w:rsidP="00DC62A9">
            <w:pPr>
              <w:pStyle w:val="Paragraph"/>
              <w:numPr>
                <w:ilvl w:val="0"/>
                <w:numId w:val="0"/>
              </w:numPr>
              <w:spacing w:before="20" w:after="20"/>
              <w:rPr>
                <w:color w:val="000000" w:themeColor="text1"/>
                <w:sz w:val="20"/>
              </w:rPr>
            </w:pPr>
            <w:r w:rsidRPr="002A5882">
              <w:rPr>
                <w:sz w:val="20"/>
                <w:lang w:val="es-MX"/>
              </w:rPr>
              <w:t xml:space="preserve">(2.6) </w:t>
            </w:r>
            <w:r w:rsidRPr="002A5882">
              <w:rPr>
                <w:color w:val="000000" w:themeColor="text1"/>
                <w:sz w:val="20"/>
              </w:rPr>
              <w:t>Firma de Convenios de Gestión con 7 entidades</w:t>
            </w:r>
            <w:r w:rsidR="002A5882">
              <w:rPr>
                <w:color w:val="000000" w:themeColor="text1"/>
                <w:sz w:val="20"/>
              </w:rPr>
              <w:t xml:space="preserve"> </w:t>
            </w:r>
            <w:r w:rsidR="002A5882" w:rsidRPr="00037E16">
              <w:rPr>
                <w:color w:val="000000" w:themeColor="text1"/>
                <w:sz w:val="20"/>
              </w:rPr>
              <w:t xml:space="preserve">públicas de la </w:t>
            </w:r>
            <w:r w:rsidR="002A5882">
              <w:rPr>
                <w:color w:val="000000" w:themeColor="text1"/>
                <w:sz w:val="20"/>
              </w:rPr>
              <w:t>A</w:t>
            </w:r>
            <w:r w:rsidR="002A5882" w:rsidRPr="00037E16">
              <w:rPr>
                <w:color w:val="000000" w:themeColor="text1"/>
                <w:sz w:val="20"/>
              </w:rPr>
              <w:t xml:space="preserve">dministración </w:t>
            </w:r>
            <w:r w:rsidR="002A5882">
              <w:rPr>
                <w:color w:val="000000" w:themeColor="text1"/>
                <w:sz w:val="20"/>
              </w:rPr>
              <w:t>C</w:t>
            </w:r>
            <w:r w:rsidR="002A5882" w:rsidRPr="00037E16">
              <w:rPr>
                <w:color w:val="000000" w:themeColor="text1"/>
                <w:sz w:val="20"/>
              </w:rPr>
              <w:t>entral</w:t>
            </w:r>
            <w:r w:rsidRPr="002A5882">
              <w:rPr>
                <w:color w:val="000000" w:themeColor="text1"/>
                <w:sz w:val="20"/>
              </w:rPr>
              <w:t xml:space="preserve"> y avance sustancial en la ejecución. </w:t>
            </w:r>
          </w:p>
          <w:p w14:paraId="18F5FC62" w14:textId="77777777" w:rsidR="00B32DE0" w:rsidRPr="009F7E83" w:rsidRDefault="00B32DE0" w:rsidP="00DC62A9">
            <w:pPr>
              <w:spacing w:after="200" w:line="276" w:lineRule="auto"/>
              <w:jc w:val="both"/>
              <w:rPr>
                <w:rFonts w:ascii="Times New Roman" w:hAnsi="Times New Roman" w:cs="Times New Roman"/>
                <w:sz w:val="20"/>
                <w:szCs w:val="20"/>
                <w:lang w:val="es-ES_tradnl"/>
              </w:rPr>
            </w:pPr>
          </w:p>
        </w:tc>
        <w:tc>
          <w:tcPr>
            <w:tcW w:w="3517" w:type="dxa"/>
          </w:tcPr>
          <w:p w14:paraId="2FDFFE84" w14:textId="77777777" w:rsidR="00B32DE0" w:rsidRPr="002A5882" w:rsidRDefault="00B32DE0" w:rsidP="001D3B26">
            <w:pPr>
              <w:spacing w:after="200" w:line="276" w:lineRule="auto"/>
              <w:jc w:val="both"/>
              <w:rPr>
                <w:rFonts w:ascii="Times New Roman" w:hAnsi="Times New Roman" w:cs="Times New Roman"/>
                <w:sz w:val="20"/>
                <w:szCs w:val="20"/>
                <w:lang w:val="es-MX"/>
              </w:rPr>
            </w:pPr>
            <w:r w:rsidRPr="002A5882">
              <w:rPr>
                <w:rFonts w:ascii="Times New Roman" w:hAnsi="Times New Roman" w:cs="Times New Roman"/>
                <w:sz w:val="20"/>
                <w:szCs w:val="20"/>
                <w:lang w:val="es-MX"/>
              </w:rPr>
              <w:t>Se increment</w:t>
            </w:r>
            <w:r w:rsidR="008F1AE9" w:rsidRPr="002A5882">
              <w:rPr>
                <w:rFonts w:ascii="Times New Roman" w:hAnsi="Times New Roman" w:cs="Times New Roman"/>
                <w:sz w:val="20"/>
                <w:szCs w:val="20"/>
                <w:lang w:val="es-MX"/>
              </w:rPr>
              <w:t>ó</w:t>
            </w:r>
            <w:r w:rsidRPr="002A5882">
              <w:rPr>
                <w:rFonts w:ascii="Times New Roman" w:hAnsi="Times New Roman" w:cs="Times New Roman"/>
                <w:sz w:val="20"/>
                <w:szCs w:val="20"/>
                <w:lang w:val="es-MX"/>
              </w:rPr>
              <w:t xml:space="preserve"> el número de entidades que firman convenios de gestión.</w:t>
            </w:r>
          </w:p>
        </w:tc>
      </w:tr>
      <w:tr w:rsidR="00B32DE0" w:rsidRPr="009370F6" w14:paraId="02C5B42D" w14:textId="77777777" w:rsidTr="004A12C5">
        <w:tc>
          <w:tcPr>
            <w:tcW w:w="3064" w:type="dxa"/>
          </w:tcPr>
          <w:p w14:paraId="40BE3D0E" w14:textId="77777777" w:rsidR="00B32DE0" w:rsidRPr="002A5882" w:rsidRDefault="00B32DE0" w:rsidP="00DC62A9">
            <w:pPr>
              <w:jc w:val="both"/>
              <w:rPr>
                <w:rFonts w:ascii="Times New Roman" w:hAnsi="Times New Roman" w:cs="Times New Roman"/>
                <w:sz w:val="20"/>
                <w:szCs w:val="20"/>
                <w:lang w:val="es-MX"/>
              </w:rPr>
            </w:pPr>
          </w:p>
        </w:tc>
        <w:tc>
          <w:tcPr>
            <w:tcW w:w="2922" w:type="dxa"/>
          </w:tcPr>
          <w:p w14:paraId="5D3910C2" w14:textId="77777777" w:rsidR="00B32DE0" w:rsidRPr="002A5882" w:rsidRDefault="00B32DE0" w:rsidP="00DC62A9">
            <w:pPr>
              <w:pStyle w:val="Paragraph"/>
              <w:numPr>
                <w:ilvl w:val="0"/>
                <w:numId w:val="0"/>
              </w:numPr>
              <w:spacing w:before="20" w:after="20"/>
              <w:rPr>
                <w:color w:val="000000" w:themeColor="text1"/>
                <w:spacing w:val="-2"/>
                <w:sz w:val="20"/>
              </w:rPr>
            </w:pPr>
            <w:r w:rsidRPr="002A5882">
              <w:rPr>
                <w:sz w:val="20"/>
                <w:lang w:val="es-MX"/>
              </w:rPr>
              <w:t xml:space="preserve">(2.5) </w:t>
            </w:r>
            <w:r w:rsidRPr="002A5882">
              <w:rPr>
                <w:color w:val="000000" w:themeColor="text1"/>
                <w:spacing w:val="-2"/>
                <w:sz w:val="20"/>
              </w:rPr>
              <w:t>Elaboración y validación de las metodologías de planificación desarrolladas por el MPD, con carácter piloto en un sector, incluyendo por lo menos tres entidades.</w:t>
            </w:r>
          </w:p>
          <w:p w14:paraId="7144D809" w14:textId="77777777" w:rsidR="00B32DE0" w:rsidRPr="004A12C5" w:rsidRDefault="00B32DE0" w:rsidP="00DC62A9">
            <w:pPr>
              <w:jc w:val="both"/>
              <w:rPr>
                <w:rFonts w:ascii="Times New Roman" w:hAnsi="Times New Roman" w:cs="Times New Roman"/>
                <w:sz w:val="20"/>
                <w:szCs w:val="20"/>
                <w:lang w:val="es-ES_tradnl"/>
              </w:rPr>
            </w:pPr>
          </w:p>
        </w:tc>
        <w:tc>
          <w:tcPr>
            <w:tcW w:w="3687" w:type="dxa"/>
          </w:tcPr>
          <w:p w14:paraId="7920D13E" w14:textId="77777777" w:rsidR="00B32DE0" w:rsidRPr="002A5882" w:rsidRDefault="00B32DE0" w:rsidP="00DC62A9">
            <w:pPr>
              <w:pStyle w:val="Paragraph"/>
              <w:numPr>
                <w:ilvl w:val="0"/>
                <w:numId w:val="0"/>
              </w:numPr>
              <w:spacing w:before="20" w:after="20"/>
              <w:rPr>
                <w:color w:val="000000" w:themeColor="text1"/>
                <w:sz w:val="20"/>
              </w:rPr>
            </w:pPr>
            <w:r w:rsidRPr="009F7E83">
              <w:rPr>
                <w:sz w:val="20"/>
                <w:lang w:val="es-MX"/>
              </w:rPr>
              <w:t xml:space="preserve">(2.7) </w:t>
            </w:r>
            <w:r w:rsidRPr="009F7E83">
              <w:rPr>
                <w:color w:val="000000" w:themeColor="text1"/>
                <w:sz w:val="20"/>
              </w:rPr>
              <w:t>Las Directrices Presupuestarias para el Presupuesto 2014, integran los objetivos de gestión institucional de las</w:t>
            </w:r>
            <w:r w:rsidRPr="002A5882">
              <w:rPr>
                <w:color w:val="000000" w:themeColor="text1"/>
                <w:sz w:val="20"/>
              </w:rPr>
              <w:t xml:space="preserve"> entidades públicas con la programación presupuestaria para la formulación del Presupuesto General del Estado</w:t>
            </w:r>
            <w:r w:rsidR="002A5882">
              <w:rPr>
                <w:color w:val="000000" w:themeColor="text1"/>
                <w:sz w:val="20"/>
              </w:rPr>
              <w:t>.</w:t>
            </w:r>
          </w:p>
          <w:p w14:paraId="7B084103" w14:textId="77777777" w:rsidR="00DC62A9" w:rsidRPr="004A12C5" w:rsidRDefault="00DC62A9" w:rsidP="00DC62A9">
            <w:pPr>
              <w:pStyle w:val="Paragraph"/>
              <w:numPr>
                <w:ilvl w:val="0"/>
                <w:numId w:val="0"/>
              </w:numPr>
              <w:spacing w:before="20" w:after="20"/>
              <w:rPr>
                <w:sz w:val="20"/>
              </w:rPr>
            </w:pPr>
          </w:p>
          <w:p w14:paraId="06B31C49" w14:textId="4784452D" w:rsidR="00B32DE0" w:rsidRPr="002A5882" w:rsidRDefault="00B32DE0" w:rsidP="00006CD7">
            <w:pPr>
              <w:pStyle w:val="Paragraph"/>
              <w:numPr>
                <w:ilvl w:val="0"/>
                <w:numId w:val="0"/>
              </w:numPr>
              <w:spacing w:before="20" w:after="20"/>
              <w:rPr>
                <w:sz w:val="20"/>
              </w:rPr>
            </w:pPr>
            <w:r w:rsidRPr="009F7E83">
              <w:rPr>
                <w:sz w:val="20"/>
              </w:rPr>
              <w:t xml:space="preserve">(2.8) </w:t>
            </w:r>
            <w:r w:rsidRPr="009F7E83">
              <w:rPr>
                <w:color w:val="000000" w:themeColor="text1"/>
                <w:spacing w:val="-2"/>
                <w:sz w:val="20"/>
              </w:rPr>
              <w:t>Directrices de Inversión Pública para la Formulación del</w:t>
            </w:r>
            <w:r w:rsidR="00FA57D2">
              <w:rPr>
                <w:color w:val="000000" w:themeColor="text1"/>
                <w:spacing w:val="-2"/>
                <w:sz w:val="20"/>
              </w:rPr>
              <w:t xml:space="preserve"> </w:t>
            </w:r>
            <w:r w:rsidRPr="009F7E83">
              <w:rPr>
                <w:color w:val="000000" w:themeColor="text1"/>
                <w:spacing w:val="-2"/>
                <w:sz w:val="20"/>
              </w:rPr>
              <w:t>Presupuesto 2014 que incluyan</w:t>
            </w:r>
            <w:r w:rsidR="00FA57D2">
              <w:rPr>
                <w:color w:val="000000" w:themeColor="text1"/>
                <w:spacing w:val="-2"/>
                <w:sz w:val="20"/>
              </w:rPr>
              <w:t xml:space="preserve"> </w:t>
            </w:r>
            <w:r w:rsidRPr="002A5882">
              <w:rPr>
                <w:color w:val="000000" w:themeColor="text1"/>
                <w:spacing w:val="-2"/>
                <w:sz w:val="20"/>
              </w:rPr>
              <w:t xml:space="preserve">lineamientos y procedimientos para: (i) la formulación del presupuesto de inversión para las diferentes entidades del nivel central, las empresas públicas, </w:t>
            </w:r>
            <w:r w:rsidR="00E47B80">
              <w:rPr>
                <w:color w:val="000000" w:themeColor="text1"/>
                <w:spacing w:val="-2"/>
                <w:sz w:val="20"/>
              </w:rPr>
              <w:t>u</w:t>
            </w:r>
            <w:r w:rsidRPr="009F7E83">
              <w:rPr>
                <w:color w:val="000000" w:themeColor="text1"/>
                <w:spacing w:val="-2"/>
                <w:sz w:val="20"/>
              </w:rPr>
              <w:t>niversidades y del nivel territorial;</w:t>
            </w:r>
            <w:r w:rsidR="00FA57D2">
              <w:rPr>
                <w:color w:val="000000" w:themeColor="text1"/>
                <w:spacing w:val="-2"/>
                <w:sz w:val="20"/>
              </w:rPr>
              <w:t xml:space="preserve"> </w:t>
            </w:r>
            <w:r w:rsidRPr="009F7E83">
              <w:rPr>
                <w:color w:val="000000" w:themeColor="text1"/>
                <w:spacing w:val="-2"/>
                <w:sz w:val="20"/>
              </w:rPr>
              <w:t>(ii) elaboración y registro de los presupuestos anuales de las entidades; (iii) inversión capitalizable y</w:t>
            </w:r>
            <w:r w:rsidRPr="002A5882">
              <w:rPr>
                <w:color w:val="000000" w:themeColor="text1"/>
                <w:spacing w:val="-2"/>
                <w:sz w:val="20"/>
              </w:rPr>
              <w:t xml:space="preserve"> no capitalizable; y (iv) revisión y adecuación de las partidas de gasto asociadas a proyectos de inversión.</w:t>
            </w:r>
          </w:p>
        </w:tc>
        <w:tc>
          <w:tcPr>
            <w:tcW w:w="3517" w:type="dxa"/>
          </w:tcPr>
          <w:p w14:paraId="2050CA4E" w14:textId="77777777" w:rsidR="00B32DE0" w:rsidRPr="002A5882" w:rsidRDefault="000C1814" w:rsidP="00DC62A9">
            <w:pPr>
              <w:spacing w:after="200" w:line="276" w:lineRule="auto"/>
              <w:jc w:val="both"/>
              <w:rPr>
                <w:rFonts w:ascii="Times New Roman" w:eastAsia="Times New Roman" w:hAnsi="Times New Roman" w:cs="Times New Roman"/>
                <w:color w:val="000000" w:themeColor="text1"/>
                <w:sz w:val="20"/>
                <w:szCs w:val="20"/>
                <w:lang w:val="es-ES_tradnl"/>
              </w:rPr>
            </w:pPr>
            <w:r w:rsidRPr="002A5882">
              <w:rPr>
                <w:rFonts w:ascii="Times New Roman" w:eastAsia="Times New Roman" w:hAnsi="Times New Roman" w:cs="Times New Roman"/>
                <w:color w:val="000000" w:themeColor="text1"/>
                <w:sz w:val="20"/>
                <w:szCs w:val="20"/>
                <w:lang w:val="es-ES_tradnl"/>
              </w:rPr>
              <w:t xml:space="preserve">Se modificó la medida. </w:t>
            </w:r>
            <w:r w:rsidR="00B32DE0" w:rsidRPr="002A5882">
              <w:rPr>
                <w:rFonts w:ascii="Times New Roman" w:eastAsia="Times New Roman" w:hAnsi="Times New Roman" w:cs="Times New Roman"/>
                <w:color w:val="000000" w:themeColor="text1"/>
                <w:sz w:val="20"/>
                <w:szCs w:val="20"/>
                <w:lang w:val="es-ES_tradnl"/>
              </w:rPr>
              <w:t>El MPD</w:t>
            </w:r>
            <w:r w:rsidRPr="002A5882">
              <w:rPr>
                <w:rFonts w:ascii="Times New Roman" w:eastAsia="Times New Roman" w:hAnsi="Times New Roman" w:cs="Times New Roman"/>
                <w:color w:val="000000" w:themeColor="text1"/>
                <w:sz w:val="20"/>
                <w:szCs w:val="20"/>
                <w:lang w:val="es-ES_tradnl"/>
              </w:rPr>
              <w:t xml:space="preserve"> </w:t>
            </w:r>
            <w:r w:rsidR="00B32DE0" w:rsidRPr="002A5882">
              <w:rPr>
                <w:rFonts w:ascii="Times New Roman" w:eastAsia="Times New Roman" w:hAnsi="Times New Roman" w:cs="Times New Roman"/>
                <w:color w:val="000000" w:themeColor="text1"/>
                <w:sz w:val="20"/>
                <w:szCs w:val="20"/>
                <w:lang w:val="es-ES_tradnl"/>
              </w:rPr>
              <w:t>está en proceso de ajuste</w:t>
            </w:r>
            <w:r w:rsidRPr="002A5882">
              <w:rPr>
                <w:rFonts w:ascii="Times New Roman" w:eastAsia="Times New Roman" w:hAnsi="Times New Roman" w:cs="Times New Roman"/>
                <w:color w:val="000000" w:themeColor="text1"/>
                <w:sz w:val="20"/>
                <w:szCs w:val="20"/>
                <w:lang w:val="es-ES_tradnl"/>
              </w:rPr>
              <w:t xml:space="preserve"> de</w:t>
            </w:r>
            <w:r w:rsidR="00B32DE0" w:rsidRPr="002A5882">
              <w:rPr>
                <w:rFonts w:ascii="Times New Roman" w:eastAsia="Times New Roman" w:hAnsi="Times New Roman" w:cs="Times New Roman"/>
                <w:color w:val="000000" w:themeColor="text1"/>
                <w:sz w:val="20"/>
                <w:szCs w:val="20"/>
                <w:lang w:val="es-ES_tradnl"/>
              </w:rPr>
              <w:t xml:space="preserve"> las metodologías </w:t>
            </w:r>
            <w:r w:rsidR="008F1AE9" w:rsidRPr="002A5882">
              <w:rPr>
                <w:rFonts w:ascii="Times New Roman" w:eastAsia="Times New Roman" w:hAnsi="Times New Roman" w:cs="Times New Roman"/>
                <w:color w:val="000000" w:themeColor="text1"/>
                <w:sz w:val="20"/>
                <w:szCs w:val="20"/>
                <w:lang w:val="es-ES_tradnl"/>
              </w:rPr>
              <w:t>desarrolladas</w:t>
            </w:r>
            <w:r w:rsidR="00B32DE0" w:rsidRPr="002A5882">
              <w:rPr>
                <w:rFonts w:ascii="Times New Roman" w:eastAsia="Times New Roman" w:hAnsi="Times New Roman" w:cs="Times New Roman"/>
                <w:color w:val="000000" w:themeColor="text1"/>
                <w:sz w:val="20"/>
                <w:szCs w:val="20"/>
                <w:lang w:val="es-ES_tradnl"/>
              </w:rPr>
              <w:t xml:space="preserve"> para elaborar planes sectoriales en el marco del Sistema de Planificación Integral Estatal (SPIE). </w:t>
            </w:r>
            <w:r w:rsidR="008F1AE9" w:rsidRPr="002A5882">
              <w:rPr>
                <w:rFonts w:ascii="Times New Roman" w:eastAsia="Times New Roman" w:hAnsi="Times New Roman" w:cs="Times New Roman"/>
                <w:color w:val="000000" w:themeColor="text1"/>
                <w:sz w:val="20"/>
                <w:szCs w:val="20"/>
                <w:lang w:val="es-ES_tradnl"/>
              </w:rPr>
              <w:t>E</w:t>
            </w:r>
            <w:r w:rsidR="00B32DE0" w:rsidRPr="002A5882">
              <w:rPr>
                <w:rFonts w:ascii="Times New Roman" w:eastAsia="Times New Roman" w:hAnsi="Times New Roman" w:cs="Times New Roman"/>
                <w:color w:val="000000" w:themeColor="text1"/>
                <w:sz w:val="20"/>
                <w:szCs w:val="20"/>
                <w:lang w:val="es-ES_tradnl"/>
              </w:rPr>
              <w:t>l SPIE se encuentra en proceso de aprobación por lo cual no será posible realizar pruebas piloto en la gestión 2013.</w:t>
            </w:r>
          </w:p>
          <w:p w14:paraId="566DC523" w14:textId="77777777" w:rsidR="00B32DE0" w:rsidRPr="002A5882" w:rsidRDefault="00B32DE0" w:rsidP="00DC62A9">
            <w:pPr>
              <w:spacing w:after="200" w:line="276" w:lineRule="auto"/>
              <w:jc w:val="both"/>
              <w:rPr>
                <w:rFonts w:ascii="Times New Roman" w:eastAsia="Times New Roman" w:hAnsi="Times New Roman" w:cs="Times New Roman"/>
                <w:color w:val="000000" w:themeColor="text1"/>
                <w:sz w:val="20"/>
                <w:szCs w:val="20"/>
                <w:lang w:val="es-ES_tradnl"/>
              </w:rPr>
            </w:pPr>
          </w:p>
          <w:p w14:paraId="4C30AF66" w14:textId="77777777" w:rsidR="00B32DE0" w:rsidRPr="002A5882" w:rsidRDefault="008F1AE9" w:rsidP="000C1814">
            <w:pPr>
              <w:pStyle w:val="Paragraph"/>
              <w:numPr>
                <w:ilvl w:val="0"/>
                <w:numId w:val="0"/>
              </w:numPr>
              <w:spacing w:before="20" w:after="20"/>
              <w:rPr>
                <w:color w:val="000000" w:themeColor="text1"/>
                <w:sz w:val="20"/>
              </w:rPr>
            </w:pPr>
            <w:r w:rsidRPr="002A5882">
              <w:rPr>
                <w:color w:val="000000" w:themeColor="text1"/>
                <w:sz w:val="20"/>
              </w:rPr>
              <w:t>Por ello, s</w:t>
            </w:r>
            <w:r w:rsidR="00B32DE0" w:rsidRPr="002A5882">
              <w:rPr>
                <w:color w:val="000000" w:themeColor="text1"/>
                <w:sz w:val="20"/>
              </w:rPr>
              <w:t xml:space="preserve">e incorporaron dos </w:t>
            </w:r>
            <w:r w:rsidR="000C1814" w:rsidRPr="002A5882">
              <w:rPr>
                <w:color w:val="000000" w:themeColor="text1"/>
                <w:sz w:val="20"/>
              </w:rPr>
              <w:t>medidas</w:t>
            </w:r>
            <w:r w:rsidR="00B32DE0" w:rsidRPr="002A5882">
              <w:rPr>
                <w:color w:val="000000" w:themeColor="text1"/>
                <w:sz w:val="20"/>
              </w:rPr>
              <w:t xml:space="preserve"> que buscan mejorar la metodología de formulación presupuestaria mediante directrices presupuestarias para la gestión 2014 que integran los objetivos de gestión institucional e incorporan </w:t>
            </w:r>
            <w:r w:rsidR="00B32DE0" w:rsidRPr="002A5882">
              <w:rPr>
                <w:color w:val="000000" w:themeColor="text1"/>
                <w:spacing w:val="-2"/>
                <w:sz w:val="20"/>
              </w:rPr>
              <w:t>lineamientos y procedimientos relativos a la inversión pública.</w:t>
            </w:r>
          </w:p>
        </w:tc>
      </w:tr>
      <w:tr w:rsidR="00B32DE0" w:rsidRPr="009370F6" w14:paraId="05FF2658" w14:textId="77777777" w:rsidTr="004A12C5">
        <w:tc>
          <w:tcPr>
            <w:tcW w:w="3064" w:type="dxa"/>
            <w:vMerge w:val="restart"/>
          </w:tcPr>
          <w:p w14:paraId="759DC6D6" w14:textId="77777777" w:rsidR="00B32DE0" w:rsidRPr="004A12C5" w:rsidRDefault="00B32DE0" w:rsidP="00DC62A9">
            <w:pPr>
              <w:spacing w:after="200" w:line="276" w:lineRule="auto"/>
              <w:jc w:val="both"/>
              <w:rPr>
                <w:rFonts w:ascii="Times New Roman" w:hAnsi="Times New Roman" w:cs="Times New Roman"/>
                <w:b/>
                <w:color w:val="000000" w:themeColor="text1"/>
                <w:sz w:val="20"/>
                <w:szCs w:val="20"/>
                <w:lang w:val="es-BO"/>
              </w:rPr>
            </w:pPr>
            <w:r w:rsidRPr="002A5882">
              <w:rPr>
                <w:rFonts w:ascii="Times New Roman" w:hAnsi="Times New Roman" w:cs="Times New Roman"/>
                <w:b/>
                <w:color w:val="000000" w:themeColor="text1"/>
                <w:sz w:val="20"/>
                <w:szCs w:val="20"/>
                <w:lang w:val="es-BO"/>
              </w:rPr>
              <w:t xml:space="preserve">Componente 3. Política de </w:t>
            </w:r>
            <w:r w:rsidRPr="002A5882">
              <w:rPr>
                <w:rFonts w:ascii="Times New Roman" w:hAnsi="Times New Roman" w:cs="Times New Roman"/>
                <w:b/>
                <w:color w:val="000000" w:themeColor="text1"/>
                <w:sz w:val="20"/>
                <w:szCs w:val="20"/>
                <w:lang w:val="es-BO"/>
              </w:rPr>
              <w:lastRenderedPageBreak/>
              <w:t xml:space="preserve">integración de sistemas de gestión fiscal en la Administración Central y los Gobiernos Subnacionales: </w:t>
            </w:r>
            <w:r w:rsidRPr="002A5882">
              <w:rPr>
                <w:rFonts w:ascii="Times New Roman" w:hAnsi="Times New Roman" w:cs="Times New Roman"/>
                <w:color w:val="000000" w:themeColor="text1"/>
                <w:sz w:val="20"/>
                <w:szCs w:val="20"/>
                <w:lang w:val="es-BO"/>
              </w:rPr>
              <w:t>Consolidar en la Administración Central y expandir el sistema de administración financiera en los entes subnacionales.</w:t>
            </w:r>
          </w:p>
        </w:tc>
        <w:tc>
          <w:tcPr>
            <w:tcW w:w="2922" w:type="dxa"/>
          </w:tcPr>
          <w:p w14:paraId="40E1EB31" w14:textId="77777777" w:rsidR="00B32DE0" w:rsidRPr="002A5882" w:rsidRDefault="00B32DE0" w:rsidP="00DC62A9">
            <w:pPr>
              <w:spacing w:after="200" w:line="276" w:lineRule="auto"/>
              <w:jc w:val="both"/>
              <w:rPr>
                <w:rFonts w:ascii="Times New Roman" w:hAnsi="Times New Roman" w:cs="Times New Roman"/>
                <w:sz w:val="20"/>
                <w:szCs w:val="20"/>
                <w:lang w:val="es-MX"/>
              </w:rPr>
            </w:pPr>
            <w:r w:rsidRPr="009F7E83">
              <w:rPr>
                <w:rFonts w:ascii="Times New Roman" w:hAnsi="Times New Roman" w:cs="Times New Roman"/>
                <w:sz w:val="20"/>
                <w:szCs w:val="20"/>
                <w:lang w:val="es-MX"/>
              </w:rPr>
              <w:lastRenderedPageBreak/>
              <w:t xml:space="preserve">(3.1) </w:t>
            </w:r>
            <w:r w:rsidRPr="009F7E83">
              <w:rPr>
                <w:rFonts w:ascii="Times New Roman" w:hAnsi="Times New Roman" w:cs="Times New Roman"/>
                <w:color w:val="000000" w:themeColor="text1"/>
                <w:sz w:val="20"/>
                <w:szCs w:val="20"/>
                <w:lang w:val="es-ES_tradnl"/>
              </w:rPr>
              <w:t xml:space="preserve">SIGMA-Web implantado y </w:t>
            </w:r>
            <w:r w:rsidRPr="009F7E83">
              <w:rPr>
                <w:rFonts w:ascii="Times New Roman" w:hAnsi="Times New Roman" w:cs="Times New Roman"/>
                <w:color w:val="000000" w:themeColor="text1"/>
                <w:sz w:val="20"/>
                <w:szCs w:val="20"/>
                <w:lang w:val="es-ES_tradnl"/>
              </w:rPr>
              <w:lastRenderedPageBreak/>
              <w:t>operando con los módulos de presupuesto, tesorería y contabilidad en toda la AC y 15 ESN.</w:t>
            </w:r>
          </w:p>
        </w:tc>
        <w:tc>
          <w:tcPr>
            <w:tcW w:w="3687" w:type="dxa"/>
          </w:tcPr>
          <w:p w14:paraId="36089357" w14:textId="77777777" w:rsidR="00B32DE0" w:rsidRPr="002A5882" w:rsidRDefault="00B32DE0" w:rsidP="00DC62A9">
            <w:pPr>
              <w:keepNext/>
              <w:spacing w:beforeLines="20" w:before="48" w:afterLines="20" w:after="48" w:line="276" w:lineRule="auto"/>
              <w:jc w:val="both"/>
              <w:rPr>
                <w:rFonts w:ascii="Times New Roman" w:hAnsi="Times New Roman" w:cs="Times New Roman"/>
                <w:color w:val="000000" w:themeColor="text1"/>
                <w:sz w:val="20"/>
                <w:szCs w:val="20"/>
                <w:lang w:val="es-ES_tradnl"/>
              </w:rPr>
            </w:pPr>
            <w:r w:rsidRPr="002A5882">
              <w:rPr>
                <w:rFonts w:ascii="Times New Roman" w:hAnsi="Times New Roman" w:cs="Times New Roman"/>
                <w:sz w:val="20"/>
                <w:szCs w:val="20"/>
                <w:lang w:val="es-MX"/>
              </w:rPr>
              <w:lastRenderedPageBreak/>
              <w:t xml:space="preserve">(3.1) </w:t>
            </w:r>
            <w:r w:rsidRPr="002A5882">
              <w:rPr>
                <w:rFonts w:ascii="Times New Roman" w:hAnsi="Times New Roman" w:cs="Times New Roman"/>
                <w:color w:val="000000" w:themeColor="text1"/>
                <w:sz w:val="20"/>
                <w:szCs w:val="20"/>
                <w:lang w:val="es-ES_tradnl"/>
              </w:rPr>
              <w:t xml:space="preserve">Avance en la política de expansión de </w:t>
            </w:r>
            <w:r w:rsidRPr="002A5882">
              <w:rPr>
                <w:rFonts w:ascii="Times New Roman" w:hAnsi="Times New Roman" w:cs="Times New Roman"/>
                <w:color w:val="000000" w:themeColor="text1"/>
                <w:sz w:val="20"/>
                <w:szCs w:val="20"/>
                <w:lang w:val="es-ES_tradnl"/>
              </w:rPr>
              <w:lastRenderedPageBreak/>
              <w:t>la cobertura de los sistemas de gestión fiscal:</w:t>
            </w:r>
          </w:p>
          <w:p w14:paraId="02093099" w14:textId="77777777" w:rsidR="00B32DE0" w:rsidRDefault="00B32DE0" w:rsidP="005B23BA">
            <w:pPr>
              <w:pStyle w:val="ListParagraph"/>
              <w:keepNext/>
              <w:numPr>
                <w:ilvl w:val="0"/>
                <w:numId w:val="3"/>
              </w:numPr>
              <w:ind w:left="130" w:hanging="173"/>
              <w:contextualSpacing w:val="0"/>
              <w:jc w:val="both"/>
              <w:rPr>
                <w:rFonts w:ascii="Times New Roman" w:hAnsi="Times New Roman" w:cs="Times New Roman"/>
                <w:color w:val="000000" w:themeColor="text1"/>
                <w:sz w:val="20"/>
                <w:szCs w:val="20"/>
                <w:lang w:val="es-ES_tradnl"/>
              </w:rPr>
            </w:pPr>
            <w:r w:rsidRPr="002A5882">
              <w:rPr>
                <w:rFonts w:ascii="Times New Roman" w:hAnsi="Times New Roman" w:cs="Times New Roman"/>
                <w:color w:val="000000" w:themeColor="text1"/>
                <w:sz w:val="20"/>
                <w:szCs w:val="20"/>
                <w:lang w:val="es-ES_tradnl"/>
              </w:rPr>
              <w:t>SIGEP en línea implantado y operando con los módulos de presupuesto, tesorería y contabilidad en 110 entidades sub nacionales.</w:t>
            </w:r>
          </w:p>
          <w:p w14:paraId="359A15B4" w14:textId="77777777" w:rsidR="00AE68AF" w:rsidRPr="002A5882" w:rsidRDefault="00AE68AF" w:rsidP="005B23BA">
            <w:pPr>
              <w:pStyle w:val="ListParagraph"/>
              <w:keepNext/>
              <w:ind w:left="130"/>
              <w:contextualSpacing w:val="0"/>
              <w:jc w:val="both"/>
              <w:rPr>
                <w:rFonts w:ascii="Times New Roman" w:hAnsi="Times New Roman" w:cs="Times New Roman"/>
                <w:color w:val="000000" w:themeColor="text1"/>
                <w:sz w:val="20"/>
                <w:szCs w:val="20"/>
                <w:lang w:val="es-ES_tradnl"/>
              </w:rPr>
            </w:pPr>
          </w:p>
          <w:p w14:paraId="733F761A" w14:textId="77777777" w:rsidR="00B32DE0" w:rsidRPr="002A5882" w:rsidRDefault="00B32DE0" w:rsidP="005B23BA">
            <w:pPr>
              <w:pStyle w:val="ListParagraph"/>
              <w:keepNext/>
              <w:numPr>
                <w:ilvl w:val="0"/>
                <w:numId w:val="3"/>
              </w:numPr>
              <w:ind w:left="130" w:hanging="173"/>
              <w:contextualSpacing w:val="0"/>
              <w:jc w:val="both"/>
              <w:rPr>
                <w:rFonts w:ascii="Times New Roman" w:hAnsi="Times New Roman" w:cs="Times New Roman"/>
                <w:color w:val="000000" w:themeColor="text1"/>
                <w:sz w:val="20"/>
                <w:szCs w:val="20"/>
                <w:lang w:val="es-ES_tradnl"/>
              </w:rPr>
            </w:pPr>
            <w:r w:rsidRPr="002A5882">
              <w:rPr>
                <w:rFonts w:ascii="Times New Roman" w:hAnsi="Times New Roman" w:cs="Times New Roman"/>
                <w:color w:val="000000" w:themeColor="text1"/>
                <w:sz w:val="20"/>
                <w:szCs w:val="20"/>
                <w:lang w:val="es-ES_tradnl"/>
              </w:rPr>
              <w:t>SIGEP móvil implantado y operando en 150 entidades sub nacionales.</w:t>
            </w:r>
          </w:p>
          <w:p w14:paraId="64A2C0E0" w14:textId="77777777" w:rsidR="00B32DE0" w:rsidRPr="002A5882" w:rsidRDefault="00B32DE0" w:rsidP="00DC62A9">
            <w:pPr>
              <w:spacing w:after="200" w:line="276" w:lineRule="auto"/>
              <w:jc w:val="both"/>
              <w:rPr>
                <w:rFonts w:ascii="Times New Roman" w:hAnsi="Times New Roman" w:cs="Times New Roman"/>
                <w:sz w:val="20"/>
                <w:szCs w:val="20"/>
                <w:lang w:val="es-ES_tradnl"/>
              </w:rPr>
            </w:pPr>
          </w:p>
        </w:tc>
        <w:tc>
          <w:tcPr>
            <w:tcW w:w="3517" w:type="dxa"/>
          </w:tcPr>
          <w:p w14:paraId="52CE2DC3" w14:textId="77777777" w:rsidR="00B32DE0" w:rsidRDefault="008F1AE9" w:rsidP="00DC62A9">
            <w:pPr>
              <w:keepNext/>
              <w:spacing w:beforeLines="20" w:before="48" w:afterLines="20" w:after="48" w:line="276" w:lineRule="auto"/>
              <w:jc w:val="both"/>
              <w:rPr>
                <w:rFonts w:ascii="Times New Roman" w:hAnsi="Times New Roman" w:cs="Times New Roman"/>
                <w:sz w:val="20"/>
                <w:szCs w:val="20"/>
                <w:lang w:val="es-MX"/>
              </w:rPr>
            </w:pPr>
            <w:r w:rsidRPr="002A5882">
              <w:rPr>
                <w:rFonts w:ascii="Times New Roman" w:hAnsi="Times New Roman" w:cs="Times New Roman"/>
                <w:sz w:val="20"/>
                <w:szCs w:val="20"/>
                <w:lang w:val="es-MX"/>
              </w:rPr>
              <w:lastRenderedPageBreak/>
              <w:t>Se modificó</w:t>
            </w:r>
            <w:r w:rsidR="00B32DE0" w:rsidRPr="002A5882">
              <w:rPr>
                <w:rFonts w:ascii="Times New Roman" w:hAnsi="Times New Roman" w:cs="Times New Roman"/>
                <w:sz w:val="20"/>
                <w:szCs w:val="20"/>
                <w:lang w:val="es-MX"/>
              </w:rPr>
              <w:t xml:space="preserve"> la medida debido a que </w:t>
            </w:r>
            <w:r w:rsidR="00B32DE0" w:rsidRPr="002A5882">
              <w:rPr>
                <w:rFonts w:ascii="Times New Roman" w:hAnsi="Times New Roman" w:cs="Times New Roman"/>
                <w:sz w:val="20"/>
                <w:szCs w:val="20"/>
                <w:lang w:val="es-MX"/>
              </w:rPr>
              <w:lastRenderedPageBreak/>
              <w:t xml:space="preserve">inicialmente se planteó la modernización del SIGMA mediante el llamado SIGMA-Web. Sin embargo, en 2011 el GBO avanzó con el diseño de un nuevo sistema, el Sistema de Gestión Pública (SIGEP), que tiene como objetivo proporcionar a todas las entidades públicas una única herramienta de gestión administrativa y financiera en línea, integrando en una sola plataforma sistemas que fueron desarrollados de forma aislada y sin interface con el sistema financiero. </w:t>
            </w:r>
          </w:p>
          <w:p w14:paraId="31B1691E" w14:textId="511594E0" w:rsidR="0005164C" w:rsidRPr="002A5882" w:rsidRDefault="0005164C" w:rsidP="00DC62A9">
            <w:pPr>
              <w:keepNext/>
              <w:spacing w:beforeLines="20" w:before="48" w:afterLines="20" w:after="48" w:line="276" w:lineRule="auto"/>
              <w:jc w:val="both"/>
              <w:rPr>
                <w:rFonts w:ascii="Times New Roman" w:hAnsi="Times New Roman" w:cs="Times New Roman"/>
                <w:color w:val="000000" w:themeColor="text1"/>
                <w:sz w:val="20"/>
                <w:szCs w:val="20"/>
                <w:lang w:val="es-BO"/>
              </w:rPr>
            </w:pPr>
            <w:r>
              <w:rPr>
                <w:rFonts w:ascii="Times New Roman" w:hAnsi="Times New Roman" w:cs="Times New Roman"/>
                <w:sz w:val="20"/>
                <w:szCs w:val="20"/>
                <w:lang w:val="es-MX"/>
              </w:rPr>
              <w:t xml:space="preserve">Dado que el SIGMA se encuentra </w:t>
            </w:r>
            <w:r w:rsidR="00F44E53">
              <w:rPr>
                <w:rFonts w:ascii="Times New Roman" w:hAnsi="Times New Roman" w:cs="Times New Roman"/>
                <w:sz w:val="20"/>
                <w:szCs w:val="20"/>
                <w:lang w:val="es-MX"/>
              </w:rPr>
              <w:t>en operación</w:t>
            </w:r>
            <w:r>
              <w:rPr>
                <w:rFonts w:ascii="Times New Roman" w:hAnsi="Times New Roman" w:cs="Times New Roman"/>
                <w:sz w:val="20"/>
                <w:szCs w:val="20"/>
                <w:lang w:val="es-MX"/>
              </w:rPr>
              <w:t xml:space="preserve"> en las entidades de la AC</w:t>
            </w:r>
            <w:r w:rsidR="006E3C7B">
              <w:rPr>
                <w:rFonts w:ascii="Times New Roman" w:hAnsi="Times New Roman" w:cs="Times New Roman"/>
                <w:sz w:val="20"/>
                <w:szCs w:val="20"/>
                <w:lang w:val="es-MX"/>
              </w:rPr>
              <w:t xml:space="preserve"> y los gobiernos municipales de las capitales de departamento</w:t>
            </w:r>
            <w:r w:rsidR="00F44E53">
              <w:rPr>
                <w:rFonts w:ascii="Times New Roman" w:hAnsi="Times New Roman" w:cs="Times New Roman"/>
                <w:sz w:val="20"/>
                <w:szCs w:val="20"/>
                <w:lang w:val="es-MX"/>
              </w:rPr>
              <w:t>, permitiendo una adecuada gestión de la información fiscal</w:t>
            </w:r>
            <w:r w:rsidR="006E3C7B">
              <w:rPr>
                <w:rFonts w:ascii="Times New Roman" w:hAnsi="Times New Roman" w:cs="Times New Roman"/>
                <w:sz w:val="20"/>
                <w:szCs w:val="20"/>
                <w:lang w:val="es-MX"/>
              </w:rPr>
              <w:t>;</w:t>
            </w:r>
            <w:r>
              <w:rPr>
                <w:rFonts w:ascii="Times New Roman" w:hAnsi="Times New Roman" w:cs="Times New Roman"/>
                <w:sz w:val="20"/>
                <w:szCs w:val="20"/>
                <w:lang w:val="es-MX"/>
              </w:rPr>
              <w:t xml:space="preserve"> el GBO adoptó la estrategia de desarrollar e implementar, en primera instancia, </w:t>
            </w:r>
            <w:r w:rsidR="009370F6">
              <w:rPr>
                <w:rFonts w:ascii="Times New Roman" w:hAnsi="Times New Roman" w:cs="Times New Roman"/>
                <w:sz w:val="20"/>
                <w:szCs w:val="20"/>
                <w:lang w:val="es-MX"/>
              </w:rPr>
              <w:t>el SIGEP en todo el</w:t>
            </w:r>
            <w:r w:rsidR="006E3C7B">
              <w:rPr>
                <w:rFonts w:ascii="Times New Roman" w:hAnsi="Times New Roman" w:cs="Times New Roman"/>
                <w:sz w:val="20"/>
                <w:szCs w:val="20"/>
                <w:lang w:val="es-MX"/>
              </w:rPr>
              <w:t xml:space="preserve"> ámbito subnacional</w:t>
            </w:r>
            <w:r w:rsidR="006D0764">
              <w:rPr>
                <w:rFonts w:ascii="Times New Roman" w:hAnsi="Times New Roman" w:cs="Times New Roman"/>
                <w:sz w:val="20"/>
                <w:szCs w:val="20"/>
                <w:lang w:val="es-MX"/>
              </w:rPr>
              <w:t xml:space="preserve">. Logrado este propósito, el GBO pasará a desarrollar e implementar el SIGEP </w:t>
            </w:r>
            <w:r w:rsidR="00F44E53">
              <w:rPr>
                <w:rFonts w:ascii="Times New Roman" w:hAnsi="Times New Roman" w:cs="Times New Roman"/>
                <w:sz w:val="20"/>
                <w:szCs w:val="20"/>
                <w:lang w:val="es-MX"/>
              </w:rPr>
              <w:t>en la AC</w:t>
            </w:r>
            <w:r w:rsidR="006D0764">
              <w:rPr>
                <w:rFonts w:ascii="Times New Roman" w:hAnsi="Times New Roman" w:cs="Times New Roman"/>
                <w:sz w:val="20"/>
                <w:szCs w:val="20"/>
                <w:lang w:val="es-MX"/>
              </w:rPr>
              <w:t>, reemplazando al actual SIGMA.</w:t>
            </w:r>
            <w:r>
              <w:rPr>
                <w:rFonts w:ascii="Times New Roman" w:hAnsi="Times New Roman" w:cs="Times New Roman"/>
                <w:sz w:val="20"/>
                <w:szCs w:val="20"/>
                <w:lang w:val="es-MX"/>
              </w:rPr>
              <w:t xml:space="preserve"> </w:t>
            </w:r>
            <w:r w:rsidR="009370F6">
              <w:rPr>
                <w:rFonts w:ascii="Times New Roman" w:hAnsi="Times New Roman" w:cs="Times New Roman"/>
                <w:sz w:val="20"/>
                <w:szCs w:val="20"/>
                <w:lang w:val="es-MX"/>
              </w:rPr>
              <w:t>El gobierno de este modo comienza a implementar el sistema donde existe un vacío</w:t>
            </w:r>
            <w:r w:rsidR="00FA57D2">
              <w:rPr>
                <w:rFonts w:ascii="Times New Roman" w:hAnsi="Times New Roman" w:cs="Times New Roman"/>
                <w:sz w:val="20"/>
                <w:szCs w:val="20"/>
                <w:lang w:val="es-MX"/>
              </w:rPr>
              <w:t xml:space="preserve"> </w:t>
            </w:r>
            <w:r w:rsidR="009370F6">
              <w:rPr>
                <w:rFonts w:ascii="Times New Roman" w:hAnsi="Times New Roman" w:cs="Times New Roman"/>
                <w:sz w:val="20"/>
                <w:szCs w:val="20"/>
                <w:lang w:val="es-MX"/>
              </w:rPr>
              <w:t>de información y con ellos podrá alcanzar más rápidamente la meta de tener información de los tres niveles de gobierno.</w:t>
            </w:r>
          </w:p>
          <w:p w14:paraId="4ABE6A41" w14:textId="7E57CFB3" w:rsidR="008F1AE9" w:rsidRPr="002A5882" w:rsidRDefault="00F44E53" w:rsidP="00C50D6D">
            <w:pPr>
              <w:spacing w:after="200" w:line="276" w:lineRule="auto"/>
              <w:jc w:val="both"/>
              <w:rPr>
                <w:rFonts w:ascii="Times New Roman" w:hAnsi="Times New Roman" w:cs="Times New Roman"/>
                <w:sz w:val="20"/>
                <w:szCs w:val="20"/>
                <w:lang w:val="es-MX"/>
              </w:rPr>
            </w:pPr>
            <w:r>
              <w:rPr>
                <w:rFonts w:ascii="Times New Roman" w:hAnsi="Times New Roman" w:cs="Times New Roman"/>
                <w:color w:val="000000" w:themeColor="text1"/>
                <w:sz w:val="20"/>
                <w:szCs w:val="20"/>
                <w:lang w:val="es-BO"/>
              </w:rPr>
              <w:t xml:space="preserve">En este contexto, </w:t>
            </w:r>
            <w:r w:rsidR="00B32DE0" w:rsidRPr="002A5882">
              <w:rPr>
                <w:rFonts w:ascii="Times New Roman" w:hAnsi="Times New Roman" w:cs="Times New Roman"/>
                <w:color w:val="000000" w:themeColor="text1"/>
                <w:sz w:val="20"/>
                <w:szCs w:val="20"/>
                <w:lang w:val="es-BO"/>
              </w:rPr>
              <w:t xml:space="preserve">la meta propone la </w:t>
            </w:r>
            <w:r w:rsidR="00B32DE0" w:rsidRPr="002A5882">
              <w:rPr>
                <w:rFonts w:ascii="Times New Roman" w:hAnsi="Times New Roman" w:cs="Times New Roman"/>
                <w:color w:val="000000" w:themeColor="text1"/>
                <w:sz w:val="20"/>
                <w:szCs w:val="20"/>
                <w:lang w:val="es-BO"/>
              </w:rPr>
              <w:lastRenderedPageBreak/>
              <w:t xml:space="preserve">implantación del </w:t>
            </w:r>
            <w:r w:rsidR="00824BBD">
              <w:rPr>
                <w:rFonts w:ascii="Times New Roman" w:hAnsi="Times New Roman" w:cs="Times New Roman"/>
                <w:color w:val="000000" w:themeColor="text1"/>
                <w:sz w:val="20"/>
                <w:szCs w:val="20"/>
                <w:lang w:val="es-BO"/>
              </w:rPr>
              <w:t>SIGEP</w:t>
            </w:r>
            <w:r w:rsidR="00A81C4E" w:rsidRPr="002A5882">
              <w:rPr>
                <w:rFonts w:ascii="Times New Roman" w:hAnsi="Times New Roman" w:cs="Times New Roman"/>
                <w:color w:val="000000" w:themeColor="text1"/>
                <w:sz w:val="20"/>
                <w:szCs w:val="20"/>
                <w:lang w:val="es-BO"/>
              </w:rPr>
              <w:t xml:space="preserve"> para contar </w:t>
            </w:r>
            <w:r w:rsidR="00B32DE0" w:rsidRPr="002A5882">
              <w:rPr>
                <w:rFonts w:ascii="Times New Roman" w:hAnsi="Times New Roman" w:cs="Times New Roman"/>
                <w:color w:val="000000" w:themeColor="text1"/>
                <w:sz w:val="20"/>
                <w:szCs w:val="20"/>
                <w:lang w:val="es-BO"/>
              </w:rPr>
              <w:t>con una mayor cobertura de sistemas transaccionales en línea.</w:t>
            </w:r>
            <w:r w:rsidR="0005164C">
              <w:rPr>
                <w:rFonts w:ascii="Times New Roman" w:hAnsi="Times New Roman" w:cs="Times New Roman"/>
                <w:color w:val="000000" w:themeColor="text1"/>
                <w:sz w:val="20"/>
                <w:szCs w:val="20"/>
                <w:lang w:val="es-BO"/>
              </w:rPr>
              <w:t xml:space="preserve"> </w:t>
            </w:r>
          </w:p>
        </w:tc>
      </w:tr>
      <w:tr w:rsidR="00B32DE0" w:rsidRPr="009370F6" w14:paraId="56CDA478" w14:textId="77777777" w:rsidTr="004A12C5">
        <w:tc>
          <w:tcPr>
            <w:tcW w:w="3064" w:type="dxa"/>
            <w:vMerge/>
          </w:tcPr>
          <w:p w14:paraId="286EB292" w14:textId="77777777" w:rsidR="00B32DE0" w:rsidRPr="002A5882" w:rsidRDefault="00B32DE0" w:rsidP="00DC62A9">
            <w:pPr>
              <w:spacing w:after="200" w:line="276" w:lineRule="auto"/>
              <w:jc w:val="both"/>
              <w:rPr>
                <w:rFonts w:ascii="Times New Roman" w:hAnsi="Times New Roman" w:cs="Times New Roman"/>
                <w:sz w:val="20"/>
                <w:szCs w:val="20"/>
                <w:lang w:val="es-MX"/>
              </w:rPr>
            </w:pPr>
          </w:p>
        </w:tc>
        <w:tc>
          <w:tcPr>
            <w:tcW w:w="2922" w:type="dxa"/>
          </w:tcPr>
          <w:p w14:paraId="39C55226" w14:textId="77777777" w:rsidR="00B32DE0" w:rsidRPr="002A5882" w:rsidRDefault="00B32DE0" w:rsidP="00DC62A9">
            <w:pPr>
              <w:pStyle w:val="Paragraph"/>
              <w:numPr>
                <w:ilvl w:val="0"/>
                <w:numId w:val="0"/>
              </w:numPr>
              <w:spacing w:before="20" w:after="20"/>
              <w:rPr>
                <w:color w:val="000000" w:themeColor="text1"/>
                <w:sz w:val="20"/>
              </w:rPr>
            </w:pPr>
            <w:r w:rsidRPr="002A5882">
              <w:rPr>
                <w:sz w:val="20"/>
                <w:lang w:val="es-MX"/>
              </w:rPr>
              <w:t xml:space="preserve">(3.2) </w:t>
            </w:r>
            <w:r w:rsidRPr="002A5882">
              <w:rPr>
                <w:color w:val="000000" w:themeColor="text1"/>
                <w:sz w:val="20"/>
              </w:rPr>
              <w:t>Administración fiscal gestionada mediante el SIGMA y sistemas de administración fiscal autorizados por el MEFP y que utilizan formatos estandarizados para el envío de información al SIGMA.</w:t>
            </w:r>
          </w:p>
          <w:p w14:paraId="61ED3DBD" w14:textId="77777777" w:rsidR="00B32DE0" w:rsidRPr="002A5882" w:rsidRDefault="00B32DE0" w:rsidP="00DC62A9">
            <w:pPr>
              <w:spacing w:after="200" w:line="276" w:lineRule="auto"/>
              <w:jc w:val="both"/>
              <w:rPr>
                <w:rFonts w:ascii="Times New Roman" w:hAnsi="Times New Roman" w:cs="Times New Roman"/>
                <w:sz w:val="20"/>
                <w:szCs w:val="20"/>
                <w:lang w:val="es-ES_tradnl"/>
              </w:rPr>
            </w:pPr>
          </w:p>
        </w:tc>
        <w:tc>
          <w:tcPr>
            <w:tcW w:w="3687" w:type="dxa"/>
          </w:tcPr>
          <w:p w14:paraId="656675DE" w14:textId="35BD4175" w:rsidR="00B32DE0" w:rsidRPr="002A5882" w:rsidRDefault="00B32DE0" w:rsidP="00DC62A9">
            <w:pPr>
              <w:keepNext/>
              <w:spacing w:beforeLines="20" w:before="48" w:afterLines="20" w:after="48" w:line="276" w:lineRule="auto"/>
              <w:jc w:val="both"/>
              <w:rPr>
                <w:rFonts w:ascii="Times New Roman" w:hAnsi="Times New Roman" w:cs="Times New Roman"/>
                <w:color w:val="000000" w:themeColor="text1"/>
                <w:sz w:val="20"/>
                <w:szCs w:val="20"/>
                <w:lang w:val="es-ES_tradnl"/>
              </w:rPr>
            </w:pPr>
            <w:r w:rsidRPr="002A5882">
              <w:rPr>
                <w:rFonts w:ascii="Times New Roman" w:hAnsi="Times New Roman" w:cs="Times New Roman"/>
                <w:sz w:val="20"/>
                <w:szCs w:val="20"/>
                <w:lang w:val="es-MX"/>
              </w:rPr>
              <w:t xml:space="preserve">(3.2) </w:t>
            </w:r>
            <w:r w:rsidRPr="002A5882">
              <w:rPr>
                <w:rFonts w:ascii="Times New Roman" w:hAnsi="Times New Roman" w:cs="Times New Roman"/>
                <w:color w:val="000000" w:themeColor="text1"/>
                <w:sz w:val="20"/>
                <w:szCs w:val="20"/>
                <w:lang w:val="es-ES_tradnl"/>
              </w:rPr>
              <w:t>Consolidación de la política de estandarización y centralización de la</w:t>
            </w:r>
            <w:r w:rsidR="00FA57D2">
              <w:rPr>
                <w:rFonts w:ascii="Times New Roman" w:hAnsi="Times New Roman" w:cs="Times New Roman"/>
                <w:color w:val="000000" w:themeColor="text1"/>
                <w:sz w:val="20"/>
                <w:szCs w:val="20"/>
                <w:lang w:val="es-ES_tradnl"/>
              </w:rPr>
              <w:t xml:space="preserve"> </w:t>
            </w:r>
            <w:r w:rsidRPr="002A5882">
              <w:rPr>
                <w:rFonts w:ascii="Times New Roman" w:hAnsi="Times New Roman" w:cs="Times New Roman"/>
                <w:color w:val="000000" w:themeColor="text1"/>
                <w:sz w:val="20"/>
                <w:szCs w:val="20"/>
                <w:lang w:val="es-ES_tradnl"/>
              </w:rPr>
              <w:t>información fiscal de la administración pública central y subnacional, mediante el uso de formatos estandarizados para el envío de información al MEFP.</w:t>
            </w:r>
          </w:p>
          <w:p w14:paraId="26C4A94E" w14:textId="77777777" w:rsidR="00B32DE0" w:rsidRPr="002A5882" w:rsidRDefault="00B32DE0" w:rsidP="00DC62A9">
            <w:pPr>
              <w:keepNext/>
              <w:spacing w:beforeLines="20" w:before="48" w:afterLines="20" w:after="48" w:line="276" w:lineRule="auto"/>
              <w:jc w:val="both"/>
              <w:rPr>
                <w:rFonts w:ascii="Times New Roman" w:hAnsi="Times New Roman" w:cs="Times New Roman"/>
                <w:color w:val="000000" w:themeColor="text1"/>
                <w:sz w:val="20"/>
                <w:szCs w:val="20"/>
                <w:lang w:val="es-ES_tradnl"/>
              </w:rPr>
            </w:pPr>
          </w:p>
          <w:p w14:paraId="619FDF23" w14:textId="3884F23B" w:rsidR="00B32DE0" w:rsidRPr="002A5882" w:rsidRDefault="00B32DE0" w:rsidP="00DC62A9">
            <w:pPr>
              <w:spacing w:after="200" w:line="276" w:lineRule="auto"/>
              <w:jc w:val="both"/>
              <w:rPr>
                <w:rFonts w:ascii="Times New Roman" w:hAnsi="Times New Roman" w:cs="Times New Roman"/>
                <w:sz w:val="20"/>
                <w:szCs w:val="20"/>
                <w:lang w:val="es-BO"/>
              </w:rPr>
            </w:pPr>
            <w:r w:rsidRPr="002A5882">
              <w:rPr>
                <w:rFonts w:ascii="Times New Roman" w:hAnsi="Times New Roman" w:cs="Times New Roman"/>
                <w:color w:val="000000" w:themeColor="text1"/>
                <w:sz w:val="20"/>
                <w:szCs w:val="20"/>
                <w:lang w:val="es-ES_tradnl"/>
              </w:rPr>
              <w:t>(3.3) Avance de la política de intercambio de información, en cumplimiento de la Resolución Biministerial 002 de 19 de agosto de 2011,</w:t>
            </w:r>
            <w:r w:rsidR="00FA57D2">
              <w:rPr>
                <w:rFonts w:ascii="Times New Roman" w:hAnsi="Times New Roman" w:cs="Times New Roman"/>
                <w:color w:val="000000" w:themeColor="text1"/>
                <w:sz w:val="20"/>
                <w:szCs w:val="20"/>
                <w:lang w:val="es-ES_tradnl"/>
              </w:rPr>
              <w:t xml:space="preserve"> </w:t>
            </w:r>
            <w:r w:rsidRPr="002A5882">
              <w:rPr>
                <w:rFonts w:ascii="Times New Roman" w:hAnsi="Times New Roman" w:cs="Times New Roman"/>
                <w:color w:val="000000" w:themeColor="text1"/>
                <w:sz w:val="20"/>
                <w:szCs w:val="20"/>
                <w:lang w:val="es-ES_tradnl"/>
              </w:rPr>
              <w:t>mediante la definición de protocolos de intercambio automático de información entre el SISIN y SIGEP.</w:t>
            </w:r>
          </w:p>
        </w:tc>
        <w:tc>
          <w:tcPr>
            <w:tcW w:w="3517" w:type="dxa"/>
          </w:tcPr>
          <w:p w14:paraId="4D403EB2" w14:textId="77777777" w:rsidR="00B32DE0" w:rsidRPr="002A5882" w:rsidRDefault="00B32DE0" w:rsidP="00DC62A9">
            <w:pPr>
              <w:spacing w:after="200" w:line="276" w:lineRule="auto"/>
              <w:jc w:val="both"/>
              <w:rPr>
                <w:rFonts w:ascii="Times New Roman" w:hAnsi="Times New Roman" w:cs="Times New Roman"/>
                <w:color w:val="000000" w:themeColor="text1"/>
                <w:sz w:val="20"/>
                <w:szCs w:val="20"/>
                <w:lang w:val="es-ES_tradnl"/>
              </w:rPr>
            </w:pPr>
            <w:r w:rsidRPr="002A5882">
              <w:rPr>
                <w:rFonts w:ascii="Times New Roman" w:hAnsi="Times New Roman" w:cs="Times New Roman"/>
                <w:sz w:val="20"/>
                <w:szCs w:val="20"/>
                <w:lang w:val="es-MX"/>
              </w:rPr>
              <w:t>Se mejoró la redacción. Se actualizó la meta para reflejar el avance de la política de estandarización y centralización de la in</w:t>
            </w:r>
            <w:r w:rsidR="00A81C4E" w:rsidRPr="002A5882">
              <w:rPr>
                <w:rFonts w:ascii="Times New Roman" w:hAnsi="Times New Roman" w:cs="Times New Roman"/>
                <w:sz w:val="20"/>
                <w:szCs w:val="20"/>
                <w:lang w:val="es-MX"/>
              </w:rPr>
              <w:t xml:space="preserve">formación fiscal, consolidando </w:t>
            </w:r>
            <w:r w:rsidRPr="002A5882">
              <w:rPr>
                <w:rFonts w:ascii="Times New Roman" w:hAnsi="Times New Roman" w:cs="Times New Roman"/>
                <w:color w:val="000000" w:themeColor="text1"/>
                <w:sz w:val="20"/>
                <w:szCs w:val="20"/>
                <w:lang w:val="es-ES_tradnl"/>
              </w:rPr>
              <w:t>el uso de formatos estandarizados para el envío de información al MEFP en entidades que aún no cuentan con SIGEP.</w:t>
            </w:r>
          </w:p>
          <w:p w14:paraId="34B20B9B" w14:textId="5F4D9B45" w:rsidR="00B32DE0" w:rsidRPr="002A5882" w:rsidRDefault="00B32DE0" w:rsidP="00DC62A9">
            <w:pPr>
              <w:spacing w:after="200" w:line="276" w:lineRule="auto"/>
              <w:jc w:val="both"/>
              <w:rPr>
                <w:rFonts w:ascii="Times New Roman" w:hAnsi="Times New Roman" w:cs="Times New Roman"/>
                <w:color w:val="000000" w:themeColor="text1"/>
                <w:sz w:val="20"/>
                <w:szCs w:val="20"/>
                <w:lang w:val="es-ES_tradnl"/>
              </w:rPr>
            </w:pPr>
            <w:r w:rsidRPr="002A5882">
              <w:rPr>
                <w:rFonts w:ascii="Times New Roman" w:hAnsi="Times New Roman" w:cs="Times New Roman"/>
                <w:color w:val="000000" w:themeColor="text1"/>
                <w:sz w:val="20"/>
                <w:szCs w:val="20"/>
                <w:lang w:val="es-ES_tradnl"/>
              </w:rPr>
              <w:t>Se incorpora una meta relativa al intercambio automático de información</w:t>
            </w:r>
            <w:r w:rsidR="00FA57D2">
              <w:rPr>
                <w:rFonts w:ascii="Times New Roman" w:hAnsi="Times New Roman" w:cs="Times New Roman"/>
                <w:color w:val="000000" w:themeColor="text1"/>
                <w:sz w:val="20"/>
                <w:szCs w:val="20"/>
                <w:lang w:val="es-ES_tradnl"/>
              </w:rPr>
              <w:t xml:space="preserve"> </w:t>
            </w:r>
            <w:r w:rsidRPr="002A5882">
              <w:rPr>
                <w:rFonts w:ascii="Times New Roman" w:hAnsi="Times New Roman" w:cs="Times New Roman"/>
                <w:color w:val="000000" w:themeColor="text1"/>
                <w:sz w:val="20"/>
                <w:szCs w:val="20"/>
                <w:lang w:val="es-ES_tradnl"/>
              </w:rPr>
              <w:t xml:space="preserve">entre el SISIN y el SIGEP para contribuir </w:t>
            </w:r>
            <w:r w:rsidRPr="002A5882">
              <w:rPr>
                <w:rFonts w:ascii="Times New Roman" w:hAnsi="Times New Roman" w:cs="Times New Roman"/>
                <w:sz w:val="20"/>
                <w:szCs w:val="20"/>
                <w:lang w:val="es-MX"/>
              </w:rPr>
              <w:t>al avance de la política de estandarización y centralización de la información fiscal.</w:t>
            </w:r>
          </w:p>
          <w:p w14:paraId="2D740417" w14:textId="77777777" w:rsidR="00B32DE0" w:rsidRPr="002A5882" w:rsidRDefault="00B32DE0" w:rsidP="00DC62A9">
            <w:pPr>
              <w:spacing w:after="200" w:line="276" w:lineRule="auto"/>
              <w:jc w:val="both"/>
              <w:rPr>
                <w:rFonts w:ascii="Times New Roman" w:hAnsi="Times New Roman" w:cs="Times New Roman"/>
                <w:sz w:val="20"/>
                <w:szCs w:val="20"/>
                <w:lang w:val="es-MX"/>
              </w:rPr>
            </w:pPr>
          </w:p>
        </w:tc>
      </w:tr>
      <w:tr w:rsidR="00B32DE0" w:rsidRPr="009370F6" w14:paraId="047CB3E1" w14:textId="77777777" w:rsidTr="004A12C5">
        <w:tc>
          <w:tcPr>
            <w:tcW w:w="3064" w:type="dxa"/>
            <w:vMerge/>
          </w:tcPr>
          <w:p w14:paraId="2A2B7FB0" w14:textId="77777777" w:rsidR="00B32DE0" w:rsidRPr="002A5882" w:rsidRDefault="00B32DE0" w:rsidP="00DC62A9">
            <w:pPr>
              <w:spacing w:after="200" w:line="276" w:lineRule="auto"/>
              <w:jc w:val="both"/>
              <w:rPr>
                <w:rFonts w:ascii="Times New Roman" w:hAnsi="Times New Roman" w:cs="Times New Roman"/>
                <w:sz w:val="20"/>
                <w:szCs w:val="20"/>
                <w:lang w:val="es-MX"/>
              </w:rPr>
            </w:pPr>
          </w:p>
        </w:tc>
        <w:tc>
          <w:tcPr>
            <w:tcW w:w="2922" w:type="dxa"/>
          </w:tcPr>
          <w:p w14:paraId="61CE5296" w14:textId="77777777" w:rsidR="00B32DE0" w:rsidRPr="002A5882" w:rsidRDefault="00B32DE0" w:rsidP="00DC62A9">
            <w:pPr>
              <w:pStyle w:val="Paragraph"/>
              <w:numPr>
                <w:ilvl w:val="0"/>
                <w:numId w:val="0"/>
              </w:numPr>
              <w:spacing w:before="20" w:after="20"/>
              <w:rPr>
                <w:color w:val="000000" w:themeColor="text1"/>
                <w:sz w:val="20"/>
              </w:rPr>
            </w:pPr>
            <w:r w:rsidRPr="002A5882">
              <w:rPr>
                <w:sz w:val="20"/>
                <w:lang w:val="es-MX"/>
              </w:rPr>
              <w:t xml:space="preserve">(3.3) </w:t>
            </w:r>
            <w:r w:rsidRPr="002A5882">
              <w:rPr>
                <w:color w:val="000000" w:themeColor="text1"/>
                <w:sz w:val="20"/>
              </w:rPr>
              <w:t>Interfaz SIGMA-Web – SAIDS implementada y operando.</w:t>
            </w:r>
          </w:p>
          <w:p w14:paraId="4343218E" w14:textId="77777777" w:rsidR="00A51BC9" w:rsidRPr="002A5882" w:rsidRDefault="00A51BC9" w:rsidP="00DC62A9">
            <w:pPr>
              <w:pStyle w:val="Paragraph"/>
              <w:numPr>
                <w:ilvl w:val="0"/>
                <w:numId w:val="0"/>
              </w:numPr>
              <w:spacing w:before="20" w:after="20"/>
              <w:rPr>
                <w:color w:val="000000" w:themeColor="text1"/>
                <w:sz w:val="20"/>
              </w:rPr>
            </w:pPr>
          </w:p>
          <w:p w14:paraId="016B0EFE" w14:textId="77777777" w:rsidR="00A51BC9" w:rsidRPr="002A5882" w:rsidRDefault="00A51BC9" w:rsidP="00A51BC9">
            <w:pPr>
              <w:pStyle w:val="Paragraph"/>
              <w:numPr>
                <w:ilvl w:val="0"/>
                <w:numId w:val="0"/>
              </w:numPr>
              <w:spacing w:before="20" w:after="20"/>
              <w:rPr>
                <w:color w:val="000000" w:themeColor="text1"/>
                <w:sz w:val="20"/>
              </w:rPr>
            </w:pPr>
            <w:r w:rsidRPr="002A5882">
              <w:rPr>
                <w:sz w:val="20"/>
                <w:lang w:val="es-MX"/>
              </w:rPr>
              <w:t xml:space="preserve">(3.4) </w:t>
            </w:r>
            <w:r w:rsidRPr="002A5882">
              <w:rPr>
                <w:color w:val="000000" w:themeColor="text1"/>
                <w:sz w:val="20"/>
              </w:rPr>
              <w:t>Módulos de contrataciones y personal integrados al SIGMA-Web.</w:t>
            </w:r>
          </w:p>
          <w:p w14:paraId="032AE7EA" w14:textId="77777777" w:rsidR="00B32DE0" w:rsidRPr="002A5882" w:rsidRDefault="00B32DE0" w:rsidP="00DC62A9">
            <w:pPr>
              <w:spacing w:after="200" w:line="276" w:lineRule="auto"/>
              <w:jc w:val="both"/>
              <w:rPr>
                <w:rFonts w:ascii="Times New Roman" w:hAnsi="Times New Roman" w:cs="Times New Roman"/>
                <w:sz w:val="20"/>
                <w:szCs w:val="20"/>
                <w:lang w:val="es-ES_tradnl"/>
              </w:rPr>
            </w:pPr>
          </w:p>
        </w:tc>
        <w:tc>
          <w:tcPr>
            <w:tcW w:w="3687" w:type="dxa"/>
          </w:tcPr>
          <w:p w14:paraId="200FB3FC" w14:textId="77777777" w:rsidR="00B32DE0" w:rsidRPr="002A5882" w:rsidRDefault="00B32DE0" w:rsidP="00DC62A9">
            <w:pPr>
              <w:pStyle w:val="Paragraph"/>
              <w:numPr>
                <w:ilvl w:val="0"/>
                <w:numId w:val="0"/>
              </w:numPr>
              <w:spacing w:before="20" w:after="20"/>
              <w:rPr>
                <w:color w:val="000000" w:themeColor="text1"/>
                <w:sz w:val="20"/>
              </w:rPr>
            </w:pPr>
            <w:r w:rsidRPr="002A5882">
              <w:rPr>
                <w:sz w:val="20"/>
                <w:lang w:val="es-MX"/>
              </w:rPr>
              <w:t xml:space="preserve">(3.4) </w:t>
            </w:r>
            <w:r w:rsidRPr="002A5882">
              <w:rPr>
                <w:color w:val="000000" w:themeColor="text1"/>
                <w:sz w:val="20"/>
              </w:rPr>
              <w:t>Plan de Acción para el desarrollo e implantación de los siguientes módulos del SIGEP que incluya recursos financieros y cronograma:</w:t>
            </w:r>
          </w:p>
          <w:p w14:paraId="15787D76" w14:textId="77777777" w:rsidR="00B32DE0" w:rsidRPr="002A5882" w:rsidRDefault="00B32DE0" w:rsidP="00DC62A9">
            <w:pPr>
              <w:pStyle w:val="Paragraph"/>
              <w:numPr>
                <w:ilvl w:val="0"/>
                <w:numId w:val="0"/>
              </w:numPr>
              <w:spacing w:before="20" w:after="20"/>
              <w:rPr>
                <w:color w:val="000000" w:themeColor="text1"/>
                <w:sz w:val="20"/>
              </w:rPr>
            </w:pPr>
          </w:p>
          <w:p w14:paraId="4A71D7D1" w14:textId="77777777" w:rsidR="00B32DE0" w:rsidRPr="007259A6" w:rsidRDefault="00B32DE0" w:rsidP="007259A6">
            <w:pPr>
              <w:pStyle w:val="ListParagraph"/>
              <w:numPr>
                <w:ilvl w:val="0"/>
                <w:numId w:val="4"/>
              </w:numPr>
              <w:spacing w:after="200" w:line="276" w:lineRule="auto"/>
              <w:ind w:left="393"/>
              <w:jc w:val="both"/>
              <w:rPr>
                <w:rFonts w:ascii="Times New Roman" w:hAnsi="Times New Roman" w:cs="Times New Roman"/>
                <w:sz w:val="20"/>
                <w:szCs w:val="20"/>
                <w:lang w:val="es-BO"/>
              </w:rPr>
            </w:pPr>
            <w:r w:rsidRPr="002A5882">
              <w:rPr>
                <w:rFonts w:ascii="Times New Roman" w:hAnsi="Times New Roman" w:cs="Times New Roman"/>
                <w:color w:val="000000" w:themeColor="text1"/>
                <w:sz w:val="20"/>
                <w:szCs w:val="20"/>
                <w:lang w:val="es-BO"/>
              </w:rPr>
              <w:t>Módulo web de administración de deuda para entidades subnacionales (SAIDS) integrado con el SIGEP.</w:t>
            </w:r>
          </w:p>
          <w:p w14:paraId="0C715B1C" w14:textId="77777777" w:rsidR="007259A6" w:rsidRPr="00037E16" w:rsidRDefault="007259A6" w:rsidP="007259A6">
            <w:pPr>
              <w:pStyle w:val="Paragraph"/>
              <w:numPr>
                <w:ilvl w:val="0"/>
                <w:numId w:val="4"/>
              </w:numPr>
              <w:spacing w:before="20" w:after="20"/>
              <w:ind w:left="393"/>
              <w:rPr>
                <w:color w:val="000000" w:themeColor="text1"/>
                <w:sz w:val="20"/>
              </w:rPr>
            </w:pPr>
            <w:r w:rsidRPr="00037E16">
              <w:rPr>
                <w:color w:val="000000" w:themeColor="text1"/>
                <w:sz w:val="20"/>
              </w:rPr>
              <w:t>Módulo de contrataciones electrónicas</w:t>
            </w:r>
            <w:r>
              <w:rPr>
                <w:color w:val="000000" w:themeColor="text1"/>
                <w:sz w:val="20"/>
              </w:rPr>
              <w:t>.</w:t>
            </w:r>
          </w:p>
          <w:p w14:paraId="73C10BCC" w14:textId="77777777" w:rsidR="007259A6" w:rsidRDefault="007259A6" w:rsidP="007259A6">
            <w:pPr>
              <w:pStyle w:val="Paragraph"/>
              <w:numPr>
                <w:ilvl w:val="0"/>
                <w:numId w:val="0"/>
              </w:numPr>
              <w:spacing w:before="20" w:after="20"/>
              <w:ind w:left="393"/>
              <w:rPr>
                <w:color w:val="000000" w:themeColor="text1"/>
                <w:sz w:val="20"/>
              </w:rPr>
            </w:pPr>
          </w:p>
          <w:p w14:paraId="4FEE8E04" w14:textId="77777777" w:rsidR="00A51BC9" w:rsidRPr="004A12C5" w:rsidRDefault="00A51BC9" w:rsidP="007259A6">
            <w:pPr>
              <w:pStyle w:val="Paragraph"/>
              <w:numPr>
                <w:ilvl w:val="0"/>
                <w:numId w:val="4"/>
              </w:numPr>
              <w:spacing w:before="20" w:after="20"/>
              <w:ind w:left="393"/>
              <w:rPr>
                <w:color w:val="000000" w:themeColor="text1"/>
                <w:sz w:val="20"/>
              </w:rPr>
            </w:pPr>
            <w:r w:rsidRPr="002A5882">
              <w:rPr>
                <w:color w:val="000000" w:themeColor="text1"/>
                <w:sz w:val="20"/>
              </w:rPr>
              <w:t xml:space="preserve">Módulo de </w:t>
            </w:r>
            <w:r w:rsidR="00AE68AF">
              <w:rPr>
                <w:color w:val="000000" w:themeColor="text1"/>
                <w:sz w:val="20"/>
              </w:rPr>
              <w:t>a</w:t>
            </w:r>
            <w:r w:rsidRPr="009F7E83">
              <w:rPr>
                <w:color w:val="000000" w:themeColor="text1"/>
                <w:sz w:val="20"/>
              </w:rPr>
              <w:t xml:space="preserve">dministración de </w:t>
            </w:r>
            <w:r w:rsidR="00AE68AF">
              <w:rPr>
                <w:color w:val="000000" w:themeColor="text1"/>
                <w:sz w:val="20"/>
              </w:rPr>
              <w:lastRenderedPageBreak/>
              <w:t>p</w:t>
            </w:r>
            <w:r w:rsidRPr="009F7E83">
              <w:rPr>
                <w:color w:val="000000" w:themeColor="text1"/>
                <w:sz w:val="20"/>
              </w:rPr>
              <w:t>ersonal</w:t>
            </w:r>
            <w:r w:rsidR="00AE68AF">
              <w:rPr>
                <w:color w:val="000000" w:themeColor="text1"/>
                <w:sz w:val="20"/>
              </w:rPr>
              <w:t>.</w:t>
            </w:r>
          </w:p>
          <w:p w14:paraId="0DCB0181" w14:textId="77777777" w:rsidR="00A51BC9" w:rsidRPr="009F7E83" w:rsidRDefault="00A51BC9" w:rsidP="007259A6">
            <w:pPr>
              <w:pStyle w:val="Paragraph"/>
              <w:numPr>
                <w:ilvl w:val="0"/>
                <w:numId w:val="0"/>
              </w:numPr>
              <w:spacing w:before="20" w:after="20"/>
              <w:ind w:left="393"/>
              <w:rPr>
                <w:color w:val="000000" w:themeColor="text1"/>
                <w:sz w:val="20"/>
              </w:rPr>
            </w:pPr>
          </w:p>
          <w:p w14:paraId="4005615E" w14:textId="77777777" w:rsidR="00A51BC9" w:rsidRPr="009F7E83" w:rsidRDefault="00A51BC9" w:rsidP="007259A6">
            <w:pPr>
              <w:pStyle w:val="Paragraph"/>
              <w:numPr>
                <w:ilvl w:val="0"/>
                <w:numId w:val="4"/>
              </w:numPr>
              <w:spacing w:before="20" w:after="20"/>
              <w:ind w:left="393"/>
              <w:rPr>
                <w:color w:val="000000" w:themeColor="text1"/>
                <w:sz w:val="20"/>
              </w:rPr>
            </w:pPr>
            <w:r w:rsidRPr="002A5882">
              <w:rPr>
                <w:color w:val="000000" w:themeColor="text1"/>
                <w:sz w:val="20"/>
              </w:rPr>
              <w:t>Módulo de administración de cuentas fiscales</w:t>
            </w:r>
            <w:r w:rsidR="00AE68AF">
              <w:rPr>
                <w:color w:val="000000" w:themeColor="text1"/>
                <w:sz w:val="20"/>
              </w:rPr>
              <w:t>.</w:t>
            </w:r>
            <w:r w:rsidRPr="004A12C5">
              <w:rPr>
                <w:color w:val="000000" w:themeColor="text1"/>
                <w:sz w:val="20"/>
              </w:rPr>
              <w:t xml:space="preserve"> </w:t>
            </w:r>
          </w:p>
          <w:p w14:paraId="29753322" w14:textId="77777777" w:rsidR="00A51BC9" w:rsidRPr="002A5882" w:rsidRDefault="00A51BC9" w:rsidP="007259A6">
            <w:pPr>
              <w:pStyle w:val="Paragraph"/>
              <w:numPr>
                <w:ilvl w:val="0"/>
                <w:numId w:val="0"/>
              </w:numPr>
              <w:spacing w:before="20" w:after="20"/>
              <w:ind w:left="393"/>
              <w:rPr>
                <w:color w:val="000000" w:themeColor="text1"/>
                <w:sz w:val="20"/>
              </w:rPr>
            </w:pPr>
          </w:p>
          <w:p w14:paraId="10376CFB" w14:textId="77777777" w:rsidR="00A51BC9" w:rsidRPr="004A12C5" w:rsidRDefault="00A51BC9" w:rsidP="007259A6">
            <w:pPr>
              <w:pStyle w:val="Paragraph"/>
              <w:numPr>
                <w:ilvl w:val="0"/>
                <w:numId w:val="4"/>
              </w:numPr>
              <w:spacing w:before="20" w:after="20"/>
              <w:ind w:left="393"/>
              <w:rPr>
                <w:color w:val="000000" w:themeColor="text1"/>
                <w:sz w:val="20"/>
              </w:rPr>
            </w:pPr>
            <w:r w:rsidRPr="002A5882">
              <w:rPr>
                <w:color w:val="000000" w:themeColor="text1"/>
                <w:sz w:val="20"/>
              </w:rPr>
              <w:t>Módulo de pago electrónico subnacional</w:t>
            </w:r>
            <w:r w:rsidR="00AE68AF">
              <w:rPr>
                <w:color w:val="000000" w:themeColor="text1"/>
                <w:sz w:val="20"/>
              </w:rPr>
              <w:t>.</w:t>
            </w:r>
          </w:p>
          <w:p w14:paraId="395C938E" w14:textId="77777777" w:rsidR="00A51BC9" w:rsidRPr="009F7E83" w:rsidRDefault="00A51BC9" w:rsidP="00A51BC9">
            <w:pPr>
              <w:pStyle w:val="Paragraph"/>
              <w:numPr>
                <w:ilvl w:val="0"/>
                <w:numId w:val="0"/>
              </w:numPr>
              <w:spacing w:before="20" w:after="20"/>
              <w:rPr>
                <w:color w:val="000000" w:themeColor="text1"/>
                <w:sz w:val="20"/>
              </w:rPr>
            </w:pPr>
          </w:p>
          <w:p w14:paraId="2F95752B" w14:textId="77777777" w:rsidR="00A51BC9" w:rsidRPr="002A5882" w:rsidRDefault="00A51BC9" w:rsidP="00A51BC9">
            <w:pPr>
              <w:pStyle w:val="Paragraph"/>
              <w:numPr>
                <w:ilvl w:val="0"/>
                <w:numId w:val="0"/>
              </w:numPr>
              <w:spacing w:before="20" w:after="20"/>
              <w:rPr>
                <w:color w:val="000000" w:themeColor="text1"/>
                <w:sz w:val="20"/>
              </w:rPr>
            </w:pPr>
          </w:p>
          <w:p w14:paraId="13BCD082" w14:textId="3F4A9E1A" w:rsidR="00A51BC9" w:rsidRPr="002A5882" w:rsidRDefault="00A51BC9" w:rsidP="00A51BC9">
            <w:pPr>
              <w:pStyle w:val="Paragraph"/>
              <w:numPr>
                <w:ilvl w:val="0"/>
                <w:numId w:val="0"/>
              </w:numPr>
              <w:spacing w:before="20" w:after="20"/>
              <w:rPr>
                <w:color w:val="000000" w:themeColor="text1"/>
                <w:sz w:val="20"/>
              </w:rPr>
            </w:pPr>
            <w:r w:rsidRPr="002A5882">
              <w:rPr>
                <w:color w:val="000000" w:themeColor="text1"/>
                <w:sz w:val="20"/>
              </w:rPr>
              <w:t>(3.5) Pruebas de funcionamiento de la publicación de convocatorias para contrataciones estatales</w:t>
            </w:r>
            <w:r w:rsidR="00FA57D2">
              <w:rPr>
                <w:color w:val="000000" w:themeColor="text1"/>
                <w:sz w:val="20"/>
              </w:rPr>
              <w:t xml:space="preserve"> </w:t>
            </w:r>
            <w:r w:rsidRPr="002A5882">
              <w:rPr>
                <w:color w:val="000000" w:themeColor="text1"/>
                <w:sz w:val="20"/>
              </w:rPr>
              <w:t>con la correspondiente afectación presupuestaria en el Módulo de Contrataciones del SIGEP.</w:t>
            </w:r>
          </w:p>
          <w:p w14:paraId="4D97D58E" w14:textId="77777777" w:rsidR="00A51BC9" w:rsidRPr="002A5882" w:rsidRDefault="00A51BC9" w:rsidP="00A51BC9">
            <w:pPr>
              <w:pStyle w:val="Paragraph"/>
              <w:numPr>
                <w:ilvl w:val="0"/>
                <w:numId w:val="0"/>
              </w:numPr>
              <w:spacing w:before="20" w:after="20"/>
              <w:rPr>
                <w:color w:val="000000" w:themeColor="text1"/>
                <w:sz w:val="20"/>
              </w:rPr>
            </w:pPr>
          </w:p>
          <w:p w14:paraId="54E8899E" w14:textId="77777777" w:rsidR="00A51BC9" w:rsidRPr="002A5882" w:rsidRDefault="00A51BC9" w:rsidP="00A51BC9">
            <w:pPr>
              <w:pStyle w:val="Paragraph"/>
              <w:numPr>
                <w:ilvl w:val="0"/>
                <w:numId w:val="0"/>
              </w:numPr>
              <w:spacing w:before="20" w:after="20"/>
              <w:rPr>
                <w:color w:val="000000" w:themeColor="text1"/>
                <w:sz w:val="20"/>
              </w:rPr>
            </w:pPr>
            <w:r w:rsidRPr="002A5882">
              <w:rPr>
                <w:color w:val="000000" w:themeColor="text1"/>
                <w:sz w:val="20"/>
              </w:rPr>
              <w:t xml:space="preserve">(3.6) Prueba de funcionamiento del Módulo de </w:t>
            </w:r>
            <w:r w:rsidR="00AE68AF">
              <w:rPr>
                <w:color w:val="000000" w:themeColor="text1"/>
                <w:sz w:val="20"/>
              </w:rPr>
              <w:t>p</w:t>
            </w:r>
            <w:r w:rsidRPr="009F7E83">
              <w:rPr>
                <w:color w:val="000000" w:themeColor="text1"/>
                <w:sz w:val="20"/>
              </w:rPr>
              <w:t xml:space="preserve">ago </w:t>
            </w:r>
            <w:r w:rsidR="00AE68AF">
              <w:rPr>
                <w:color w:val="000000" w:themeColor="text1"/>
                <w:sz w:val="20"/>
              </w:rPr>
              <w:t>e</w:t>
            </w:r>
            <w:r w:rsidRPr="009F7E83">
              <w:rPr>
                <w:color w:val="000000" w:themeColor="text1"/>
                <w:sz w:val="20"/>
              </w:rPr>
              <w:t>lectrónico subnacional del SIGEP en una entidad territorial.</w:t>
            </w:r>
          </w:p>
          <w:p w14:paraId="77F454DA" w14:textId="77777777" w:rsidR="00A51BC9" w:rsidRPr="002A5882" w:rsidRDefault="00A51BC9" w:rsidP="00A51BC9">
            <w:pPr>
              <w:spacing w:after="200" w:line="276" w:lineRule="auto"/>
              <w:jc w:val="both"/>
              <w:rPr>
                <w:rFonts w:ascii="Times New Roman" w:hAnsi="Times New Roman" w:cs="Times New Roman"/>
                <w:sz w:val="20"/>
                <w:szCs w:val="20"/>
                <w:lang w:val="es-ES_tradnl"/>
              </w:rPr>
            </w:pPr>
          </w:p>
          <w:p w14:paraId="736822F5" w14:textId="77777777" w:rsidR="00384F30" w:rsidRPr="002A5882" w:rsidRDefault="00384F30" w:rsidP="00384F30">
            <w:pPr>
              <w:pStyle w:val="Paragraph"/>
              <w:numPr>
                <w:ilvl w:val="0"/>
                <w:numId w:val="0"/>
              </w:numPr>
              <w:spacing w:before="20" w:after="20"/>
              <w:rPr>
                <w:sz w:val="20"/>
                <w:lang w:val="es-ES"/>
              </w:rPr>
            </w:pPr>
            <w:r w:rsidRPr="002A5882">
              <w:rPr>
                <w:color w:val="000000" w:themeColor="text1"/>
                <w:sz w:val="20"/>
              </w:rPr>
              <w:t xml:space="preserve">(3.7) </w:t>
            </w:r>
            <w:r w:rsidRPr="002A5882">
              <w:rPr>
                <w:sz w:val="20"/>
                <w:lang w:val="es-ES"/>
              </w:rPr>
              <w:t>Implementación de la nueva plataforma informática de recopilación de información financiera para la generación de cifras fiscales (SIET)</w:t>
            </w:r>
            <w:r w:rsidRPr="002A5882">
              <w:rPr>
                <w:rStyle w:val="FootnoteReference"/>
                <w:sz w:val="20"/>
                <w:lang w:val="es-ES"/>
              </w:rPr>
              <w:footnoteReference w:id="2"/>
            </w:r>
            <w:r w:rsidRPr="002A5882">
              <w:rPr>
                <w:sz w:val="20"/>
                <w:lang w:val="es-ES"/>
              </w:rPr>
              <w:t xml:space="preserve"> en al menos 80 entidades públicas subnacionales.</w:t>
            </w:r>
          </w:p>
          <w:p w14:paraId="7D120344" w14:textId="77777777" w:rsidR="00A51BC9" w:rsidRPr="002A5882" w:rsidRDefault="00A51BC9" w:rsidP="00A51BC9">
            <w:pPr>
              <w:spacing w:after="200" w:line="276" w:lineRule="auto"/>
              <w:jc w:val="both"/>
              <w:rPr>
                <w:rFonts w:ascii="Times New Roman" w:hAnsi="Times New Roman" w:cs="Times New Roman"/>
                <w:sz w:val="20"/>
                <w:szCs w:val="20"/>
                <w:lang w:val="es-BO"/>
              </w:rPr>
            </w:pPr>
          </w:p>
          <w:p w14:paraId="3714480E" w14:textId="77777777" w:rsidR="00384F30" w:rsidRPr="002A5882" w:rsidRDefault="00384F30" w:rsidP="00A51BC9">
            <w:pPr>
              <w:spacing w:after="200" w:line="276" w:lineRule="auto"/>
              <w:jc w:val="both"/>
              <w:rPr>
                <w:rFonts w:ascii="Times New Roman" w:hAnsi="Times New Roman" w:cs="Times New Roman"/>
                <w:sz w:val="20"/>
                <w:szCs w:val="20"/>
                <w:lang w:val="es-BO"/>
              </w:rPr>
            </w:pPr>
          </w:p>
        </w:tc>
        <w:tc>
          <w:tcPr>
            <w:tcW w:w="3517" w:type="dxa"/>
          </w:tcPr>
          <w:p w14:paraId="201D20C6" w14:textId="77777777" w:rsidR="00B32DE0" w:rsidRPr="002A5882" w:rsidRDefault="00B32DE0" w:rsidP="00DC62A9">
            <w:pPr>
              <w:pStyle w:val="Paragraph"/>
              <w:numPr>
                <w:ilvl w:val="0"/>
                <w:numId w:val="0"/>
              </w:numPr>
              <w:spacing w:before="20" w:after="20"/>
              <w:rPr>
                <w:color w:val="000000" w:themeColor="text1"/>
                <w:sz w:val="20"/>
              </w:rPr>
            </w:pPr>
            <w:r w:rsidRPr="002A5882">
              <w:rPr>
                <w:color w:val="000000" w:themeColor="text1"/>
                <w:sz w:val="20"/>
              </w:rPr>
              <w:lastRenderedPageBreak/>
              <w:t>Se modifican las medidas originales 3.3 y 3.4 debido a que el Gobierno ha planteado la necesidad de ofrecer a las entidades subnacionales un único sistema (SIGEP) para sus operaciones financieras, en lugar de establecer interfaces. Asimismo, se agrega</w:t>
            </w:r>
            <w:r w:rsidR="00A81C4E" w:rsidRPr="002A5882">
              <w:rPr>
                <w:color w:val="000000" w:themeColor="text1"/>
                <w:sz w:val="20"/>
              </w:rPr>
              <w:t>n</w:t>
            </w:r>
            <w:r w:rsidRPr="002A5882">
              <w:rPr>
                <w:color w:val="000000" w:themeColor="text1"/>
                <w:sz w:val="20"/>
              </w:rPr>
              <w:t xml:space="preserve"> como nueva</w:t>
            </w:r>
            <w:r w:rsidR="00A81C4E" w:rsidRPr="002A5882">
              <w:rPr>
                <w:color w:val="000000" w:themeColor="text1"/>
                <w:sz w:val="20"/>
              </w:rPr>
              <w:t>s</w:t>
            </w:r>
            <w:r w:rsidRPr="002A5882">
              <w:rPr>
                <w:color w:val="000000" w:themeColor="text1"/>
                <w:sz w:val="20"/>
              </w:rPr>
              <w:t xml:space="preserve"> medida</w:t>
            </w:r>
            <w:r w:rsidR="00A81C4E" w:rsidRPr="002A5882">
              <w:rPr>
                <w:color w:val="000000" w:themeColor="text1"/>
                <w:sz w:val="20"/>
              </w:rPr>
              <w:t>s (3.5 y 3.6)</w:t>
            </w:r>
            <w:r w:rsidRPr="002A5882">
              <w:rPr>
                <w:color w:val="000000" w:themeColor="text1"/>
                <w:sz w:val="20"/>
              </w:rPr>
              <w:t xml:space="preserve"> la realización de pruebas de funcionamiento del módulo de pago electrónico y de la publicación de convocatorias del módulo de contrataciones.</w:t>
            </w:r>
          </w:p>
          <w:p w14:paraId="187EFDAF" w14:textId="77777777" w:rsidR="00B32DE0" w:rsidRPr="002A5882" w:rsidRDefault="00B32DE0" w:rsidP="00DC62A9">
            <w:pPr>
              <w:pStyle w:val="Paragraph"/>
              <w:numPr>
                <w:ilvl w:val="0"/>
                <w:numId w:val="0"/>
              </w:numPr>
              <w:spacing w:before="20" w:after="20"/>
              <w:rPr>
                <w:color w:val="000000" w:themeColor="text1"/>
                <w:sz w:val="20"/>
              </w:rPr>
            </w:pPr>
          </w:p>
          <w:p w14:paraId="5AD6ED6D" w14:textId="77777777" w:rsidR="00A51BC9" w:rsidRPr="002A5882" w:rsidRDefault="00A51BC9" w:rsidP="00A51BC9">
            <w:pPr>
              <w:pStyle w:val="Paragraph"/>
              <w:numPr>
                <w:ilvl w:val="0"/>
                <w:numId w:val="0"/>
              </w:numPr>
              <w:spacing w:before="20" w:after="20"/>
              <w:rPr>
                <w:color w:val="000000" w:themeColor="text1"/>
                <w:sz w:val="20"/>
              </w:rPr>
            </w:pPr>
          </w:p>
          <w:p w14:paraId="025F5A0D" w14:textId="77777777" w:rsidR="00A51BC9" w:rsidRPr="002A5882" w:rsidRDefault="00A51BC9" w:rsidP="00A51BC9">
            <w:pPr>
              <w:pStyle w:val="Paragraph"/>
              <w:numPr>
                <w:ilvl w:val="0"/>
                <w:numId w:val="0"/>
              </w:numPr>
              <w:spacing w:before="20" w:after="20"/>
              <w:rPr>
                <w:color w:val="000000" w:themeColor="text1"/>
                <w:sz w:val="20"/>
              </w:rPr>
            </w:pPr>
          </w:p>
          <w:p w14:paraId="1F0E43F8" w14:textId="77777777" w:rsidR="00A51BC9" w:rsidRPr="002A5882" w:rsidRDefault="00A51BC9" w:rsidP="00A51BC9">
            <w:pPr>
              <w:pStyle w:val="Paragraph"/>
              <w:numPr>
                <w:ilvl w:val="0"/>
                <w:numId w:val="0"/>
              </w:numPr>
              <w:spacing w:before="20" w:after="20"/>
              <w:rPr>
                <w:color w:val="000000" w:themeColor="text1"/>
                <w:sz w:val="20"/>
              </w:rPr>
            </w:pPr>
          </w:p>
          <w:p w14:paraId="01525120" w14:textId="77777777" w:rsidR="00A51BC9" w:rsidRPr="002A5882" w:rsidRDefault="00A51BC9" w:rsidP="00A51BC9">
            <w:pPr>
              <w:pStyle w:val="Paragraph"/>
              <w:numPr>
                <w:ilvl w:val="0"/>
                <w:numId w:val="0"/>
              </w:numPr>
              <w:spacing w:before="20" w:after="20"/>
              <w:rPr>
                <w:color w:val="000000" w:themeColor="text1"/>
                <w:sz w:val="20"/>
              </w:rPr>
            </w:pPr>
          </w:p>
          <w:p w14:paraId="4DFEDC71" w14:textId="77777777" w:rsidR="00A51BC9" w:rsidRPr="002A5882" w:rsidRDefault="00A51BC9" w:rsidP="00A51BC9">
            <w:pPr>
              <w:pStyle w:val="Paragraph"/>
              <w:numPr>
                <w:ilvl w:val="0"/>
                <w:numId w:val="0"/>
              </w:numPr>
              <w:spacing w:before="20" w:after="20"/>
              <w:rPr>
                <w:color w:val="000000" w:themeColor="text1"/>
                <w:sz w:val="20"/>
              </w:rPr>
            </w:pPr>
          </w:p>
          <w:p w14:paraId="455BAE26" w14:textId="77777777" w:rsidR="00A51BC9" w:rsidRPr="002A5882" w:rsidRDefault="00A51BC9" w:rsidP="00A51BC9">
            <w:pPr>
              <w:pStyle w:val="Paragraph"/>
              <w:numPr>
                <w:ilvl w:val="0"/>
                <w:numId w:val="0"/>
              </w:numPr>
              <w:spacing w:before="20" w:after="20"/>
              <w:rPr>
                <w:color w:val="000000" w:themeColor="text1"/>
                <w:sz w:val="20"/>
              </w:rPr>
            </w:pPr>
          </w:p>
          <w:p w14:paraId="6934B79A" w14:textId="77777777" w:rsidR="00A51BC9" w:rsidRPr="002A5882" w:rsidRDefault="00A51BC9" w:rsidP="00A51BC9">
            <w:pPr>
              <w:pStyle w:val="Paragraph"/>
              <w:numPr>
                <w:ilvl w:val="0"/>
                <w:numId w:val="0"/>
              </w:numPr>
              <w:spacing w:before="20" w:after="20"/>
              <w:rPr>
                <w:color w:val="000000" w:themeColor="text1"/>
                <w:sz w:val="20"/>
              </w:rPr>
            </w:pPr>
          </w:p>
          <w:p w14:paraId="267479F2" w14:textId="77777777" w:rsidR="00A51BC9" w:rsidRPr="002A5882" w:rsidRDefault="00A51BC9" w:rsidP="00A51BC9">
            <w:pPr>
              <w:pStyle w:val="Paragraph"/>
              <w:numPr>
                <w:ilvl w:val="0"/>
                <w:numId w:val="0"/>
              </w:numPr>
              <w:spacing w:before="20" w:after="20"/>
              <w:rPr>
                <w:color w:val="000000" w:themeColor="text1"/>
                <w:sz w:val="20"/>
              </w:rPr>
            </w:pPr>
          </w:p>
          <w:p w14:paraId="5D76FB13" w14:textId="77777777" w:rsidR="00A51BC9" w:rsidRPr="002A5882" w:rsidRDefault="00A51BC9" w:rsidP="00A51BC9">
            <w:pPr>
              <w:pStyle w:val="Paragraph"/>
              <w:numPr>
                <w:ilvl w:val="0"/>
                <w:numId w:val="0"/>
              </w:numPr>
              <w:spacing w:before="20" w:after="20"/>
              <w:rPr>
                <w:color w:val="000000" w:themeColor="text1"/>
                <w:sz w:val="20"/>
              </w:rPr>
            </w:pPr>
          </w:p>
          <w:p w14:paraId="388AF0A7" w14:textId="77777777" w:rsidR="00A51BC9" w:rsidRPr="002A5882" w:rsidRDefault="00A51BC9" w:rsidP="00A51BC9">
            <w:pPr>
              <w:pStyle w:val="Paragraph"/>
              <w:numPr>
                <w:ilvl w:val="0"/>
                <w:numId w:val="0"/>
              </w:numPr>
              <w:spacing w:before="20" w:after="20"/>
              <w:rPr>
                <w:color w:val="000000" w:themeColor="text1"/>
                <w:sz w:val="20"/>
              </w:rPr>
            </w:pPr>
          </w:p>
          <w:p w14:paraId="453F0DF6" w14:textId="77777777" w:rsidR="00A51BC9" w:rsidRPr="002A5882" w:rsidRDefault="00A51BC9" w:rsidP="00A51BC9">
            <w:pPr>
              <w:pStyle w:val="Paragraph"/>
              <w:numPr>
                <w:ilvl w:val="0"/>
                <w:numId w:val="0"/>
              </w:numPr>
              <w:spacing w:before="20" w:after="20"/>
              <w:rPr>
                <w:color w:val="000000" w:themeColor="text1"/>
                <w:sz w:val="20"/>
              </w:rPr>
            </w:pPr>
          </w:p>
          <w:p w14:paraId="1F07614C" w14:textId="77777777" w:rsidR="00A51BC9" w:rsidRPr="002A5882" w:rsidRDefault="00A51BC9" w:rsidP="00A51BC9">
            <w:pPr>
              <w:pStyle w:val="Paragraph"/>
              <w:numPr>
                <w:ilvl w:val="0"/>
                <w:numId w:val="0"/>
              </w:numPr>
              <w:spacing w:before="20" w:after="20"/>
              <w:rPr>
                <w:color w:val="000000" w:themeColor="text1"/>
                <w:sz w:val="20"/>
              </w:rPr>
            </w:pPr>
          </w:p>
          <w:p w14:paraId="792C6CA9" w14:textId="77777777" w:rsidR="00A51BC9" w:rsidRPr="002A5882" w:rsidRDefault="00A51BC9" w:rsidP="00A51BC9">
            <w:pPr>
              <w:pStyle w:val="Paragraph"/>
              <w:numPr>
                <w:ilvl w:val="0"/>
                <w:numId w:val="0"/>
              </w:numPr>
              <w:spacing w:before="20" w:after="20"/>
              <w:rPr>
                <w:color w:val="000000" w:themeColor="text1"/>
                <w:sz w:val="20"/>
              </w:rPr>
            </w:pPr>
          </w:p>
          <w:p w14:paraId="3851773F" w14:textId="77777777" w:rsidR="00384F30" w:rsidRPr="002A5882" w:rsidRDefault="00384F30" w:rsidP="00A51BC9">
            <w:pPr>
              <w:pStyle w:val="Paragraph"/>
              <w:numPr>
                <w:ilvl w:val="0"/>
                <w:numId w:val="0"/>
              </w:numPr>
              <w:spacing w:before="20" w:after="20"/>
              <w:rPr>
                <w:color w:val="000000" w:themeColor="text1"/>
                <w:sz w:val="20"/>
              </w:rPr>
            </w:pPr>
          </w:p>
          <w:p w14:paraId="28587C49" w14:textId="77777777" w:rsidR="00384F30" w:rsidRPr="002A5882" w:rsidRDefault="00384F30" w:rsidP="00A51BC9">
            <w:pPr>
              <w:pStyle w:val="Paragraph"/>
              <w:numPr>
                <w:ilvl w:val="0"/>
                <w:numId w:val="0"/>
              </w:numPr>
              <w:spacing w:before="20" w:after="20"/>
              <w:rPr>
                <w:color w:val="000000" w:themeColor="text1"/>
                <w:sz w:val="20"/>
              </w:rPr>
            </w:pPr>
          </w:p>
          <w:p w14:paraId="65A4D289" w14:textId="77777777" w:rsidR="00384F30" w:rsidRPr="002A5882" w:rsidRDefault="00384F30" w:rsidP="00A51BC9">
            <w:pPr>
              <w:pStyle w:val="Paragraph"/>
              <w:numPr>
                <w:ilvl w:val="0"/>
                <w:numId w:val="0"/>
              </w:numPr>
              <w:spacing w:before="20" w:after="20"/>
              <w:rPr>
                <w:color w:val="000000" w:themeColor="text1"/>
                <w:sz w:val="20"/>
              </w:rPr>
            </w:pPr>
          </w:p>
          <w:p w14:paraId="7F2DBFB0" w14:textId="77777777" w:rsidR="005B23BA" w:rsidRDefault="005B23BA" w:rsidP="00A51BC9">
            <w:pPr>
              <w:pStyle w:val="Paragraph"/>
              <w:numPr>
                <w:ilvl w:val="0"/>
                <w:numId w:val="0"/>
              </w:numPr>
              <w:spacing w:before="20" w:after="20"/>
              <w:rPr>
                <w:color w:val="000000" w:themeColor="text1"/>
                <w:sz w:val="20"/>
              </w:rPr>
            </w:pPr>
          </w:p>
          <w:p w14:paraId="191FAEB0" w14:textId="77777777" w:rsidR="005B23BA" w:rsidRDefault="005B23BA" w:rsidP="00A51BC9">
            <w:pPr>
              <w:pStyle w:val="Paragraph"/>
              <w:numPr>
                <w:ilvl w:val="0"/>
                <w:numId w:val="0"/>
              </w:numPr>
              <w:spacing w:before="20" w:after="20"/>
              <w:rPr>
                <w:color w:val="000000" w:themeColor="text1"/>
                <w:sz w:val="20"/>
              </w:rPr>
            </w:pPr>
          </w:p>
          <w:p w14:paraId="6F7D510E" w14:textId="77777777" w:rsidR="005B23BA" w:rsidRDefault="005B23BA" w:rsidP="00A51BC9">
            <w:pPr>
              <w:pStyle w:val="Paragraph"/>
              <w:numPr>
                <w:ilvl w:val="0"/>
                <w:numId w:val="0"/>
              </w:numPr>
              <w:spacing w:before="20" w:after="20"/>
              <w:rPr>
                <w:color w:val="000000" w:themeColor="text1"/>
                <w:sz w:val="20"/>
              </w:rPr>
            </w:pPr>
          </w:p>
          <w:p w14:paraId="359B6BFD" w14:textId="77777777" w:rsidR="005B23BA" w:rsidRDefault="005B23BA" w:rsidP="00A51BC9">
            <w:pPr>
              <w:pStyle w:val="Paragraph"/>
              <w:numPr>
                <w:ilvl w:val="0"/>
                <w:numId w:val="0"/>
              </w:numPr>
              <w:spacing w:before="20" w:after="20"/>
              <w:rPr>
                <w:color w:val="000000" w:themeColor="text1"/>
                <w:sz w:val="20"/>
              </w:rPr>
            </w:pPr>
          </w:p>
          <w:p w14:paraId="268AA3F3" w14:textId="77777777" w:rsidR="005B23BA" w:rsidRDefault="005B23BA" w:rsidP="00A51BC9">
            <w:pPr>
              <w:pStyle w:val="Paragraph"/>
              <w:numPr>
                <w:ilvl w:val="0"/>
                <w:numId w:val="0"/>
              </w:numPr>
              <w:spacing w:before="20" w:after="20"/>
              <w:rPr>
                <w:color w:val="000000" w:themeColor="text1"/>
                <w:sz w:val="20"/>
              </w:rPr>
            </w:pPr>
          </w:p>
          <w:p w14:paraId="2FC06F5B" w14:textId="77777777" w:rsidR="00B32DE0" w:rsidRPr="002A5882" w:rsidRDefault="00A51BC9" w:rsidP="00A51BC9">
            <w:pPr>
              <w:pStyle w:val="Paragraph"/>
              <w:numPr>
                <w:ilvl w:val="0"/>
                <w:numId w:val="0"/>
              </w:numPr>
              <w:spacing w:before="20" w:after="20"/>
              <w:rPr>
                <w:color w:val="000000" w:themeColor="text1"/>
                <w:sz w:val="20"/>
              </w:rPr>
            </w:pPr>
            <w:r w:rsidRPr="002A5882">
              <w:rPr>
                <w:color w:val="000000" w:themeColor="text1"/>
                <w:sz w:val="20"/>
              </w:rPr>
              <w:t>Se incorpora la medida de implementación del SIET para contribuir al avance de la política de estandarización y centralización de la información fiscal.</w:t>
            </w:r>
          </w:p>
        </w:tc>
      </w:tr>
      <w:tr w:rsidR="00B32DE0" w:rsidRPr="009370F6" w14:paraId="4483DD4E" w14:textId="77777777" w:rsidTr="004A12C5">
        <w:tc>
          <w:tcPr>
            <w:tcW w:w="3064" w:type="dxa"/>
            <w:vMerge/>
          </w:tcPr>
          <w:p w14:paraId="3F0D6C98" w14:textId="77777777" w:rsidR="00B32DE0" w:rsidRPr="002A5882" w:rsidRDefault="00B32DE0" w:rsidP="00DC62A9">
            <w:pPr>
              <w:spacing w:after="200" w:line="276" w:lineRule="auto"/>
              <w:jc w:val="both"/>
              <w:rPr>
                <w:rFonts w:ascii="Times New Roman" w:hAnsi="Times New Roman" w:cs="Times New Roman"/>
                <w:sz w:val="20"/>
                <w:szCs w:val="20"/>
                <w:lang w:val="es-MX"/>
              </w:rPr>
            </w:pPr>
          </w:p>
        </w:tc>
        <w:tc>
          <w:tcPr>
            <w:tcW w:w="2922" w:type="dxa"/>
          </w:tcPr>
          <w:p w14:paraId="010BE35B" w14:textId="77777777" w:rsidR="00B32DE0" w:rsidRPr="002A5882" w:rsidRDefault="00B32DE0" w:rsidP="00A51BC9">
            <w:pPr>
              <w:pStyle w:val="Paragraph"/>
              <w:numPr>
                <w:ilvl w:val="0"/>
                <w:numId w:val="0"/>
              </w:numPr>
              <w:spacing w:before="20" w:after="20"/>
              <w:rPr>
                <w:sz w:val="20"/>
              </w:rPr>
            </w:pPr>
          </w:p>
        </w:tc>
        <w:tc>
          <w:tcPr>
            <w:tcW w:w="3687" w:type="dxa"/>
          </w:tcPr>
          <w:p w14:paraId="401DCF42" w14:textId="77777777" w:rsidR="00B32DE0" w:rsidRPr="002A5882" w:rsidRDefault="00B32DE0" w:rsidP="00DC62A9">
            <w:pPr>
              <w:pStyle w:val="Paragraph"/>
              <w:numPr>
                <w:ilvl w:val="0"/>
                <w:numId w:val="0"/>
              </w:numPr>
              <w:spacing w:before="20" w:after="20"/>
              <w:rPr>
                <w:color w:val="000000" w:themeColor="text1"/>
                <w:sz w:val="20"/>
              </w:rPr>
            </w:pPr>
          </w:p>
          <w:p w14:paraId="52A4EF78" w14:textId="77777777" w:rsidR="008B26E3" w:rsidRPr="002A5882" w:rsidRDefault="008B26E3" w:rsidP="00DC62A9">
            <w:pPr>
              <w:pStyle w:val="Paragraph"/>
              <w:numPr>
                <w:ilvl w:val="0"/>
                <w:numId w:val="0"/>
              </w:numPr>
              <w:spacing w:before="20" w:after="20"/>
              <w:rPr>
                <w:sz w:val="20"/>
                <w:lang w:val="es-ES"/>
              </w:rPr>
            </w:pPr>
          </w:p>
          <w:p w14:paraId="1C83A164" w14:textId="77777777" w:rsidR="00B32DE0" w:rsidRPr="002A5882" w:rsidRDefault="00B32DE0" w:rsidP="00DC62A9">
            <w:pPr>
              <w:pStyle w:val="Paragraph"/>
              <w:numPr>
                <w:ilvl w:val="0"/>
                <w:numId w:val="0"/>
              </w:numPr>
              <w:spacing w:before="20" w:after="20"/>
              <w:ind w:left="367"/>
              <w:rPr>
                <w:color w:val="000000" w:themeColor="text1"/>
                <w:sz w:val="20"/>
              </w:rPr>
            </w:pPr>
          </w:p>
        </w:tc>
        <w:tc>
          <w:tcPr>
            <w:tcW w:w="3517" w:type="dxa"/>
          </w:tcPr>
          <w:p w14:paraId="00D34828" w14:textId="77777777" w:rsidR="00B32DE0" w:rsidRPr="002A5882" w:rsidRDefault="00B32DE0" w:rsidP="00DC62A9">
            <w:pPr>
              <w:spacing w:after="200" w:line="276" w:lineRule="auto"/>
              <w:jc w:val="both"/>
              <w:rPr>
                <w:rFonts w:ascii="Times New Roman" w:hAnsi="Times New Roman" w:cs="Times New Roman"/>
                <w:sz w:val="20"/>
                <w:szCs w:val="20"/>
                <w:lang w:val="es-ES_tradnl"/>
              </w:rPr>
            </w:pPr>
          </w:p>
        </w:tc>
      </w:tr>
      <w:tr w:rsidR="00B32DE0" w:rsidRPr="009370F6" w14:paraId="765EA171" w14:textId="77777777" w:rsidTr="004A12C5">
        <w:trPr>
          <w:trHeight w:val="1430"/>
        </w:trPr>
        <w:tc>
          <w:tcPr>
            <w:tcW w:w="3064" w:type="dxa"/>
            <w:vMerge w:val="restart"/>
          </w:tcPr>
          <w:p w14:paraId="11CDCAB6" w14:textId="77777777" w:rsidR="00B32DE0" w:rsidRPr="002A5882" w:rsidRDefault="00B32DE0" w:rsidP="00615389">
            <w:pPr>
              <w:spacing w:after="200" w:line="276" w:lineRule="auto"/>
              <w:jc w:val="both"/>
              <w:rPr>
                <w:rFonts w:ascii="Times New Roman" w:hAnsi="Times New Roman" w:cs="Times New Roman"/>
                <w:sz w:val="20"/>
                <w:szCs w:val="20"/>
                <w:lang w:val="es-BO"/>
              </w:rPr>
            </w:pPr>
            <w:r w:rsidRPr="002A5882">
              <w:rPr>
                <w:rFonts w:ascii="Times New Roman" w:hAnsi="Times New Roman" w:cs="Times New Roman"/>
                <w:b/>
                <w:color w:val="000000" w:themeColor="text1"/>
                <w:sz w:val="20"/>
                <w:szCs w:val="20"/>
                <w:lang w:val="es-BO"/>
              </w:rPr>
              <w:lastRenderedPageBreak/>
              <w:t>Componente 4. Mejora en la ejecución y eficiencia del gasto público:</w:t>
            </w:r>
            <w:r w:rsidRPr="002A5882">
              <w:rPr>
                <w:rFonts w:ascii="Times New Roman" w:hAnsi="Times New Roman" w:cs="Times New Roman"/>
                <w:sz w:val="20"/>
                <w:szCs w:val="20"/>
                <w:lang w:val="es-ES_tradnl"/>
              </w:rPr>
              <w:t xml:space="preserve"> </w:t>
            </w:r>
            <w:r w:rsidR="00615389" w:rsidRPr="002A5882">
              <w:rPr>
                <w:rFonts w:ascii="Times New Roman" w:hAnsi="Times New Roman" w:cs="Times New Roman"/>
                <w:sz w:val="20"/>
                <w:szCs w:val="20"/>
                <w:lang w:val="es-ES_tradnl"/>
              </w:rPr>
              <w:t xml:space="preserve">Generar instrumentos que permitan mejorar la ejecución y eficiencia del gasto público. </w:t>
            </w:r>
          </w:p>
        </w:tc>
        <w:tc>
          <w:tcPr>
            <w:tcW w:w="2922" w:type="dxa"/>
          </w:tcPr>
          <w:p w14:paraId="1EE6711A" w14:textId="77777777" w:rsidR="00B32DE0" w:rsidRPr="002A5882" w:rsidRDefault="00B32DE0" w:rsidP="00DC62A9">
            <w:pPr>
              <w:pStyle w:val="Paragraph"/>
              <w:numPr>
                <w:ilvl w:val="0"/>
                <w:numId w:val="0"/>
              </w:numPr>
              <w:spacing w:before="20" w:after="20"/>
              <w:rPr>
                <w:color w:val="000000" w:themeColor="text1"/>
                <w:sz w:val="20"/>
              </w:rPr>
            </w:pPr>
            <w:r w:rsidRPr="002A5882">
              <w:rPr>
                <w:sz w:val="20"/>
                <w:lang w:val="es-MX"/>
              </w:rPr>
              <w:t xml:space="preserve">(4.1) </w:t>
            </w:r>
            <w:r w:rsidRPr="002A5882">
              <w:rPr>
                <w:color w:val="000000" w:themeColor="text1"/>
                <w:sz w:val="20"/>
              </w:rPr>
              <w:t>Envío a la Asamblea Legislativa Plurinacional del Proyecto de Ley de Responsabilidad Fiscal.</w:t>
            </w:r>
          </w:p>
          <w:p w14:paraId="098DA2C7" w14:textId="77777777" w:rsidR="00B32DE0" w:rsidRPr="004A12C5" w:rsidRDefault="00B32DE0" w:rsidP="00DC62A9">
            <w:pPr>
              <w:spacing w:after="200" w:line="276" w:lineRule="auto"/>
              <w:jc w:val="both"/>
              <w:rPr>
                <w:rFonts w:ascii="Times New Roman" w:hAnsi="Times New Roman" w:cs="Times New Roman"/>
                <w:sz w:val="20"/>
                <w:szCs w:val="20"/>
                <w:lang w:val="es-ES_tradnl"/>
              </w:rPr>
            </w:pPr>
          </w:p>
        </w:tc>
        <w:tc>
          <w:tcPr>
            <w:tcW w:w="3687" w:type="dxa"/>
          </w:tcPr>
          <w:p w14:paraId="19AA65D7" w14:textId="77777777" w:rsidR="00B32DE0" w:rsidRPr="002A5882" w:rsidRDefault="00B32DE0" w:rsidP="00DC62A9">
            <w:pPr>
              <w:pStyle w:val="Paragraph"/>
              <w:numPr>
                <w:ilvl w:val="0"/>
                <w:numId w:val="0"/>
              </w:numPr>
              <w:spacing w:before="20" w:after="20"/>
              <w:rPr>
                <w:color w:val="000000" w:themeColor="text1"/>
                <w:sz w:val="20"/>
              </w:rPr>
            </w:pPr>
            <w:r w:rsidRPr="009F7E83">
              <w:rPr>
                <w:color w:val="000000" w:themeColor="text1"/>
                <w:sz w:val="20"/>
              </w:rPr>
              <w:t>(4.2) Módulo de gestión contable de proyectos financiados con recursos externos del SIGEP para prueba de funcionamiento en una entidad pública.</w:t>
            </w:r>
          </w:p>
          <w:p w14:paraId="3911AFC3" w14:textId="77777777" w:rsidR="00B32DE0" w:rsidRPr="002A5882" w:rsidRDefault="00B32DE0" w:rsidP="00DC62A9">
            <w:pPr>
              <w:pStyle w:val="Paragraph"/>
              <w:numPr>
                <w:ilvl w:val="0"/>
                <w:numId w:val="0"/>
              </w:numPr>
              <w:spacing w:before="20" w:after="20"/>
              <w:rPr>
                <w:strike/>
                <w:color w:val="000000" w:themeColor="text1"/>
                <w:sz w:val="20"/>
              </w:rPr>
            </w:pPr>
          </w:p>
          <w:p w14:paraId="7690B0B1" w14:textId="77777777" w:rsidR="003F7FE0" w:rsidRPr="002A5882" w:rsidRDefault="003F7FE0" w:rsidP="00DC62A9">
            <w:pPr>
              <w:pStyle w:val="Paragraph"/>
              <w:numPr>
                <w:ilvl w:val="0"/>
                <w:numId w:val="0"/>
              </w:numPr>
              <w:spacing w:before="20" w:after="20"/>
              <w:rPr>
                <w:strike/>
                <w:color w:val="000000" w:themeColor="text1"/>
                <w:sz w:val="20"/>
              </w:rPr>
            </w:pPr>
          </w:p>
          <w:p w14:paraId="27D762E0" w14:textId="77777777" w:rsidR="008F1AE9" w:rsidRPr="002A5882" w:rsidRDefault="008F1AE9" w:rsidP="00DC62A9">
            <w:pPr>
              <w:pStyle w:val="Paragraph"/>
              <w:numPr>
                <w:ilvl w:val="0"/>
                <w:numId w:val="0"/>
              </w:numPr>
              <w:spacing w:before="20" w:after="20"/>
              <w:rPr>
                <w:strike/>
                <w:color w:val="000000" w:themeColor="text1"/>
                <w:sz w:val="20"/>
              </w:rPr>
            </w:pPr>
          </w:p>
          <w:p w14:paraId="0CF8E67F" w14:textId="77777777" w:rsidR="00B32DE0" w:rsidRPr="002A5882" w:rsidRDefault="00B32DE0" w:rsidP="00DC62A9">
            <w:pPr>
              <w:pStyle w:val="Paragraph"/>
              <w:numPr>
                <w:ilvl w:val="0"/>
                <w:numId w:val="0"/>
              </w:numPr>
              <w:spacing w:before="20" w:after="20"/>
              <w:rPr>
                <w:strike/>
                <w:color w:val="000000" w:themeColor="text1"/>
                <w:sz w:val="20"/>
              </w:rPr>
            </w:pPr>
            <w:r w:rsidRPr="002A5882">
              <w:rPr>
                <w:color w:val="000000" w:themeColor="text1"/>
                <w:sz w:val="20"/>
                <w:lang w:val="es-AR"/>
              </w:rPr>
              <w:t>(4.3) Creación del Registro Único de Proveedores del Estado que acredita a los proveedores del Estado a nivel nacional.</w:t>
            </w:r>
          </w:p>
          <w:p w14:paraId="43AF55AD" w14:textId="77777777" w:rsidR="00B32DE0" w:rsidRPr="002A5882" w:rsidRDefault="00B32DE0" w:rsidP="00DC62A9">
            <w:pPr>
              <w:pStyle w:val="Paragraph"/>
              <w:numPr>
                <w:ilvl w:val="0"/>
                <w:numId w:val="0"/>
              </w:numPr>
              <w:spacing w:before="20" w:after="20"/>
              <w:rPr>
                <w:strike/>
                <w:color w:val="000000" w:themeColor="text1"/>
                <w:sz w:val="20"/>
              </w:rPr>
            </w:pPr>
          </w:p>
          <w:p w14:paraId="3876A8E3" w14:textId="325F9322" w:rsidR="00B32DE0" w:rsidRPr="002A5882" w:rsidRDefault="00B32DE0" w:rsidP="00DC62A9">
            <w:pPr>
              <w:pStyle w:val="Paragraph"/>
              <w:numPr>
                <w:ilvl w:val="0"/>
                <w:numId w:val="0"/>
              </w:numPr>
              <w:spacing w:before="20" w:after="20"/>
              <w:rPr>
                <w:color w:val="000000" w:themeColor="text1"/>
                <w:sz w:val="20"/>
              </w:rPr>
            </w:pPr>
            <w:r w:rsidRPr="002A5882">
              <w:rPr>
                <w:color w:val="000000" w:themeColor="text1"/>
                <w:sz w:val="20"/>
              </w:rPr>
              <w:t>(4.4) Mejora en la política de</w:t>
            </w:r>
            <w:r w:rsidR="00FA57D2">
              <w:rPr>
                <w:color w:val="000000" w:themeColor="text1"/>
                <w:sz w:val="20"/>
              </w:rPr>
              <w:t xml:space="preserve"> </w:t>
            </w:r>
            <w:r w:rsidRPr="002A5882">
              <w:rPr>
                <w:color w:val="000000" w:themeColor="text1"/>
                <w:sz w:val="20"/>
              </w:rPr>
              <w:t>contrataciones estatales, a través de la inclusión en los Documentos Base de</w:t>
            </w:r>
            <w:r w:rsidR="00FA57D2">
              <w:rPr>
                <w:color w:val="000000" w:themeColor="text1"/>
                <w:sz w:val="20"/>
              </w:rPr>
              <w:t xml:space="preserve"> </w:t>
            </w:r>
            <w:r w:rsidRPr="002A5882">
              <w:rPr>
                <w:color w:val="000000" w:themeColor="text1"/>
                <w:sz w:val="20"/>
              </w:rPr>
              <w:t>Contratación de reglas</w:t>
            </w:r>
            <w:r w:rsidR="006464AA" w:rsidRPr="002A5882">
              <w:rPr>
                <w:color w:val="000000" w:themeColor="text1"/>
                <w:sz w:val="20"/>
              </w:rPr>
              <w:t xml:space="preserve"> </w:t>
            </w:r>
            <w:r w:rsidRPr="002A5882">
              <w:rPr>
                <w:color w:val="000000" w:themeColor="text1"/>
                <w:sz w:val="20"/>
              </w:rPr>
              <w:t xml:space="preserve">sobre: (i) criterios </w:t>
            </w:r>
            <w:r w:rsidR="00615389" w:rsidRPr="002A5882">
              <w:rPr>
                <w:color w:val="000000" w:themeColor="text1"/>
                <w:sz w:val="20"/>
              </w:rPr>
              <w:t xml:space="preserve">de </w:t>
            </w:r>
            <w:r w:rsidRPr="002A5882">
              <w:rPr>
                <w:color w:val="000000" w:themeColor="text1"/>
                <w:sz w:val="20"/>
              </w:rPr>
              <w:t>subsanabilidad; (ii) aclaración de métodos de selección; (iii) uso de garantías</w:t>
            </w:r>
            <w:r w:rsidR="00615389" w:rsidRPr="002A5882">
              <w:rPr>
                <w:color w:val="000000" w:themeColor="text1"/>
                <w:sz w:val="20"/>
              </w:rPr>
              <w:t>;</w:t>
            </w:r>
            <w:r w:rsidRPr="002A5882">
              <w:rPr>
                <w:color w:val="000000" w:themeColor="text1"/>
                <w:sz w:val="20"/>
              </w:rPr>
              <w:t xml:space="preserve"> y (iv) utilización del Registro Único de Proveedores del Estado.</w:t>
            </w:r>
          </w:p>
          <w:p w14:paraId="3B39DA8A" w14:textId="77777777" w:rsidR="00B32DE0" w:rsidRPr="002A5882" w:rsidRDefault="00B32DE0" w:rsidP="00DC62A9">
            <w:pPr>
              <w:pStyle w:val="Paragraph"/>
              <w:numPr>
                <w:ilvl w:val="0"/>
                <w:numId w:val="0"/>
              </w:numPr>
              <w:spacing w:before="20" w:after="20"/>
              <w:rPr>
                <w:color w:val="000000" w:themeColor="text1"/>
                <w:sz w:val="20"/>
              </w:rPr>
            </w:pPr>
          </w:p>
          <w:p w14:paraId="3581C450" w14:textId="77777777" w:rsidR="00B32DE0" w:rsidRPr="002A5882" w:rsidRDefault="00B32DE0" w:rsidP="00DC62A9">
            <w:pPr>
              <w:pStyle w:val="Paragraph"/>
              <w:numPr>
                <w:ilvl w:val="0"/>
                <w:numId w:val="0"/>
              </w:numPr>
              <w:spacing w:before="20" w:after="20"/>
              <w:rPr>
                <w:color w:val="000000" w:themeColor="text1"/>
                <w:sz w:val="20"/>
              </w:rPr>
            </w:pPr>
            <w:r w:rsidRPr="002A5882">
              <w:rPr>
                <w:color w:val="000000" w:themeColor="text1"/>
                <w:sz w:val="20"/>
              </w:rPr>
              <w:t xml:space="preserve">(4.5) Política de difusión de buenas prácticas en adquisiciones, a través de la publicación y difusión de </w:t>
            </w:r>
            <w:r w:rsidR="00AE68AF">
              <w:rPr>
                <w:color w:val="000000" w:themeColor="text1"/>
                <w:sz w:val="20"/>
              </w:rPr>
              <w:t>c</w:t>
            </w:r>
            <w:r w:rsidRPr="009F7E83">
              <w:rPr>
                <w:color w:val="000000" w:themeColor="text1"/>
                <w:sz w:val="20"/>
              </w:rPr>
              <w:t xml:space="preserve">artillas con pautas sobre: i) </w:t>
            </w:r>
            <w:r w:rsidR="00AE68AF">
              <w:rPr>
                <w:color w:val="000000" w:themeColor="text1"/>
                <w:sz w:val="20"/>
              </w:rPr>
              <w:t>c</w:t>
            </w:r>
            <w:r w:rsidRPr="009F7E83">
              <w:rPr>
                <w:color w:val="000000" w:themeColor="text1"/>
                <w:sz w:val="20"/>
              </w:rPr>
              <w:t>riterios de subsanabilidad</w:t>
            </w:r>
            <w:r w:rsidR="00AE68AF">
              <w:rPr>
                <w:color w:val="000000" w:themeColor="text1"/>
                <w:sz w:val="20"/>
              </w:rPr>
              <w:t>,</w:t>
            </w:r>
            <w:r w:rsidRPr="009F7E83">
              <w:rPr>
                <w:color w:val="000000" w:themeColor="text1"/>
                <w:sz w:val="20"/>
              </w:rPr>
              <w:t xml:space="preserve"> ii) garantías</w:t>
            </w:r>
            <w:r w:rsidR="00AE68AF">
              <w:rPr>
                <w:color w:val="000000" w:themeColor="text1"/>
                <w:sz w:val="20"/>
              </w:rPr>
              <w:t>,</w:t>
            </w:r>
            <w:r w:rsidRPr="009F7E83">
              <w:rPr>
                <w:color w:val="000000" w:themeColor="text1"/>
                <w:sz w:val="20"/>
              </w:rPr>
              <w:t xml:space="preserve"> iii) criterios de selección</w:t>
            </w:r>
            <w:r w:rsidR="00AE68AF">
              <w:rPr>
                <w:color w:val="000000" w:themeColor="text1"/>
                <w:sz w:val="20"/>
              </w:rPr>
              <w:t>,</w:t>
            </w:r>
            <w:r w:rsidRPr="009F7E83">
              <w:rPr>
                <w:color w:val="000000" w:themeColor="text1"/>
                <w:sz w:val="20"/>
              </w:rPr>
              <w:t xml:space="preserve"> y iv) correcto registro en el SICOES de impedidos para participar en las adquisiciones públicas de</w:t>
            </w:r>
            <w:r w:rsidR="006464AA" w:rsidRPr="002A5882">
              <w:rPr>
                <w:color w:val="000000" w:themeColor="text1"/>
                <w:sz w:val="20"/>
              </w:rPr>
              <w:t xml:space="preserve">l </w:t>
            </w:r>
            <w:r w:rsidRPr="002A5882">
              <w:rPr>
                <w:color w:val="000000" w:themeColor="text1"/>
                <w:sz w:val="20"/>
              </w:rPr>
              <w:t>Estado.</w:t>
            </w:r>
          </w:p>
        </w:tc>
        <w:tc>
          <w:tcPr>
            <w:tcW w:w="3517" w:type="dxa"/>
          </w:tcPr>
          <w:p w14:paraId="4E550548" w14:textId="77777777" w:rsidR="00B32DE0" w:rsidRPr="00AE68AF" w:rsidRDefault="00B32DE0" w:rsidP="00DC62A9">
            <w:pPr>
              <w:spacing w:after="200" w:line="276" w:lineRule="auto"/>
              <w:jc w:val="both"/>
              <w:rPr>
                <w:rFonts w:ascii="Times New Roman" w:hAnsi="Times New Roman" w:cs="Times New Roman"/>
                <w:color w:val="000000" w:themeColor="text1"/>
                <w:sz w:val="20"/>
                <w:szCs w:val="20"/>
                <w:lang w:val="es-BO"/>
              </w:rPr>
            </w:pPr>
            <w:r w:rsidRPr="00AE68AF">
              <w:rPr>
                <w:rFonts w:ascii="Times New Roman" w:hAnsi="Times New Roman" w:cs="Times New Roman"/>
                <w:color w:val="000000" w:themeColor="text1"/>
                <w:sz w:val="20"/>
                <w:szCs w:val="20"/>
                <w:lang w:val="es-BO"/>
              </w:rPr>
              <w:t>Se cambia la medida porque las Leyes Financiales 2011</w:t>
            </w:r>
            <w:r w:rsidR="00DC62A9" w:rsidRPr="00AE68AF">
              <w:rPr>
                <w:rFonts w:ascii="Times New Roman" w:hAnsi="Times New Roman" w:cs="Times New Roman"/>
                <w:color w:val="000000" w:themeColor="text1"/>
                <w:sz w:val="20"/>
                <w:szCs w:val="20"/>
                <w:lang w:val="es-BO"/>
              </w:rPr>
              <w:t xml:space="preserve"> </w:t>
            </w:r>
            <w:r w:rsidRPr="00AE68AF">
              <w:rPr>
                <w:rFonts w:ascii="Times New Roman" w:hAnsi="Times New Roman" w:cs="Times New Roman"/>
                <w:color w:val="000000" w:themeColor="text1"/>
                <w:sz w:val="20"/>
                <w:szCs w:val="20"/>
                <w:lang w:val="es-BO"/>
              </w:rPr>
              <w:t>y 2013 incorporan disposiciones vinculadas al control del endeudamiento público que se estimaba incluir en la Ley de Responsabilidad Fiscal.</w:t>
            </w:r>
          </w:p>
          <w:p w14:paraId="2EB87B4A" w14:textId="77777777" w:rsidR="00B32DE0" w:rsidRPr="002A5882" w:rsidRDefault="00B32DE0" w:rsidP="00DC62A9">
            <w:pPr>
              <w:spacing w:before="120" w:after="120" w:line="276" w:lineRule="auto"/>
              <w:jc w:val="both"/>
              <w:outlineLvl w:val="1"/>
              <w:rPr>
                <w:rFonts w:ascii="Times New Roman" w:hAnsi="Times New Roman" w:cs="Times New Roman"/>
                <w:color w:val="000000" w:themeColor="text1"/>
                <w:sz w:val="20"/>
                <w:szCs w:val="20"/>
                <w:lang w:val="es-BO"/>
              </w:rPr>
            </w:pPr>
            <w:r w:rsidRPr="00AE68AF">
              <w:rPr>
                <w:rFonts w:ascii="Times New Roman" w:hAnsi="Times New Roman" w:cs="Times New Roman"/>
                <w:color w:val="000000" w:themeColor="text1"/>
                <w:sz w:val="20"/>
                <w:szCs w:val="20"/>
                <w:lang w:val="es-BO"/>
              </w:rPr>
              <w:t>Se incorporan</w:t>
            </w:r>
            <w:r w:rsidR="008F1AE9" w:rsidRPr="00AE68AF">
              <w:rPr>
                <w:rFonts w:ascii="Times New Roman" w:hAnsi="Times New Roman" w:cs="Times New Roman"/>
                <w:color w:val="000000" w:themeColor="text1"/>
                <w:sz w:val="20"/>
                <w:szCs w:val="20"/>
                <w:lang w:val="es-BO"/>
              </w:rPr>
              <w:t xml:space="preserve"> tres</w:t>
            </w:r>
            <w:r w:rsidRPr="00AE68AF">
              <w:rPr>
                <w:rFonts w:ascii="Times New Roman" w:hAnsi="Times New Roman" w:cs="Times New Roman"/>
                <w:color w:val="000000" w:themeColor="text1"/>
                <w:sz w:val="20"/>
                <w:szCs w:val="20"/>
                <w:lang w:val="es-BO"/>
              </w:rPr>
              <w:t xml:space="preserve"> medidas que favorecen la efectividad de la ejecución del gasto, así como la producción y disponibilidad de información oportuna para la toma de decisiones.</w:t>
            </w:r>
          </w:p>
        </w:tc>
      </w:tr>
      <w:tr w:rsidR="00B32DE0" w:rsidRPr="009370F6" w14:paraId="5E589585" w14:textId="77777777" w:rsidTr="004A12C5">
        <w:tc>
          <w:tcPr>
            <w:tcW w:w="3064" w:type="dxa"/>
            <w:vMerge/>
          </w:tcPr>
          <w:p w14:paraId="27646AE8" w14:textId="77777777" w:rsidR="00B32DE0" w:rsidRPr="002A5882" w:rsidRDefault="00B32DE0" w:rsidP="00DC62A9">
            <w:pPr>
              <w:spacing w:after="200" w:line="276" w:lineRule="auto"/>
              <w:jc w:val="both"/>
              <w:rPr>
                <w:rFonts w:ascii="Times New Roman" w:hAnsi="Times New Roman" w:cs="Times New Roman"/>
                <w:b/>
                <w:sz w:val="20"/>
                <w:szCs w:val="20"/>
                <w:lang w:val="es-MX"/>
              </w:rPr>
            </w:pPr>
          </w:p>
        </w:tc>
        <w:tc>
          <w:tcPr>
            <w:tcW w:w="2922" w:type="dxa"/>
          </w:tcPr>
          <w:p w14:paraId="52660DB0" w14:textId="77777777" w:rsidR="00B32DE0" w:rsidRPr="002A5882" w:rsidRDefault="00B32DE0" w:rsidP="00DC62A9">
            <w:pPr>
              <w:pStyle w:val="Paragraph"/>
              <w:numPr>
                <w:ilvl w:val="0"/>
                <w:numId w:val="0"/>
              </w:numPr>
              <w:spacing w:before="20" w:after="20"/>
              <w:rPr>
                <w:color w:val="000000" w:themeColor="text1"/>
                <w:sz w:val="20"/>
              </w:rPr>
            </w:pPr>
            <w:r w:rsidRPr="002A5882">
              <w:rPr>
                <w:sz w:val="20"/>
                <w:lang w:val="es-MX"/>
              </w:rPr>
              <w:t xml:space="preserve">(4.2) </w:t>
            </w:r>
            <w:r w:rsidRPr="002A5882">
              <w:rPr>
                <w:color w:val="000000" w:themeColor="text1"/>
                <w:sz w:val="20"/>
              </w:rPr>
              <w:t>Aplicación por parte de las empresas públicas de la normativa que establece un plan de cuentas contable armonizado.</w:t>
            </w:r>
          </w:p>
          <w:p w14:paraId="3027F6C0" w14:textId="77777777" w:rsidR="00B32DE0" w:rsidRPr="002A5882" w:rsidRDefault="00B32DE0" w:rsidP="00DC62A9">
            <w:pPr>
              <w:spacing w:after="200" w:line="276" w:lineRule="auto"/>
              <w:jc w:val="both"/>
              <w:rPr>
                <w:rFonts w:ascii="Times New Roman" w:hAnsi="Times New Roman" w:cs="Times New Roman"/>
                <w:sz w:val="20"/>
                <w:szCs w:val="20"/>
                <w:lang w:val="es-ES_tradnl"/>
              </w:rPr>
            </w:pPr>
          </w:p>
        </w:tc>
        <w:tc>
          <w:tcPr>
            <w:tcW w:w="3687" w:type="dxa"/>
          </w:tcPr>
          <w:p w14:paraId="0831E71D" w14:textId="143C1380" w:rsidR="00B32DE0" w:rsidRPr="002A5882" w:rsidRDefault="00B32DE0" w:rsidP="00DC62A9">
            <w:pPr>
              <w:pStyle w:val="Paragraph"/>
              <w:numPr>
                <w:ilvl w:val="0"/>
                <w:numId w:val="0"/>
              </w:numPr>
              <w:spacing w:before="20" w:after="20"/>
              <w:rPr>
                <w:color w:val="000000" w:themeColor="text1"/>
                <w:sz w:val="20"/>
              </w:rPr>
            </w:pPr>
            <w:r w:rsidRPr="002A5882">
              <w:rPr>
                <w:sz w:val="20"/>
                <w:lang w:val="es-MX"/>
              </w:rPr>
              <w:t xml:space="preserve">(4.6) </w:t>
            </w:r>
            <w:r w:rsidRPr="002A5882">
              <w:rPr>
                <w:color w:val="000000" w:themeColor="text1"/>
                <w:sz w:val="20"/>
              </w:rPr>
              <w:t>Módulo de contabilidad del SIGEP adaptado para el registro del plan de cuentas armonizado para las empresas públicas.</w:t>
            </w:r>
          </w:p>
          <w:p w14:paraId="7D7C0252" w14:textId="77777777" w:rsidR="00B32DE0" w:rsidRPr="002A5882" w:rsidRDefault="00B32DE0" w:rsidP="00DC62A9">
            <w:pPr>
              <w:pStyle w:val="Paragraph"/>
              <w:numPr>
                <w:ilvl w:val="0"/>
                <w:numId w:val="0"/>
              </w:numPr>
              <w:spacing w:before="20" w:after="20"/>
              <w:rPr>
                <w:color w:val="000000" w:themeColor="text1"/>
                <w:sz w:val="20"/>
              </w:rPr>
            </w:pPr>
          </w:p>
          <w:p w14:paraId="19720C3C" w14:textId="77777777" w:rsidR="00B32DE0" w:rsidRPr="002A5882" w:rsidRDefault="00B32DE0" w:rsidP="00DC62A9">
            <w:pPr>
              <w:pStyle w:val="Paragraph"/>
              <w:numPr>
                <w:ilvl w:val="0"/>
                <w:numId w:val="0"/>
              </w:numPr>
              <w:spacing w:before="20" w:after="20"/>
              <w:rPr>
                <w:color w:val="000000" w:themeColor="text1"/>
                <w:sz w:val="20"/>
              </w:rPr>
            </w:pPr>
          </w:p>
          <w:p w14:paraId="474C2ACB" w14:textId="77777777" w:rsidR="00B32DE0" w:rsidRPr="002A5882" w:rsidRDefault="00B32DE0" w:rsidP="00DC62A9">
            <w:pPr>
              <w:pStyle w:val="Paragraph"/>
              <w:numPr>
                <w:ilvl w:val="0"/>
                <w:numId w:val="0"/>
              </w:numPr>
              <w:spacing w:before="20" w:after="20"/>
              <w:rPr>
                <w:color w:val="000000" w:themeColor="text1"/>
                <w:sz w:val="20"/>
              </w:rPr>
            </w:pPr>
          </w:p>
          <w:p w14:paraId="50129525" w14:textId="77777777" w:rsidR="00B32DE0" w:rsidRPr="002A5882" w:rsidRDefault="00B32DE0" w:rsidP="00DC62A9">
            <w:pPr>
              <w:pStyle w:val="Paragraph"/>
              <w:numPr>
                <w:ilvl w:val="0"/>
                <w:numId w:val="0"/>
              </w:numPr>
              <w:spacing w:before="20" w:after="20"/>
              <w:rPr>
                <w:color w:val="000000" w:themeColor="text1"/>
                <w:sz w:val="20"/>
              </w:rPr>
            </w:pPr>
          </w:p>
          <w:p w14:paraId="73F09FC1" w14:textId="77777777" w:rsidR="00DC62A9" w:rsidRPr="002A5882" w:rsidRDefault="00DC62A9" w:rsidP="00DC62A9">
            <w:pPr>
              <w:pStyle w:val="Paragraph"/>
              <w:numPr>
                <w:ilvl w:val="0"/>
                <w:numId w:val="0"/>
              </w:numPr>
              <w:spacing w:before="20" w:after="20"/>
              <w:rPr>
                <w:color w:val="000000" w:themeColor="text1"/>
                <w:sz w:val="20"/>
              </w:rPr>
            </w:pPr>
          </w:p>
          <w:p w14:paraId="712D9DDB" w14:textId="77777777" w:rsidR="00DC62A9" w:rsidRDefault="00DC62A9" w:rsidP="00DC62A9">
            <w:pPr>
              <w:pStyle w:val="Paragraph"/>
              <w:numPr>
                <w:ilvl w:val="0"/>
                <w:numId w:val="0"/>
              </w:numPr>
              <w:spacing w:before="20" w:after="20"/>
              <w:rPr>
                <w:color w:val="000000" w:themeColor="text1"/>
              </w:rPr>
            </w:pPr>
          </w:p>
          <w:p w14:paraId="261D2624" w14:textId="77777777" w:rsidR="00C96774" w:rsidRDefault="00C96774" w:rsidP="00DC62A9">
            <w:pPr>
              <w:pStyle w:val="Paragraph"/>
              <w:numPr>
                <w:ilvl w:val="0"/>
                <w:numId w:val="0"/>
              </w:numPr>
              <w:spacing w:before="20" w:after="20"/>
              <w:rPr>
                <w:color w:val="000000" w:themeColor="text1"/>
              </w:rPr>
            </w:pPr>
          </w:p>
          <w:p w14:paraId="474D00C7" w14:textId="77777777" w:rsidR="00C96774" w:rsidRDefault="00C96774" w:rsidP="00DC62A9">
            <w:pPr>
              <w:pStyle w:val="Paragraph"/>
              <w:numPr>
                <w:ilvl w:val="0"/>
                <w:numId w:val="0"/>
              </w:numPr>
              <w:spacing w:before="20" w:after="20"/>
              <w:rPr>
                <w:color w:val="000000" w:themeColor="text1"/>
              </w:rPr>
            </w:pPr>
          </w:p>
          <w:p w14:paraId="7023B9FE" w14:textId="77777777" w:rsidR="00C96774" w:rsidRDefault="00C96774" w:rsidP="00DC62A9">
            <w:pPr>
              <w:pStyle w:val="Paragraph"/>
              <w:numPr>
                <w:ilvl w:val="0"/>
                <w:numId w:val="0"/>
              </w:numPr>
              <w:spacing w:before="20" w:after="20"/>
              <w:rPr>
                <w:color w:val="000000" w:themeColor="text1"/>
              </w:rPr>
            </w:pPr>
          </w:p>
          <w:p w14:paraId="25A32E1A" w14:textId="77777777" w:rsidR="00C96774" w:rsidRDefault="00C96774" w:rsidP="00DC62A9">
            <w:pPr>
              <w:pStyle w:val="Paragraph"/>
              <w:numPr>
                <w:ilvl w:val="0"/>
                <w:numId w:val="0"/>
              </w:numPr>
              <w:spacing w:before="20" w:after="20"/>
              <w:rPr>
                <w:color w:val="000000" w:themeColor="text1"/>
              </w:rPr>
            </w:pPr>
          </w:p>
          <w:p w14:paraId="7E0DC63A" w14:textId="77777777" w:rsidR="00E47B80" w:rsidRPr="0067521E" w:rsidRDefault="00E47B80" w:rsidP="00DC62A9">
            <w:pPr>
              <w:pStyle w:val="Paragraph"/>
              <w:numPr>
                <w:ilvl w:val="0"/>
                <w:numId w:val="0"/>
              </w:numPr>
              <w:spacing w:before="20" w:after="20"/>
              <w:rPr>
                <w:color w:val="000000" w:themeColor="text1"/>
                <w:sz w:val="20"/>
              </w:rPr>
            </w:pPr>
          </w:p>
          <w:p w14:paraId="717AA005" w14:textId="77777777" w:rsidR="00B32DE0" w:rsidRPr="009F7E83" w:rsidRDefault="00B32DE0" w:rsidP="00DC62A9">
            <w:pPr>
              <w:spacing w:after="200" w:line="276" w:lineRule="auto"/>
              <w:jc w:val="both"/>
              <w:rPr>
                <w:rFonts w:ascii="Times New Roman" w:hAnsi="Times New Roman" w:cs="Times New Roman"/>
                <w:sz w:val="20"/>
                <w:szCs w:val="20"/>
                <w:lang w:val="es-BO"/>
              </w:rPr>
            </w:pPr>
            <w:r w:rsidRPr="004A12C5">
              <w:rPr>
                <w:rFonts w:ascii="Times New Roman" w:hAnsi="Times New Roman" w:cs="Times New Roman"/>
                <w:color w:val="000000" w:themeColor="text1"/>
                <w:sz w:val="20"/>
                <w:szCs w:val="20"/>
                <w:lang w:val="es-ES_tradnl"/>
              </w:rPr>
              <w:t xml:space="preserve">(4.7) </w:t>
            </w:r>
            <w:r w:rsidRPr="009F7E83">
              <w:rPr>
                <w:rFonts w:ascii="Times New Roman" w:hAnsi="Times New Roman" w:cs="Times New Roman"/>
                <w:color w:val="000000" w:themeColor="text1"/>
                <w:sz w:val="20"/>
                <w:szCs w:val="20"/>
                <w:lang w:val="es-BO"/>
              </w:rPr>
              <w:t xml:space="preserve">Evaluación semestral de las actividades económicas, financieras y de gestión de las </w:t>
            </w:r>
            <w:r w:rsidR="00AE68AF">
              <w:rPr>
                <w:rFonts w:ascii="Times New Roman" w:hAnsi="Times New Roman" w:cs="Times New Roman"/>
                <w:color w:val="000000" w:themeColor="text1"/>
                <w:sz w:val="20"/>
                <w:szCs w:val="20"/>
                <w:lang w:val="es-BO"/>
              </w:rPr>
              <w:t>e</w:t>
            </w:r>
            <w:r w:rsidRPr="009F7E83">
              <w:rPr>
                <w:rFonts w:ascii="Times New Roman" w:hAnsi="Times New Roman" w:cs="Times New Roman"/>
                <w:color w:val="000000" w:themeColor="text1"/>
                <w:sz w:val="20"/>
                <w:szCs w:val="20"/>
                <w:lang w:val="es-BO"/>
              </w:rPr>
              <w:t xml:space="preserve">mpresas </w:t>
            </w:r>
            <w:r w:rsidR="00AE68AF">
              <w:rPr>
                <w:rFonts w:ascii="Times New Roman" w:hAnsi="Times New Roman" w:cs="Times New Roman"/>
                <w:color w:val="000000" w:themeColor="text1"/>
                <w:sz w:val="20"/>
                <w:szCs w:val="20"/>
                <w:lang w:val="es-BO"/>
              </w:rPr>
              <w:t>p</w:t>
            </w:r>
            <w:r w:rsidRPr="009F7E83">
              <w:rPr>
                <w:rFonts w:ascii="Times New Roman" w:hAnsi="Times New Roman" w:cs="Times New Roman"/>
                <w:color w:val="000000" w:themeColor="text1"/>
                <w:sz w:val="20"/>
                <w:szCs w:val="20"/>
                <w:lang w:val="es-BO"/>
              </w:rPr>
              <w:t xml:space="preserve">úblicas </w:t>
            </w:r>
            <w:r w:rsidR="00AE68AF">
              <w:rPr>
                <w:rFonts w:ascii="Times New Roman" w:hAnsi="Times New Roman" w:cs="Times New Roman"/>
                <w:color w:val="000000" w:themeColor="text1"/>
                <w:sz w:val="20"/>
                <w:szCs w:val="20"/>
                <w:lang w:val="es-BO"/>
              </w:rPr>
              <w:t>n</w:t>
            </w:r>
            <w:r w:rsidRPr="009F7E83">
              <w:rPr>
                <w:rFonts w:ascii="Times New Roman" w:hAnsi="Times New Roman" w:cs="Times New Roman"/>
                <w:color w:val="000000" w:themeColor="text1"/>
                <w:sz w:val="20"/>
                <w:szCs w:val="20"/>
                <w:lang w:val="es-BO"/>
              </w:rPr>
              <w:t>acionales.</w:t>
            </w:r>
          </w:p>
        </w:tc>
        <w:tc>
          <w:tcPr>
            <w:tcW w:w="3517" w:type="dxa"/>
          </w:tcPr>
          <w:p w14:paraId="0859D0E3" w14:textId="5FC4D975" w:rsidR="00B32DE0" w:rsidRPr="002A5882" w:rsidRDefault="00B32DE0" w:rsidP="00DC62A9">
            <w:pPr>
              <w:spacing w:after="200" w:line="276" w:lineRule="auto"/>
              <w:jc w:val="both"/>
              <w:rPr>
                <w:rFonts w:ascii="Times New Roman" w:hAnsi="Times New Roman" w:cs="Times New Roman"/>
                <w:color w:val="000000" w:themeColor="text1"/>
                <w:sz w:val="20"/>
                <w:szCs w:val="20"/>
                <w:lang w:val="es-BO"/>
              </w:rPr>
            </w:pPr>
            <w:r w:rsidRPr="002A5882">
              <w:rPr>
                <w:rFonts w:ascii="Times New Roman" w:hAnsi="Times New Roman" w:cs="Times New Roman"/>
                <w:color w:val="000000" w:themeColor="text1"/>
                <w:sz w:val="20"/>
                <w:szCs w:val="20"/>
                <w:lang w:val="es-BO"/>
              </w:rPr>
              <w:lastRenderedPageBreak/>
              <w:t>Se modificó la medida debido a que</w:t>
            </w:r>
            <w:r w:rsidR="006C07C5">
              <w:rPr>
                <w:rFonts w:ascii="Times New Roman" w:hAnsi="Times New Roman" w:cs="Times New Roman"/>
                <w:color w:val="000000" w:themeColor="text1"/>
                <w:sz w:val="20"/>
                <w:szCs w:val="20"/>
                <w:lang w:val="es-BO"/>
              </w:rPr>
              <w:t>, aunque ya se cuenta con la normativa que establece el plan de cuentas armonizado</w:t>
            </w:r>
            <w:r w:rsidR="003074EC">
              <w:rPr>
                <w:rFonts w:ascii="Times New Roman" w:hAnsi="Times New Roman" w:cs="Times New Roman"/>
                <w:color w:val="000000" w:themeColor="text1"/>
                <w:sz w:val="20"/>
                <w:szCs w:val="20"/>
                <w:lang w:val="es-BO"/>
              </w:rPr>
              <w:t xml:space="preserve"> (emitida por el MEFP)</w:t>
            </w:r>
            <w:r w:rsidR="003A6C04">
              <w:rPr>
                <w:rFonts w:ascii="Times New Roman" w:hAnsi="Times New Roman" w:cs="Times New Roman"/>
                <w:color w:val="000000" w:themeColor="text1"/>
                <w:sz w:val="20"/>
                <w:szCs w:val="20"/>
                <w:lang w:val="es-BO"/>
              </w:rPr>
              <w:t>,</w:t>
            </w:r>
            <w:r w:rsidR="00FA57D2">
              <w:rPr>
                <w:rFonts w:ascii="Times New Roman" w:hAnsi="Times New Roman" w:cs="Times New Roman"/>
                <w:color w:val="000000" w:themeColor="text1"/>
                <w:sz w:val="20"/>
                <w:szCs w:val="20"/>
                <w:lang w:val="es-BO"/>
              </w:rPr>
              <w:t xml:space="preserve"> </w:t>
            </w:r>
            <w:r w:rsidRPr="002A5882">
              <w:rPr>
                <w:rFonts w:ascii="Times New Roman" w:hAnsi="Times New Roman" w:cs="Times New Roman"/>
                <w:color w:val="000000" w:themeColor="text1"/>
                <w:sz w:val="20"/>
                <w:szCs w:val="20"/>
                <w:lang w:val="es-BO"/>
              </w:rPr>
              <w:t>la aplicación de</w:t>
            </w:r>
            <w:r w:rsidR="003A6C04">
              <w:rPr>
                <w:rFonts w:ascii="Times New Roman" w:hAnsi="Times New Roman" w:cs="Times New Roman"/>
                <w:color w:val="000000" w:themeColor="text1"/>
                <w:sz w:val="20"/>
                <w:szCs w:val="20"/>
                <w:lang w:val="es-BO"/>
              </w:rPr>
              <w:t xml:space="preserve"> dicho </w:t>
            </w:r>
            <w:r w:rsidRPr="002A5882">
              <w:rPr>
                <w:rFonts w:ascii="Times New Roman" w:hAnsi="Times New Roman" w:cs="Times New Roman"/>
                <w:color w:val="000000" w:themeColor="text1"/>
                <w:sz w:val="20"/>
                <w:szCs w:val="20"/>
                <w:lang w:val="es-BO"/>
              </w:rPr>
              <w:t xml:space="preserve">plan de cuentas para </w:t>
            </w:r>
            <w:r w:rsidRPr="00AE68AF">
              <w:rPr>
                <w:rFonts w:ascii="Times New Roman" w:hAnsi="Times New Roman" w:cs="Times New Roman"/>
                <w:color w:val="000000" w:themeColor="text1"/>
                <w:sz w:val="20"/>
                <w:szCs w:val="20"/>
                <w:lang w:val="es-BO"/>
              </w:rPr>
              <w:t xml:space="preserve">empresas públicas depende de su </w:t>
            </w:r>
            <w:r w:rsidRPr="00AE68AF">
              <w:rPr>
                <w:rFonts w:ascii="Times New Roman" w:hAnsi="Times New Roman" w:cs="Times New Roman"/>
                <w:color w:val="000000" w:themeColor="text1"/>
                <w:sz w:val="20"/>
                <w:szCs w:val="20"/>
                <w:lang w:val="es-BO"/>
              </w:rPr>
              <w:lastRenderedPageBreak/>
              <w:t>incorporación en los sistemas informáticos</w:t>
            </w:r>
            <w:r w:rsidR="008F1AE9" w:rsidRPr="00AE68AF">
              <w:rPr>
                <w:rFonts w:ascii="Times New Roman" w:hAnsi="Times New Roman" w:cs="Times New Roman"/>
                <w:color w:val="000000" w:themeColor="text1"/>
                <w:sz w:val="20"/>
                <w:szCs w:val="20"/>
                <w:lang w:val="es-BO"/>
              </w:rPr>
              <w:t xml:space="preserve">. </w:t>
            </w:r>
            <w:r w:rsidR="003A6C04">
              <w:rPr>
                <w:rFonts w:ascii="Times New Roman" w:hAnsi="Times New Roman" w:cs="Times New Roman"/>
                <w:color w:val="000000" w:themeColor="text1"/>
                <w:sz w:val="20"/>
                <w:szCs w:val="20"/>
                <w:lang w:val="es-BO"/>
              </w:rPr>
              <w:t>En este sentido, s</w:t>
            </w:r>
            <w:r w:rsidRPr="00AE68AF">
              <w:rPr>
                <w:rFonts w:ascii="Times New Roman" w:hAnsi="Times New Roman" w:cs="Times New Roman"/>
                <w:color w:val="000000" w:themeColor="text1"/>
                <w:sz w:val="20"/>
                <w:szCs w:val="20"/>
                <w:lang w:val="es-BO"/>
              </w:rPr>
              <w:t>e adaptará el módulo de contabilidad del SIGEP para el registro del plan de cuentas armonizado para la</w:t>
            </w:r>
            <w:r w:rsidR="006464AA" w:rsidRPr="00AE68AF">
              <w:rPr>
                <w:rFonts w:ascii="Times New Roman" w:hAnsi="Times New Roman" w:cs="Times New Roman"/>
                <w:color w:val="000000" w:themeColor="text1"/>
                <w:sz w:val="20"/>
                <w:szCs w:val="20"/>
                <w:lang w:val="es-BO"/>
              </w:rPr>
              <w:t>s</w:t>
            </w:r>
            <w:r w:rsidRPr="00AE68AF">
              <w:rPr>
                <w:rFonts w:ascii="Times New Roman" w:hAnsi="Times New Roman" w:cs="Times New Roman"/>
                <w:color w:val="000000" w:themeColor="text1"/>
                <w:sz w:val="20"/>
                <w:szCs w:val="20"/>
                <w:lang w:val="es-BO"/>
              </w:rPr>
              <w:t xml:space="preserve"> empresas públicas</w:t>
            </w:r>
            <w:r w:rsidR="003A6C04">
              <w:rPr>
                <w:rFonts w:ascii="Times New Roman" w:hAnsi="Times New Roman" w:cs="Times New Roman"/>
                <w:color w:val="000000" w:themeColor="text1"/>
                <w:sz w:val="20"/>
                <w:szCs w:val="20"/>
                <w:lang w:val="es-BO"/>
              </w:rPr>
              <w:t xml:space="preserve"> como acción </w:t>
            </w:r>
            <w:r w:rsidR="003074EC">
              <w:rPr>
                <w:rFonts w:ascii="Times New Roman" w:hAnsi="Times New Roman" w:cs="Times New Roman"/>
                <w:color w:val="000000" w:themeColor="text1"/>
                <w:sz w:val="20"/>
                <w:szCs w:val="20"/>
                <w:lang w:val="es-BO"/>
              </w:rPr>
              <w:t xml:space="preserve">que permitirá </w:t>
            </w:r>
            <w:r w:rsidR="003A6C04">
              <w:rPr>
                <w:rFonts w:ascii="Times New Roman" w:hAnsi="Times New Roman" w:cs="Times New Roman"/>
                <w:color w:val="000000" w:themeColor="text1"/>
                <w:sz w:val="20"/>
                <w:szCs w:val="20"/>
                <w:lang w:val="es-BO"/>
              </w:rPr>
              <w:t xml:space="preserve">a </w:t>
            </w:r>
            <w:r w:rsidR="00BB043E">
              <w:rPr>
                <w:rFonts w:ascii="Times New Roman" w:hAnsi="Times New Roman" w:cs="Times New Roman"/>
                <w:color w:val="000000" w:themeColor="text1"/>
                <w:sz w:val="20"/>
                <w:szCs w:val="20"/>
                <w:lang w:val="es-BO"/>
              </w:rPr>
              <w:t xml:space="preserve">la aplicación efectiva de </w:t>
            </w:r>
            <w:r w:rsidR="003A6C04">
              <w:rPr>
                <w:rFonts w:ascii="Times New Roman" w:hAnsi="Times New Roman" w:cs="Times New Roman"/>
                <w:color w:val="000000" w:themeColor="text1"/>
                <w:sz w:val="20"/>
                <w:szCs w:val="20"/>
                <w:lang w:val="es-BO"/>
              </w:rPr>
              <w:t>norma</w:t>
            </w:r>
            <w:r w:rsidR="00862A87">
              <w:rPr>
                <w:rFonts w:ascii="Times New Roman" w:hAnsi="Times New Roman" w:cs="Times New Roman"/>
                <w:color w:val="000000" w:themeColor="text1"/>
                <w:sz w:val="20"/>
                <w:szCs w:val="20"/>
                <w:lang w:val="es-BO"/>
              </w:rPr>
              <w:t>.</w:t>
            </w:r>
          </w:p>
          <w:p w14:paraId="78AF4BAF" w14:textId="77777777" w:rsidR="00E47B80" w:rsidRPr="00E47B80" w:rsidRDefault="00E47B80" w:rsidP="00E47B80">
            <w:pPr>
              <w:spacing w:after="200" w:line="276" w:lineRule="auto"/>
              <w:jc w:val="both"/>
              <w:rPr>
                <w:rFonts w:ascii="Times New Roman" w:hAnsi="Times New Roman" w:cs="Times New Roman"/>
                <w:color w:val="000000" w:themeColor="text1"/>
                <w:sz w:val="2"/>
                <w:szCs w:val="20"/>
                <w:lang w:val="es-BO"/>
              </w:rPr>
            </w:pPr>
          </w:p>
          <w:p w14:paraId="77F773C1" w14:textId="77777777" w:rsidR="00B32DE0" w:rsidRPr="004A12C5" w:rsidRDefault="00B32DE0" w:rsidP="00DC62A9">
            <w:pPr>
              <w:spacing w:after="200" w:line="276" w:lineRule="auto"/>
              <w:jc w:val="both"/>
              <w:rPr>
                <w:rFonts w:ascii="Times New Roman" w:hAnsi="Times New Roman" w:cs="Times New Roman"/>
                <w:color w:val="000000" w:themeColor="text1"/>
                <w:sz w:val="20"/>
                <w:szCs w:val="20"/>
                <w:lang w:val="es-BO"/>
              </w:rPr>
            </w:pPr>
            <w:r w:rsidRPr="00E47B80">
              <w:rPr>
                <w:rFonts w:ascii="Times New Roman" w:hAnsi="Times New Roman" w:cs="Times New Roman"/>
                <w:color w:val="000000" w:themeColor="text1"/>
                <w:sz w:val="20"/>
                <w:szCs w:val="20"/>
                <w:lang w:val="es-BO"/>
              </w:rPr>
              <w:t>Se incorpora una medida para mejorar la supervisión sobre las empresas públicas nacionales a fin de contribuir a una mejor gestión del gasto.</w:t>
            </w:r>
          </w:p>
          <w:p w14:paraId="6B20A4A1" w14:textId="77777777" w:rsidR="00B32DE0" w:rsidRPr="009F7E83" w:rsidRDefault="00B32DE0" w:rsidP="00DC62A9">
            <w:pPr>
              <w:spacing w:after="200" w:line="276" w:lineRule="auto"/>
              <w:jc w:val="both"/>
              <w:rPr>
                <w:rFonts w:ascii="Times New Roman" w:hAnsi="Times New Roman" w:cs="Times New Roman"/>
                <w:sz w:val="20"/>
                <w:szCs w:val="20"/>
                <w:lang w:val="es-BO"/>
              </w:rPr>
            </w:pPr>
          </w:p>
        </w:tc>
      </w:tr>
      <w:tr w:rsidR="00B32DE0" w:rsidRPr="009370F6" w14:paraId="5BECFFA4" w14:textId="77777777" w:rsidTr="004A12C5">
        <w:tc>
          <w:tcPr>
            <w:tcW w:w="3064" w:type="dxa"/>
            <w:vMerge/>
          </w:tcPr>
          <w:p w14:paraId="076CF1DA" w14:textId="77777777" w:rsidR="00B32DE0" w:rsidRPr="002A5882" w:rsidRDefault="00B32DE0" w:rsidP="00DC62A9">
            <w:pPr>
              <w:spacing w:after="200" w:line="276" w:lineRule="auto"/>
              <w:jc w:val="both"/>
              <w:rPr>
                <w:rFonts w:ascii="Times New Roman" w:hAnsi="Times New Roman" w:cs="Times New Roman"/>
                <w:b/>
                <w:sz w:val="20"/>
                <w:szCs w:val="20"/>
                <w:lang w:val="es-MX"/>
              </w:rPr>
            </w:pPr>
          </w:p>
        </w:tc>
        <w:tc>
          <w:tcPr>
            <w:tcW w:w="2922" w:type="dxa"/>
          </w:tcPr>
          <w:p w14:paraId="7986E633" w14:textId="77777777" w:rsidR="00B32DE0" w:rsidRPr="002A5882" w:rsidRDefault="00B32DE0" w:rsidP="00DC62A9">
            <w:pPr>
              <w:spacing w:after="200" w:line="276" w:lineRule="auto"/>
              <w:jc w:val="both"/>
              <w:rPr>
                <w:rFonts w:ascii="Times New Roman" w:hAnsi="Times New Roman" w:cs="Times New Roman"/>
                <w:sz w:val="20"/>
                <w:szCs w:val="20"/>
                <w:lang w:val="es-BO"/>
              </w:rPr>
            </w:pPr>
            <w:r w:rsidRPr="002A5882">
              <w:rPr>
                <w:rFonts w:ascii="Times New Roman" w:hAnsi="Times New Roman" w:cs="Times New Roman"/>
                <w:sz w:val="20"/>
                <w:szCs w:val="20"/>
                <w:lang w:val="es-MX"/>
              </w:rPr>
              <w:t xml:space="preserve">(4.3) </w:t>
            </w:r>
            <w:r w:rsidRPr="002A5882">
              <w:rPr>
                <w:rFonts w:ascii="Times New Roman" w:hAnsi="Times New Roman" w:cs="Times New Roman"/>
                <w:sz w:val="20"/>
                <w:szCs w:val="20"/>
                <w:lang w:val="es-BO"/>
              </w:rPr>
              <w:t xml:space="preserve">Continuidad de la identificación de pagos indebidos con base en </w:t>
            </w:r>
            <w:r w:rsidRPr="002A5882">
              <w:rPr>
                <w:rFonts w:ascii="Times New Roman" w:hAnsi="Times New Roman" w:cs="Times New Roman"/>
                <w:sz w:val="20"/>
                <w:szCs w:val="20"/>
                <w:lang w:val="es-ES"/>
              </w:rPr>
              <w:t xml:space="preserve">cruce de informaciones de distintas bases de datos y consecuente </w:t>
            </w:r>
            <w:r w:rsidRPr="002A5882">
              <w:rPr>
                <w:rFonts w:ascii="Times New Roman" w:hAnsi="Times New Roman" w:cs="Times New Roman"/>
                <w:sz w:val="20"/>
                <w:szCs w:val="20"/>
                <w:lang w:val="es-BO"/>
              </w:rPr>
              <w:t>suspensión de beneficios administrados por el SENASIR, por fallecimiento de sus titulares o derechohabientes.</w:t>
            </w:r>
          </w:p>
        </w:tc>
        <w:tc>
          <w:tcPr>
            <w:tcW w:w="3687" w:type="dxa"/>
          </w:tcPr>
          <w:p w14:paraId="473A2099" w14:textId="77777777" w:rsidR="00B32DE0" w:rsidRPr="002A5882" w:rsidRDefault="00B32DE0" w:rsidP="00DC62A9">
            <w:pPr>
              <w:pStyle w:val="Paragraph"/>
              <w:numPr>
                <w:ilvl w:val="0"/>
                <w:numId w:val="0"/>
              </w:numPr>
              <w:spacing w:before="20" w:after="20"/>
              <w:rPr>
                <w:color w:val="000000" w:themeColor="text1"/>
                <w:sz w:val="20"/>
              </w:rPr>
            </w:pPr>
            <w:r w:rsidRPr="002A5882">
              <w:rPr>
                <w:sz w:val="20"/>
                <w:lang w:val="es-MX"/>
              </w:rPr>
              <w:t xml:space="preserve">(4.8) </w:t>
            </w:r>
            <w:r w:rsidRPr="002A5882">
              <w:rPr>
                <w:color w:val="000000" w:themeColor="text1"/>
                <w:sz w:val="20"/>
              </w:rPr>
              <w:t>Avance en la política de control de pagos indebidos de beneficios, mediante el cruce de información de las bases de datos del SENASIR, APS y SEGIP, con el objetivo de identificar en los registros la duplicidad de beneficiarios, fallecidos y nombres erróneos.</w:t>
            </w:r>
          </w:p>
          <w:p w14:paraId="1C0160FB" w14:textId="77777777" w:rsidR="00B32DE0" w:rsidRPr="002A5882" w:rsidRDefault="00B32DE0" w:rsidP="00DC62A9">
            <w:pPr>
              <w:pStyle w:val="Paragraph"/>
              <w:numPr>
                <w:ilvl w:val="0"/>
                <w:numId w:val="0"/>
              </w:numPr>
              <w:spacing w:before="20" w:after="20"/>
              <w:rPr>
                <w:color w:val="000000" w:themeColor="text1"/>
                <w:sz w:val="20"/>
              </w:rPr>
            </w:pPr>
          </w:p>
          <w:p w14:paraId="7BF23706" w14:textId="09A61706" w:rsidR="00B32DE0" w:rsidRPr="009F7E83" w:rsidRDefault="00B32DE0" w:rsidP="003F7FE0">
            <w:pPr>
              <w:shd w:val="clear" w:color="auto" w:fill="FFFFFF"/>
              <w:jc w:val="both"/>
              <w:rPr>
                <w:rFonts w:ascii="Times New Roman" w:hAnsi="Times New Roman" w:cs="Times New Roman"/>
                <w:sz w:val="20"/>
                <w:szCs w:val="20"/>
                <w:lang w:val="es-ES_tradnl"/>
              </w:rPr>
            </w:pPr>
            <w:r w:rsidRPr="002A5882">
              <w:rPr>
                <w:rFonts w:ascii="Times New Roman" w:hAnsi="Times New Roman" w:cs="Times New Roman"/>
                <w:color w:val="000000" w:themeColor="text1"/>
                <w:sz w:val="20"/>
                <w:szCs w:val="20"/>
                <w:lang w:val="es-ES_tradnl"/>
              </w:rPr>
              <w:t>(4.</w:t>
            </w:r>
            <w:r w:rsidRPr="002A5882">
              <w:rPr>
                <w:rFonts w:ascii="Times New Roman" w:eastAsia="Times New Roman" w:hAnsi="Times New Roman" w:cs="Times New Roman"/>
                <w:color w:val="000000" w:themeColor="text1"/>
                <w:sz w:val="20"/>
                <w:szCs w:val="20"/>
                <w:lang w:val="es-ES_tradnl"/>
              </w:rPr>
              <w:t>9) Expansión de la política de intercambio de información sobre beneficiarios del sistema de reparto</w:t>
            </w:r>
            <w:r w:rsidR="00FA57D2">
              <w:rPr>
                <w:rFonts w:ascii="Times New Roman" w:eastAsia="Times New Roman" w:hAnsi="Times New Roman" w:cs="Times New Roman"/>
                <w:color w:val="000000" w:themeColor="text1"/>
                <w:sz w:val="20"/>
                <w:szCs w:val="20"/>
                <w:lang w:val="es-ES_tradnl"/>
              </w:rPr>
              <w:t xml:space="preserve"> </w:t>
            </w:r>
            <w:r w:rsidRPr="002A5882">
              <w:rPr>
                <w:rFonts w:ascii="Times New Roman" w:eastAsia="Times New Roman" w:hAnsi="Times New Roman" w:cs="Times New Roman"/>
                <w:color w:val="000000" w:themeColor="text1"/>
                <w:sz w:val="20"/>
                <w:szCs w:val="20"/>
                <w:lang w:val="es-ES_tradnl"/>
              </w:rPr>
              <w:t>mediante la firma de</w:t>
            </w:r>
            <w:r w:rsidR="00FA57D2">
              <w:rPr>
                <w:rFonts w:ascii="Times New Roman" w:eastAsia="Times New Roman" w:hAnsi="Times New Roman" w:cs="Times New Roman"/>
                <w:color w:val="000000" w:themeColor="text1"/>
                <w:sz w:val="20"/>
                <w:szCs w:val="20"/>
                <w:lang w:val="es-ES_tradnl"/>
              </w:rPr>
              <w:t xml:space="preserve"> </w:t>
            </w:r>
            <w:r w:rsidRPr="002A5882">
              <w:rPr>
                <w:rFonts w:ascii="Times New Roman" w:eastAsia="Times New Roman" w:hAnsi="Times New Roman" w:cs="Times New Roman"/>
                <w:color w:val="000000" w:themeColor="text1"/>
                <w:sz w:val="20"/>
                <w:szCs w:val="20"/>
                <w:lang w:val="es-ES_tradnl"/>
              </w:rPr>
              <w:t xml:space="preserve">un convenio de cooperación interinstitucional entre el TSE, el MEFP, el VPSF, la APS y el SENASIR, que admita el acceso a la información del Servicio de Registro Cívico (SERECI), para la verificación de los datos de identidad de personas naturales, con el objetivo de realizar la </w:t>
            </w:r>
            <w:r w:rsidRPr="002A5882">
              <w:rPr>
                <w:rFonts w:ascii="Times New Roman" w:eastAsia="Times New Roman" w:hAnsi="Times New Roman" w:cs="Times New Roman"/>
                <w:color w:val="000000" w:themeColor="text1"/>
                <w:sz w:val="20"/>
                <w:szCs w:val="20"/>
                <w:lang w:val="es-ES_tradnl"/>
              </w:rPr>
              <w:lastRenderedPageBreak/>
              <w:t>actualización continua de datos personales de los Beneficiarios y Asegurados del Sistema Integral de Pensiones y de los rentistas del Sistema de Reparto, y de este modo</w:t>
            </w:r>
            <w:r w:rsidR="004A12C5">
              <w:rPr>
                <w:rFonts w:ascii="Times New Roman" w:eastAsia="Times New Roman" w:hAnsi="Times New Roman" w:cs="Times New Roman"/>
                <w:color w:val="000000" w:themeColor="text1"/>
                <w:sz w:val="20"/>
                <w:szCs w:val="20"/>
                <w:lang w:val="es-ES_tradnl"/>
              </w:rPr>
              <w:t>,</w:t>
            </w:r>
            <w:r w:rsidRPr="004A12C5">
              <w:rPr>
                <w:rFonts w:ascii="Times New Roman" w:eastAsia="Times New Roman" w:hAnsi="Times New Roman" w:cs="Times New Roman"/>
                <w:color w:val="000000" w:themeColor="text1"/>
                <w:sz w:val="20"/>
                <w:szCs w:val="20"/>
                <w:lang w:val="es-ES_tradnl"/>
              </w:rPr>
              <w:t xml:space="preserve"> reducir los costos fiscales en el pago de rentas.</w:t>
            </w:r>
          </w:p>
        </w:tc>
        <w:tc>
          <w:tcPr>
            <w:tcW w:w="3517" w:type="dxa"/>
          </w:tcPr>
          <w:p w14:paraId="1635EA14" w14:textId="77777777" w:rsidR="00B32DE0" w:rsidRPr="002A5882" w:rsidRDefault="00B32DE0" w:rsidP="00DC62A9">
            <w:pPr>
              <w:spacing w:after="200" w:line="276" w:lineRule="auto"/>
              <w:jc w:val="both"/>
              <w:rPr>
                <w:rFonts w:ascii="Times New Roman" w:hAnsi="Times New Roman" w:cs="Times New Roman"/>
                <w:sz w:val="20"/>
                <w:szCs w:val="20"/>
                <w:lang w:val="es-MX"/>
              </w:rPr>
            </w:pPr>
            <w:r w:rsidRPr="009F7E83">
              <w:rPr>
                <w:rFonts w:ascii="Times New Roman" w:hAnsi="Times New Roman" w:cs="Times New Roman"/>
                <w:sz w:val="20"/>
                <w:szCs w:val="20"/>
                <w:lang w:val="es-MX"/>
              </w:rPr>
              <w:lastRenderedPageBreak/>
              <w:t>Se mejoró la redacción y se precisó las entidades que participan en el cruce de información de base de datos.</w:t>
            </w:r>
          </w:p>
          <w:p w14:paraId="2D61AF59" w14:textId="77777777" w:rsidR="00B32DE0" w:rsidRPr="002A5882" w:rsidRDefault="00B32DE0" w:rsidP="00DC62A9">
            <w:pPr>
              <w:spacing w:after="200" w:line="276" w:lineRule="auto"/>
              <w:jc w:val="both"/>
              <w:rPr>
                <w:rFonts w:ascii="Times New Roman" w:hAnsi="Times New Roman" w:cs="Times New Roman"/>
                <w:sz w:val="20"/>
                <w:szCs w:val="20"/>
                <w:lang w:val="es-MX"/>
              </w:rPr>
            </w:pPr>
          </w:p>
          <w:p w14:paraId="1790B802" w14:textId="77777777" w:rsidR="00B32DE0" w:rsidRPr="002A5882" w:rsidRDefault="00B32DE0" w:rsidP="00DC62A9">
            <w:pPr>
              <w:spacing w:after="200" w:line="276" w:lineRule="auto"/>
              <w:jc w:val="both"/>
              <w:rPr>
                <w:rFonts w:ascii="Times New Roman" w:hAnsi="Times New Roman" w:cs="Times New Roman"/>
                <w:sz w:val="20"/>
                <w:szCs w:val="20"/>
                <w:lang w:val="es-MX"/>
              </w:rPr>
            </w:pPr>
          </w:p>
          <w:p w14:paraId="25EFF3ED" w14:textId="77777777" w:rsidR="00B32DE0" w:rsidRPr="002A5882" w:rsidRDefault="00DC62A9" w:rsidP="00DC62A9">
            <w:pPr>
              <w:spacing w:after="200" w:line="276" w:lineRule="auto"/>
              <w:jc w:val="both"/>
              <w:rPr>
                <w:rFonts w:ascii="Times New Roman" w:hAnsi="Times New Roman" w:cs="Times New Roman"/>
                <w:sz w:val="20"/>
                <w:szCs w:val="20"/>
                <w:lang w:val="es-MX"/>
              </w:rPr>
            </w:pPr>
            <w:r w:rsidRPr="002A5882">
              <w:rPr>
                <w:rFonts w:ascii="Times New Roman" w:hAnsi="Times New Roman" w:cs="Times New Roman"/>
                <w:color w:val="000000" w:themeColor="text1"/>
                <w:sz w:val="20"/>
                <w:szCs w:val="20"/>
                <w:lang w:val="es-BO"/>
              </w:rPr>
              <w:t>S</w:t>
            </w:r>
            <w:r w:rsidR="00B32DE0" w:rsidRPr="002A5882">
              <w:rPr>
                <w:rFonts w:ascii="Times New Roman" w:hAnsi="Times New Roman" w:cs="Times New Roman"/>
                <w:color w:val="000000" w:themeColor="text1"/>
                <w:sz w:val="20"/>
                <w:szCs w:val="20"/>
                <w:lang w:val="es-BO"/>
              </w:rPr>
              <w:t>e incorpora una nueva medida para la depuración del registro de los beneficiarios del sistema de reparto.</w:t>
            </w:r>
          </w:p>
          <w:p w14:paraId="016DA4B7" w14:textId="77777777" w:rsidR="00B32DE0" w:rsidRPr="002A5882" w:rsidRDefault="00B32DE0" w:rsidP="00DC62A9">
            <w:pPr>
              <w:spacing w:after="200" w:line="276" w:lineRule="auto"/>
              <w:jc w:val="both"/>
              <w:rPr>
                <w:rFonts w:ascii="Times New Roman" w:hAnsi="Times New Roman" w:cs="Times New Roman"/>
                <w:sz w:val="20"/>
                <w:szCs w:val="20"/>
                <w:lang w:val="es-MX"/>
              </w:rPr>
            </w:pPr>
          </w:p>
          <w:p w14:paraId="6654BD3F" w14:textId="77777777" w:rsidR="00B32DE0" w:rsidRPr="002A5882" w:rsidRDefault="00B32DE0" w:rsidP="00DC62A9">
            <w:pPr>
              <w:spacing w:after="200" w:line="276" w:lineRule="auto"/>
              <w:jc w:val="both"/>
              <w:rPr>
                <w:rFonts w:ascii="Times New Roman" w:hAnsi="Times New Roman" w:cs="Times New Roman"/>
                <w:sz w:val="20"/>
                <w:szCs w:val="20"/>
                <w:lang w:val="es-MX"/>
              </w:rPr>
            </w:pPr>
          </w:p>
        </w:tc>
      </w:tr>
      <w:tr w:rsidR="00B32DE0" w:rsidRPr="009370F6" w14:paraId="6F3682E5" w14:textId="77777777" w:rsidTr="004A12C5">
        <w:tc>
          <w:tcPr>
            <w:tcW w:w="3064" w:type="dxa"/>
            <w:vMerge/>
          </w:tcPr>
          <w:p w14:paraId="2E180F25" w14:textId="77777777" w:rsidR="00B32DE0" w:rsidRPr="002A5882" w:rsidRDefault="00B32DE0" w:rsidP="00DC62A9">
            <w:pPr>
              <w:spacing w:after="200" w:line="276" w:lineRule="auto"/>
              <w:jc w:val="both"/>
              <w:rPr>
                <w:rFonts w:ascii="Times New Roman" w:hAnsi="Times New Roman" w:cs="Times New Roman"/>
                <w:b/>
                <w:sz w:val="20"/>
                <w:szCs w:val="20"/>
                <w:lang w:val="es-MX"/>
              </w:rPr>
            </w:pPr>
          </w:p>
        </w:tc>
        <w:tc>
          <w:tcPr>
            <w:tcW w:w="2922" w:type="dxa"/>
          </w:tcPr>
          <w:p w14:paraId="6C09CCBD" w14:textId="77777777" w:rsidR="00B32DE0" w:rsidRPr="002A5882" w:rsidRDefault="00B32DE0" w:rsidP="00DC62A9">
            <w:pPr>
              <w:spacing w:after="200" w:line="276" w:lineRule="auto"/>
              <w:jc w:val="both"/>
              <w:rPr>
                <w:rFonts w:ascii="Times New Roman" w:hAnsi="Times New Roman" w:cs="Times New Roman"/>
                <w:sz w:val="20"/>
                <w:szCs w:val="20"/>
                <w:lang w:val="es-BO"/>
              </w:rPr>
            </w:pPr>
            <w:r w:rsidRPr="002A5882">
              <w:rPr>
                <w:rFonts w:ascii="Times New Roman" w:hAnsi="Times New Roman" w:cs="Times New Roman"/>
                <w:sz w:val="20"/>
                <w:szCs w:val="20"/>
                <w:lang w:val="es-MX"/>
              </w:rPr>
              <w:t xml:space="preserve">(4.4) </w:t>
            </w:r>
            <w:r w:rsidRPr="002A5882">
              <w:rPr>
                <w:rFonts w:ascii="Times New Roman" w:hAnsi="Times New Roman" w:cs="Times New Roman"/>
                <w:color w:val="000000" w:themeColor="text1"/>
                <w:sz w:val="20"/>
                <w:szCs w:val="20"/>
                <w:lang w:val="es-BO"/>
              </w:rPr>
              <w:t>Efectuar al menos un 30% de registros biométricos de los beneficiarios de la Renta Dignidad.</w:t>
            </w:r>
          </w:p>
        </w:tc>
        <w:tc>
          <w:tcPr>
            <w:tcW w:w="3687" w:type="dxa"/>
          </w:tcPr>
          <w:p w14:paraId="4F0067BE" w14:textId="77777777" w:rsidR="00B32DE0" w:rsidRDefault="00B32DE0" w:rsidP="00DC62A9">
            <w:pPr>
              <w:pStyle w:val="Paragraph"/>
              <w:numPr>
                <w:ilvl w:val="0"/>
                <w:numId w:val="0"/>
              </w:numPr>
              <w:spacing w:before="20" w:after="20"/>
              <w:rPr>
                <w:color w:val="000000" w:themeColor="text1"/>
                <w:sz w:val="20"/>
              </w:rPr>
            </w:pPr>
            <w:r w:rsidRPr="002A5882">
              <w:rPr>
                <w:sz w:val="20"/>
                <w:lang w:val="es-MX"/>
              </w:rPr>
              <w:t xml:space="preserve">(4.10) </w:t>
            </w:r>
            <w:r w:rsidRPr="002A5882">
              <w:rPr>
                <w:color w:val="000000" w:themeColor="text1"/>
                <w:sz w:val="20"/>
              </w:rPr>
              <w:t>Efectuar al menos el registro biométrico de un 10% de la población de Rentistas (Titulares y derechohabientes) y Beneficiarios de Pensiones Vitalicias (Beneméritos, Viudas de Beneméritos e Inválidos de Guerra).</w:t>
            </w:r>
          </w:p>
          <w:p w14:paraId="002C536C" w14:textId="77777777" w:rsidR="00C96774" w:rsidRDefault="00C96774" w:rsidP="00DC62A9">
            <w:pPr>
              <w:pStyle w:val="Paragraph"/>
              <w:numPr>
                <w:ilvl w:val="0"/>
                <w:numId w:val="0"/>
              </w:numPr>
              <w:spacing w:before="20" w:after="20"/>
              <w:rPr>
                <w:color w:val="000000" w:themeColor="text1"/>
                <w:sz w:val="20"/>
              </w:rPr>
            </w:pPr>
          </w:p>
          <w:p w14:paraId="3F88FDA6" w14:textId="77777777" w:rsidR="00C96774" w:rsidRPr="002A5882" w:rsidRDefault="00C96774" w:rsidP="00DC62A9">
            <w:pPr>
              <w:pStyle w:val="Paragraph"/>
              <w:numPr>
                <w:ilvl w:val="0"/>
                <w:numId w:val="0"/>
              </w:numPr>
              <w:spacing w:before="20" w:after="20"/>
              <w:rPr>
                <w:color w:val="000000" w:themeColor="text1"/>
                <w:sz w:val="20"/>
              </w:rPr>
            </w:pPr>
          </w:p>
          <w:p w14:paraId="5D98D23E" w14:textId="77777777" w:rsidR="00B32DE0" w:rsidRPr="002A5882" w:rsidRDefault="00B32DE0" w:rsidP="00DC62A9">
            <w:pPr>
              <w:pStyle w:val="Paragraph"/>
              <w:numPr>
                <w:ilvl w:val="0"/>
                <w:numId w:val="0"/>
              </w:numPr>
              <w:spacing w:before="20" w:after="20"/>
              <w:rPr>
                <w:color w:val="000000" w:themeColor="text1"/>
                <w:sz w:val="20"/>
              </w:rPr>
            </w:pPr>
          </w:p>
          <w:p w14:paraId="4AC675C8" w14:textId="68BFEB1B" w:rsidR="00B32DE0" w:rsidRPr="002A5882" w:rsidRDefault="00B32DE0" w:rsidP="00DC62A9">
            <w:pPr>
              <w:pStyle w:val="Paragraph"/>
              <w:numPr>
                <w:ilvl w:val="0"/>
                <w:numId w:val="0"/>
              </w:numPr>
              <w:spacing w:before="20" w:after="20"/>
              <w:rPr>
                <w:color w:val="000000" w:themeColor="text1"/>
                <w:sz w:val="20"/>
              </w:rPr>
            </w:pPr>
            <w:r w:rsidRPr="002A5882">
              <w:rPr>
                <w:color w:val="000000" w:themeColor="text1"/>
                <w:sz w:val="20"/>
              </w:rPr>
              <w:t>(4.11) Efectuar el registro biométrico de las personas que no son rentistas y sean beneficiarias de la Renta Dignidad de al menos un 85% del grupo a 2012</w:t>
            </w:r>
          </w:p>
          <w:p w14:paraId="3AA14AA8" w14:textId="77777777" w:rsidR="00B32DE0" w:rsidRPr="002A5882" w:rsidRDefault="00B32DE0" w:rsidP="00DC62A9">
            <w:pPr>
              <w:shd w:val="clear" w:color="auto" w:fill="FFFFFF"/>
              <w:spacing w:after="200" w:line="276" w:lineRule="auto"/>
              <w:jc w:val="both"/>
              <w:rPr>
                <w:rFonts w:ascii="Times New Roman" w:hAnsi="Times New Roman" w:cs="Times New Roman"/>
                <w:sz w:val="20"/>
                <w:szCs w:val="20"/>
                <w:lang w:val="es-ES_tradnl"/>
              </w:rPr>
            </w:pPr>
          </w:p>
        </w:tc>
        <w:tc>
          <w:tcPr>
            <w:tcW w:w="3517" w:type="dxa"/>
          </w:tcPr>
          <w:p w14:paraId="58B9D011" w14:textId="109F9881" w:rsidR="00B32DE0" w:rsidRPr="002A5882" w:rsidRDefault="00BA6013" w:rsidP="00DC62A9">
            <w:pPr>
              <w:spacing w:after="200" w:line="276" w:lineRule="auto"/>
              <w:jc w:val="both"/>
              <w:rPr>
                <w:rFonts w:ascii="Times New Roman" w:hAnsi="Times New Roman" w:cs="Times New Roman"/>
                <w:color w:val="000000" w:themeColor="text1"/>
                <w:sz w:val="20"/>
                <w:szCs w:val="20"/>
                <w:lang w:val="es-BO"/>
              </w:rPr>
            </w:pPr>
            <w:r>
              <w:rPr>
                <w:rFonts w:ascii="Times New Roman" w:hAnsi="Times New Roman" w:cs="Times New Roman"/>
                <w:sz w:val="20"/>
                <w:szCs w:val="20"/>
                <w:lang w:val="es-ES_tradnl"/>
              </w:rPr>
              <w:t xml:space="preserve">Considerando que los beneficiarios de la Renta Dignidad son todas las personas mayores de 60 años, </w:t>
            </w:r>
            <w:r w:rsidR="00BB5840">
              <w:rPr>
                <w:rFonts w:ascii="Times New Roman" w:hAnsi="Times New Roman" w:cs="Times New Roman"/>
                <w:sz w:val="20"/>
                <w:szCs w:val="20"/>
                <w:lang w:val="es-ES_tradnl"/>
              </w:rPr>
              <w:t xml:space="preserve">y que </w:t>
            </w:r>
            <w:r>
              <w:rPr>
                <w:rFonts w:ascii="Times New Roman" w:hAnsi="Times New Roman" w:cs="Times New Roman"/>
                <w:sz w:val="20"/>
                <w:szCs w:val="20"/>
                <w:lang w:val="es-ES_tradnl"/>
              </w:rPr>
              <w:t xml:space="preserve">parte de </w:t>
            </w:r>
            <w:r w:rsidR="00BB5840">
              <w:rPr>
                <w:rFonts w:ascii="Times New Roman" w:hAnsi="Times New Roman" w:cs="Times New Roman"/>
                <w:sz w:val="20"/>
                <w:szCs w:val="20"/>
                <w:lang w:val="es-ES_tradnl"/>
              </w:rPr>
              <w:t xml:space="preserve">esta población </w:t>
            </w:r>
            <w:r>
              <w:rPr>
                <w:rFonts w:ascii="Times New Roman" w:hAnsi="Times New Roman" w:cs="Times New Roman"/>
                <w:sz w:val="20"/>
                <w:szCs w:val="20"/>
                <w:lang w:val="es-ES_tradnl"/>
              </w:rPr>
              <w:t>son rentistas o beneficiarios de pensiones vitalicias</w:t>
            </w:r>
            <w:r w:rsidR="00BB5840">
              <w:rPr>
                <w:rFonts w:ascii="Times New Roman" w:hAnsi="Times New Roman" w:cs="Times New Roman"/>
                <w:sz w:val="20"/>
                <w:szCs w:val="20"/>
                <w:lang w:val="es-ES_tradnl"/>
              </w:rPr>
              <w:t>; el Viceministerio de Pensiones y la Autoridad de Pensione desarrollan esfuerzos de registro biométrico de ambos grupos</w:t>
            </w:r>
            <w:r w:rsidR="00BD5106">
              <w:rPr>
                <w:rFonts w:ascii="Times New Roman" w:hAnsi="Times New Roman" w:cs="Times New Roman"/>
                <w:sz w:val="20"/>
                <w:szCs w:val="20"/>
                <w:lang w:val="es-ES_tradnl"/>
              </w:rPr>
              <w:t xml:space="preserve"> mediante estrategias diferenciadas</w:t>
            </w:r>
            <w:r w:rsidR="00062CB2">
              <w:rPr>
                <w:rFonts w:ascii="Times New Roman" w:hAnsi="Times New Roman" w:cs="Times New Roman"/>
                <w:sz w:val="20"/>
                <w:szCs w:val="20"/>
                <w:lang w:val="es-ES_tradnl"/>
              </w:rPr>
              <w:t>, a las cuales se ha alineado la operación</w:t>
            </w:r>
            <w:r w:rsidR="00BD5106">
              <w:rPr>
                <w:rFonts w:ascii="Times New Roman" w:hAnsi="Times New Roman" w:cs="Times New Roman"/>
                <w:sz w:val="20"/>
                <w:szCs w:val="20"/>
                <w:lang w:val="es-ES_tradnl"/>
              </w:rPr>
              <w:t>. En este contexto</w:t>
            </w:r>
            <w:r w:rsidR="00062CB2">
              <w:rPr>
                <w:rFonts w:ascii="Times New Roman" w:hAnsi="Times New Roman" w:cs="Times New Roman"/>
                <w:sz w:val="20"/>
                <w:szCs w:val="20"/>
                <w:lang w:val="es-ES_tradnl"/>
              </w:rPr>
              <w:t xml:space="preserve"> por una parte </w:t>
            </w:r>
            <w:r w:rsidR="001575EE">
              <w:rPr>
                <w:rFonts w:ascii="Times New Roman" w:hAnsi="Times New Roman" w:cs="Times New Roman"/>
                <w:sz w:val="20"/>
                <w:szCs w:val="20"/>
                <w:lang w:val="es-ES_tradnl"/>
              </w:rPr>
              <w:t>s</w:t>
            </w:r>
            <w:r w:rsidR="00B32DE0" w:rsidRPr="002A5882">
              <w:rPr>
                <w:rFonts w:ascii="Times New Roman" w:hAnsi="Times New Roman" w:cs="Times New Roman"/>
                <w:sz w:val="20"/>
                <w:szCs w:val="20"/>
                <w:lang w:val="es-MX"/>
              </w:rPr>
              <w:t xml:space="preserve">e amplió </w:t>
            </w:r>
            <w:r w:rsidR="001575EE">
              <w:rPr>
                <w:rFonts w:ascii="Times New Roman" w:hAnsi="Times New Roman" w:cs="Times New Roman"/>
                <w:sz w:val="20"/>
                <w:szCs w:val="20"/>
                <w:lang w:val="es-MX"/>
              </w:rPr>
              <w:t xml:space="preserve">hasta 85% la meta de </w:t>
            </w:r>
            <w:r w:rsidR="00B32DE0" w:rsidRPr="002A5882">
              <w:rPr>
                <w:rFonts w:ascii="Times New Roman" w:hAnsi="Times New Roman" w:cs="Times New Roman"/>
                <w:sz w:val="20"/>
                <w:szCs w:val="20"/>
                <w:lang w:val="es-MX"/>
              </w:rPr>
              <w:t>registro biométrico de</w:t>
            </w:r>
            <w:r w:rsidR="00FA57D2">
              <w:rPr>
                <w:rFonts w:ascii="Times New Roman" w:hAnsi="Times New Roman" w:cs="Times New Roman"/>
                <w:sz w:val="20"/>
                <w:szCs w:val="20"/>
                <w:lang w:val="es-MX"/>
              </w:rPr>
              <w:t xml:space="preserve"> </w:t>
            </w:r>
            <w:r w:rsidR="00B32DE0" w:rsidRPr="002A5882">
              <w:rPr>
                <w:rFonts w:ascii="Times New Roman" w:hAnsi="Times New Roman" w:cs="Times New Roman"/>
                <w:sz w:val="20"/>
                <w:szCs w:val="20"/>
                <w:lang w:val="es-MX"/>
              </w:rPr>
              <w:t>l</w:t>
            </w:r>
            <w:r w:rsidR="001575EE">
              <w:rPr>
                <w:rFonts w:ascii="Times New Roman" w:hAnsi="Times New Roman" w:cs="Times New Roman"/>
                <w:sz w:val="20"/>
                <w:szCs w:val="20"/>
                <w:lang w:val="es-MX"/>
              </w:rPr>
              <w:t xml:space="preserve">as personas </w:t>
            </w:r>
            <w:r w:rsidR="002328DF">
              <w:rPr>
                <w:rFonts w:ascii="Times New Roman" w:hAnsi="Times New Roman" w:cs="Times New Roman"/>
                <w:sz w:val="20"/>
                <w:szCs w:val="20"/>
                <w:lang w:val="es-MX"/>
              </w:rPr>
              <w:t xml:space="preserve">no rentistas pero que se beneficiaron </w:t>
            </w:r>
            <w:r w:rsidR="00B32DE0" w:rsidRPr="002A5882">
              <w:rPr>
                <w:rFonts w:ascii="Times New Roman" w:hAnsi="Times New Roman" w:cs="Times New Roman"/>
                <w:sz w:val="20"/>
                <w:szCs w:val="20"/>
                <w:lang w:val="es-MX"/>
              </w:rPr>
              <w:t xml:space="preserve"> </w:t>
            </w:r>
            <w:r w:rsidR="00B32DE0" w:rsidRPr="002A5882">
              <w:rPr>
                <w:rFonts w:ascii="Times New Roman" w:hAnsi="Times New Roman" w:cs="Times New Roman"/>
                <w:color w:val="000000" w:themeColor="text1"/>
                <w:sz w:val="20"/>
                <w:szCs w:val="20"/>
                <w:lang w:val="es-BO"/>
              </w:rPr>
              <w:t>de la Renta Dignidad a</w:t>
            </w:r>
            <w:r w:rsidR="001575EE">
              <w:rPr>
                <w:rFonts w:ascii="Times New Roman" w:hAnsi="Times New Roman" w:cs="Times New Roman"/>
                <w:color w:val="000000" w:themeColor="text1"/>
                <w:sz w:val="20"/>
                <w:szCs w:val="20"/>
                <w:lang w:val="es-BO"/>
              </w:rPr>
              <w:t>l 31 de diciembre de</w:t>
            </w:r>
            <w:r w:rsidR="00B32DE0" w:rsidRPr="002A5882">
              <w:rPr>
                <w:rFonts w:ascii="Times New Roman" w:hAnsi="Times New Roman" w:cs="Times New Roman"/>
                <w:color w:val="000000" w:themeColor="text1"/>
                <w:sz w:val="20"/>
                <w:szCs w:val="20"/>
                <w:lang w:val="es-BO"/>
              </w:rPr>
              <w:t xml:space="preserve"> 2012</w:t>
            </w:r>
            <w:r w:rsidR="001575EE">
              <w:rPr>
                <w:rFonts w:ascii="Times New Roman" w:hAnsi="Times New Roman" w:cs="Times New Roman"/>
                <w:color w:val="000000" w:themeColor="text1"/>
                <w:sz w:val="20"/>
                <w:szCs w:val="20"/>
                <w:lang w:val="es-BO"/>
              </w:rPr>
              <w:t>;</w:t>
            </w:r>
            <w:r w:rsidR="00B32DE0" w:rsidRPr="002A5882">
              <w:rPr>
                <w:rFonts w:ascii="Times New Roman" w:hAnsi="Times New Roman" w:cs="Times New Roman"/>
                <w:color w:val="000000" w:themeColor="text1"/>
                <w:sz w:val="20"/>
                <w:szCs w:val="20"/>
                <w:lang w:val="es-BO"/>
              </w:rPr>
              <w:t xml:space="preserve"> y </w:t>
            </w:r>
            <w:r w:rsidR="001575EE">
              <w:rPr>
                <w:rFonts w:ascii="Times New Roman" w:hAnsi="Times New Roman" w:cs="Times New Roman"/>
                <w:color w:val="000000" w:themeColor="text1"/>
                <w:sz w:val="20"/>
                <w:szCs w:val="20"/>
                <w:lang w:val="es-BO"/>
              </w:rPr>
              <w:t xml:space="preserve">por otra </w:t>
            </w:r>
            <w:r w:rsidR="00B32DE0" w:rsidRPr="002A5882">
              <w:rPr>
                <w:rFonts w:ascii="Times New Roman" w:hAnsi="Times New Roman" w:cs="Times New Roman"/>
                <w:color w:val="000000" w:themeColor="text1"/>
                <w:sz w:val="20"/>
                <w:szCs w:val="20"/>
                <w:lang w:val="es-BO"/>
              </w:rPr>
              <w:t>se incorpor</w:t>
            </w:r>
            <w:r w:rsidR="001575EE">
              <w:rPr>
                <w:rFonts w:ascii="Times New Roman" w:hAnsi="Times New Roman" w:cs="Times New Roman"/>
                <w:color w:val="000000" w:themeColor="text1"/>
                <w:sz w:val="20"/>
                <w:szCs w:val="20"/>
                <w:lang w:val="es-BO"/>
              </w:rPr>
              <w:t>ó</w:t>
            </w:r>
            <w:r w:rsidR="00B32DE0" w:rsidRPr="002A5882">
              <w:rPr>
                <w:rFonts w:ascii="Times New Roman" w:hAnsi="Times New Roman" w:cs="Times New Roman"/>
                <w:color w:val="000000" w:themeColor="text1"/>
                <w:sz w:val="20"/>
                <w:szCs w:val="20"/>
                <w:lang w:val="es-BO"/>
              </w:rPr>
              <w:t xml:space="preserve"> </w:t>
            </w:r>
            <w:r w:rsidR="00D4528B">
              <w:rPr>
                <w:rFonts w:ascii="Times New Roman" w:hAnsi="Times New Roman" w:cs="Times New Roman"/>
                <w:color w:val="000000" w:themeColor="text1"/>
                <w:sz w:val="20"/>
                <w:szCs w:val="20"/>
                <w:lang w:val="es-BO"/>
              </w:rPr>
              <w:t xml:space="preserve">como meta de </w:t>
            </w:r>
            <w:r w:rsidR="00B32DE0" w:rsidRPr="002A5882">
              <w:rPr>
                <w:rFonts w:ascii="Times New Roman" w:hAnsi="Times New Roman" w:cs="Times New Roman"/>
                <w:color w:val="000000" w:themeColor="text1"/>
                <w:sz w:val="20"/>
                <w:szCs w:val="20"/>
                <w:lang w:val="es-BO"/>
              </w:rPr>
              <w:t xml:space="preserve">registro biométrico </w:t>
            </w:r>
            <w:r w:rsidR="00D4528B">
              <w:rPr>
                <w:rFonts w:ascii="Times New Roman" w:hAnsi="Times New Roman" w:cs="Times New Roman"/>
                <w:color w:val="000000" w:themeColor="text1"/>
                <w:sz w:val="20"/>
                <w:szCs w:val="20"/>
                <w:lang w:val="es-BO"/>
              </w:rPr>
              <w:t xml:space="preserve">al 10% de la población de rentistas </w:t>
            </w:r>
            <w:r w:rsidR="00B32DE0" w:rsidRPr="002A5882">
              <w:rPr>
                <w:rFonts w:ascii="Times New Roman" w:hAnsi="Times New Roman" w:cs="Times New Roman"/>
                <w:color w:val="000000" w:themeColor="text1"/>
                <w:sz w:val="20"/>
                <w:szCs w:val="20"/>
                <w:lang w:val="es-BO"/>
              </w:rPr>
              <w:t>(rentistas titulares, derechohabientes y beneficiarios de pensiones vitalicias).</w:t>
            </w:r>
          </w:p>
          <w:p w14:paraId="6B700F7D" w14:textId="77777777" w:rsidR="00B32DE0" w:rsidRPr="002A5882" w:rsidRDefault="00B32DE0" w:rsidP="00DC62A9">
            <w:pPr>
              <w:spacing w:after="200" w:line="276" w:lineRule="auto"/>
              <w:jc w:val="both"/>
              <w:rPr>
                <w:rFonts w:ascii="Times New Roman" w:hAnsi="Times New Roman" w:cs="Times New Roman"/>
                <w:color w:val="000000" w:themeColor="text1"/>
                <w:sz w:val="20"/>
                <w:szCs w:val="20"/>
                <w:lang w:val="es-ES_tradnl"/>
              </w:rPr>
            </w:pPr>
          </w:p>
          <w:p w14:paraId="450F1D27" w14:textId="77777777" w:rsidR="00B32DE0" w:rsidRPr="002A5882" w:rsidRDefault="00B32DE0" w:rsidP="00DC62A9">
            <w:pPr>
              <w:spacing w:after="200" w:line="276" w:lineRule="auto"/>
              <w:jc w:val="both"/>
              <w:rPr>
                <w:rFonts w:ascii="Times New Roman" w:hAnsi="Times New Roman" w:cs="Times New Roman"/>
                <w:color w:val="000000" w:themeColor="text1"/>
                <w:sz w:val="20"/>
                <w:szCs w:val="20"/>
                <w:lang w:val="es-BO"/>
              </w:rPr>
            </w:pPr>
          </w:p>
          <w:p w14:paraId="6FDE4CD6" w14:textId="77777777" w:rsidR="00B32DE0" w:rsidRPr="002A5882" w:rsidRDefault="00B32DE0" w:rsidP="00DC62A9">
            <w:pPr>
              <w:spacing w:after="200" w:line="276" w:lineRule="auto"/>
              <w:jc w:val="both"/>
              <w:rPr>
                <w:rFonts w:ascii="Times New Roman" w:hAnsi="Times New Roman" w:cs="Times New Roman"/>
                <w:color w:val="000000" w:themeColor="text1"/>
                <w:sz w:val="20"/>
                <w:szCs w:val="20"/>
                <w:lang w:val="es-BO"/>
              </w:rPr>
            </w:pPr>
          </w:p>
          <w:p w14:paraId="3E36AE9F" w14:textId="77777777" w:rsidR="00B32DE0" w:rsidRPr="002A5882" w:rsidRDefault="00B32DE0" w:rsidP="00DC62A9">
            <w:pPr>
              <w:spacing w:after="200" w:line="276" w:lineRule="auto"/>
              <w:jc w:val="both"/>
              <w:rPr>
                <w:rFonts w:ascii="Times New Roman" w:hAnsi="Times New Roman" w:cs="Times New Roman"/>
                <w:color w:val="000000" w:themeColor="text1"/>
                <w:sz w:val="20"/>
                <w:szCs w:val="20"/>
                <w:lang w:val="es-BO"/>
              </w:rPr>
            </w:pPr>
          </w:p>
          <w:p w14:paraId="52D5CD6C" w14:textId="77777777" w:rsidR="00B32DE0" w:rsidRPr="002A5882" w:rsidRDefault="00B32DE0" w:rsidP="00DC62A9">
            <w:pPr>
              <w:spacing w:after="200" w:line="276" w:lineRule="auto"/>
              <w:jc w:val="both"/>
              <w:rPr>
                <w:rFonts w:ascii="Times New Roman" w:hAnsi="Times New Roman" w:cs="Times New Roman"/>
                <w:sz w:val="20"/>
                <w:szCs w:val="20"/>
                <w:lang w:val="es-BO"/>
              </w:rPr>
            </w:pPr>
          </w:p>
        </w:tc>
      </w:tr>
      <w:tr w:rsidR="00B32DE0" w:rsidRPr="009370F6" w14:paraId="5A39452B" w14:textId="77777777" w:rsidTr="004A12C5">
        <w:tc>
          <w:tcPr>
            <w:tcW w:w="3064" w:type="dxa"/>
            <w:vMerge w:val="restart"/>
          </w:tcPr>
          <w:p w14:paraId="19488327" w14:textId="77777777" w:rsidR="00B32DE0" w:rsidRPr="002A5882" w:rsidRDefault="00B32DE0" w:rsidP="00DC62A9">
            <w:pPr>
              <w:spacing w:after="200" w:line="276" w:lineRule="auto"/>
              <w:jc w:val="both"/>
              <w:rPr>
                <w:rFonts w:ascii="Times New Roman" w:hAnsi="Times New Roman" w:cs="Times New Roman"/>
                <w:b/>
                <w:color w:val="000000" w:themeColor="text1"/>
                <w:sz w:val="20"/>
                <w:szCs w:val="20"/>
                <w:lang w:val="es-BO"/>
              </w:rPr>
            </w:pPr>
            <w:r w:rsidRPr="002A5882">
              <w:rPr>
                <w:rFonts w:ascii="Times New Roman" w:hAnsi="Times New Roman" w:cs="Times New Roman"/>
                <w:b/>
                <w:color w:val="000000" w:themeColor="text1"/>
                <w:sz w:val="20"/>
                <w:szCs w:val="20"/>
                <w:lang w:val="es-BO"/>
              </w:rPr>
              <w:lastRenderedPageBreak/>
              <w:t xml:space="preserve">Componente 5. Medidas de incremento de la transparencia y combate a la corrupción </w:t>
            </w:r>
          </w:p>
          <w:p w14:paraId="0DDC41AB" w14:textId="77777777" w:rsidR="00B32DE0" w:rsidRPr="009F7E83" w:rsidRDefault="00B32DE0" w:rsidP="00DC62A9">
            <w:pPr>
              <w:spacing w:after="200" w:line="276" w:lineRule="auto"/>
              <w:jc w:val="both"/>
              <w:rPr>
                <w:rFonts w:ascii="Times New Roman" w:hAnsi="Times New Roman" w:cs="Times New Roman"/>
                <w:sz w:val="20"/>
                <w:szCs w:val="20"/>
                <w:lang w:val="es-BO"/>
              </w:rPr>
            </w:pPr>
            <w:r w:rsidRPr="002A5882">
              <w:rPr>
                <w:rFonts w:ascii="Times New Roman" w:hAnsi="Times New Roman" w:cs="Times New Roman"/>
                <w:color w:val="000000" w:themeColor="text1"/>
                <w:sz w:val="20"/>
                <w:szCs w:val="20"/>
                <w:lang w:val="es-BO"/>
              </w:rPr>
              <w:t xml:space="preserve">Mejorar la transparencia, la rendición de cuentas y el acceso de la información, como instrumento de apoyo al control social y reducir los riesgos de hechos de </w:t>
            </w:r>
            <w:r w:rsidRPr="004A12C5">
              <w:rPr>
                <w:rFonts w:ascii="Times New Roman" w:hAnsi="Times New Roman" w:cs="Times New Roman"/>
                <w:color w:val="000000" w:themeColor="text1"/>
                <w:sz w:val="20"/>
                <w:szCs w:val="20"/>
                <w:lang w:val="es-BO"/>
              </w:rPr>
              <w:t>corrupción.</w:t>
            </w:r>
          </w:p>
        </w:tc>
        <w:tc>
          <w:tcPr>
            <w:tcW w:w="2922" w:type="dxa"/>
          </w:tcPr>
          <w:p w14:paraId="55CFF012" w14:textId="77777777" w:rsidR="00B32DE0" w:rsidRPr="002A5882" w:rsidRDefault="00B32DE0" w:rsidP="00DC62A9">
            <w:pPr>
              <w:spacing w:after="200" w:line="276" w:lineRule="auto"/>
              <w:jc w:val="both"/>
              <w:rPr>
                <w:rFonts w:ascii="Times New Roman" w:hAnsi="Times New Roman" w:cs="Times New Roman"/>
                <w:sz w:val="20"/>
                <w:szCs w:val="20"/>
                <w:lang w:val="es-BO"/>
              </w:rPr>
            </w:pPr>
            <w:r w:rsidRPr="009F7E83">
              <w:rPr>
                <w:rFonts w:ascii="Times New Roman" w:hAnsi="Times New Roman" w:cs="Times New Roman"/>
                <w:sz w:val="20"/>
                <w:szCs w:val="20"/>
                <w:lang w:val="es-MX"/>
              </w:rPr>
              <w:t xml:space="preserve">(5.1) </w:t>
            </w:r>
            <w:r w:rsidRPr="009F7E83">
              <w:rPr>
                <w:rFonts w:ascii="Times New Roman" w:hAnsi="Times New Roman" w:cs="Times New Roman"/>
                <w:color w:val="000000" w:themeColor="text1"/>
                <w:sz w:val="20"/>
                <w:szCs w:val="20"/>
                <w:lang w:val="es-BO"/>
              </w:rPr>
              <w:t>Elaboración y aprobación de plan estratégico para el fortalecimiento institucional y modernización de la CGE.</w:t>
            </w:r>
          </w:p>
        </w:tc>
        <w:tc>
          <w:tcPr>
            <w:tcW w:w="3687" w:type="dxa"/>
          </w:tcPr>
          <w:p w14:paraId="2539D029" w14:textId="77777777" w:rsidR="00B32DE0" w:rsidRPr="002A5882" w:rsidRDefault="00B32DE0" w:rsidP="00DC62A9">
            <w:pPr>
              <w:spacing w:after="200" w:line="276" w:lineRule="auto"/>
              <w:jc w:val="both"/>
              <w:rPr>
                <w:rFonts w:ascii="Times New Roman" w:hAnsi="Times New Roman" w:cs="Times New Roman"/>
                <w:sz w:val="20"/>
                <w:szCs w:val="20"/>
                <w:lang w:val="es-MX"/>
              </w:rPr>
            </w:pPr>
          </w:p>
        </w:tc>
        <w:tc>
          <w:tcPr>
            <w:tcW w:w="3517" w:type="dxa"/>
          </w:tcPr>
          <w:p w14:paraId="35F384C5" w14:textId="77777777" w:rsidR="00B32DE0" w:rsidRPr="002A5882" w:rsidRDefault="00B32DE0" w:rsidP="00DC62A9">
            <w:pPr>
              <w:spacing w:after="200" w:line="276" w:lineRule="auto"/>
              <w:jc w:val="both"/>
              <w:rPr>
                <w:rFonts w:ascii="Times New Roman" w:hAnsi="Times New Roman" w:cs="Times New Roman"/>
                <w:sz w:val="20"/>
                <w:szCs w:val="20"/>
                <w:lang w:val="es-BO"/>
              </w:rPr>
            </w:pPr>
            <w:r w:rsidRPr="002A5882">
              <w:rPr>
                <w:rFonts w:ascii="Times New Roman" w:hAnsi="Times New Roman" w:cs="Times New Roman"/>
                <w:color w:val="000000" w:themeColor="text1"/>
                <w:sz w:val="20"/>
                <w:szCs w:val="20"/>
                <w:lang w:val="es-BO"/>
              </w:rPr>
              <w:t>La elaboración del Plan de la CGE fue diferida por las autoridades en espera de la promulgación de la Ley de Gestión Pública, actualmente en elaboración, que establece un nuevo enfoque sobre control interno.</w:t>
            </w:r>
          </w:p>
        </w:tc>
      </w:tr>
      <w:tr w:rsidR="00B32DE0" w:rsidRPr="009370F6" w14:paraId="5A78E410" w14:textId="77777777" w:rsidTr="004A12C5">
        <w:tc>
          <w:tcPr>
            <w:tcW w:w="3064" w:type="dxa"/>
            <w:vMerge/>
          </w:tcPr>
          <w:p w14:paraId="621F6706" w14:textId="77777777" w:rsidR="00B32DE0" w:rsidRPr="002A5882" w:rsidRDefault="00B32DE0" w:rsidP="00DC62A9">
            <w:pPr>
              <w:spacing w:after="200" w:line="276" w:lineRule="auto"/>
              <w:jc w:val="both"/>
              <w:rPr>
                <w:rFonts w:ascii="Times New Roman" w:hAnsi="Times New Roman" w:cs="Times New Roman"/>
                <w:sz w:val="20"/>
                <w:szCs w:val="20"/>
                <w:lang w:val="es-MX"/>
              </w:rPr>
            </w:pPr>
          </w:p>
        </w:tc>
        <w:tc>
          <w:tcPr>
            <w:tcW w:w="2922" w:type="dxa"/>
          </w:tcPr>
          <w:p w14:paraId="69C03A4D" w14:textId="77777777" w:rsidR="00B32DE0" w:rsidRPr="002A5882" w:rsidRDefault="00B32DE0" w:rsidP="00DC62A9">
            <w:pPr>
              <w:spacing w:after="200" w:line="276" w:lineRule="auto"/>
              <w:jc w:val="both"/>
              <w:rPr>
                <w:rFonts w:ascii="Times New Roman" w:hAnsi="Times New Roman" w:cs="Times New Roman"/>
                <w:sz w:val="20"/>
                <w:szCs w:val="20"/>
                <w:lang w:val="es-BO"/>
              </w:rPr>
            </w:pPr>
            <w:r w:rsidRPr="002A5882">
              <w:rPr>
                <w:rFonts w:ascii="Times New Roman" w:hAnsi="Times New Roman" w:cs="Times New Roman"/>
                <w:sz w:val="20"/>
                <w:szCs w:val="20"/>
                <w:lang w:val="es-MX"/>
              </w:rPr>
              <w:t>(5.</w:t>
            </w:r>
            <w:r w:rsidR="004A12C5">
              <w:rPr>
                <w:rFonts w:ascii="Times New Roman" w:hAnsi="Times New Roman" w:cs="Times New Roman"/>
                <w:sz w:val="20"/>
                <w:szCs w:val="20"/>
                <w:lang w:val="es-MX"/>
              </w:rPr>
              <w:t>2</w:t>
            </w:r>
            <w:r w:rsidRPr="009F7E83">
              <w:rPr>
                <w:rFonts w:ascii="Times New Roman" w:hAnsi="Times New Roman" w:cs="Times New Roman"/>
                <w:sz w:val="20"/>
                <w:szCs w:val="20"/>
                <w:lang w:val="es-MX"/>
              </w:rPr>
              <w:t xml:space="preserve">) </w:t>
            </w:r>
            <w:r w:rsidRPr="009F7E83">
              <w:rPr>
                <w:rFonts w:ascii="Times New Roman" w:hAnsi="Times New Roman" w:cs="Times New Roman"/>
                <w:color w:val="000000" w:themeColor="text1"/>
                <w:sz w:val="20"/>
                <w:szCs w:val="20"/>
                <w:lang w:val="es-BO"/>
              </w:rPr>
              <w:t xml:space="preserve">Elaboración y aprobación de reglamentos para el funcionamiento de las Unidades </w:t>
            </w:r>
            <w:r w:rsidRPr="002A5882">
              <w:rPr>
                <w:rFonts w:ascii="Times New Roman" w:hAnsi="Times New Roman" w:cs="Times New Roman"/>
                <w:color w:val="000000" w:themeColor="text1"/>
                <w:sz w:val="20"/>
                <w:szCs w:val="20"/>
                <w:lang w:val="es-BO"/>
              </w:rPr>
              <w:t>de Transparencia e implantación de las páginas web de acuerdo a lo establecido en los estándares requeridos por el Programa de Transparencia.</w:t>
            </w:r>
          </w:p>
        </w:tc>
        <w:tc>
          <w:tcPr>
            <w:tcW w:w="3687" w:type="dxa"/>
            <w:vMerge w:val="restart"/>
          </w:tcPr>
          <w:p w14:paraId="0E89961C" w14:textId="77777777" w:rsidR="00B32DE0" w:rsidRPr="009F7E83" w:rsidRDefault="00B32DE0" w:rsidP="00DC62A9">
            <w:pPr>
              <w:spacing w:after="200" w:line="276" w:lineRule="auto"/>
              <w:jc w:val="both"/>
              <w:rPr>
                <w:rFonts w:ascii="Times New Roman" w:hAnsi="Times New Roman" w:cs="Times New Roman"/>
                <w:sz w:val="20"/>
                <w:szCs w:val="20"/>
                <w:lang w:val="es-BO"/>
              </w:rPr>
            </w:pPr>
            <w:r w:rsidRPr="002A5882">
              <w:rPr>
                <w:rFonts w:ascii="Times New Roman" w:hAnsi="Times New Roman" w:cs="Times New Roman"/>
                <w:sz w:val="20"/>
                <w:szCs w:val="20"/>
                <w:lang w:val="es-MX"/>
              </w:rPr>
              <w:t>(5.</w:t>
            </w:r>
            <w:r w:rsidR="004A12C5">
              <w:rPr>
                <w:rFonts w:ascii="Times New Roman" w:hAnsi="Times New Roman" w:cs="Times New Roman"/>
                <w:sz w:val="20"/>
                <w:szCs w:val="20"/>
                <w:lang w:val="es-MX"/>
              </w:rPr>
              <w:t>1</w:t>
            </w:r>
            <w:r w:rsidRPr="009F7E83">
              <w:rPr>
                <w:rFonts w:ascii="Times New Roman" w:hAnsi="Times New Roman" w:cs="Times New Roman"/>
                <w:sz w:val="20"/>
                <w:szCs w:val="20"/>
                <w:lang w:val="es-MX"/>
              </w:rPr>
              <w:t xml:space="preserve">) </w:t>
            </w:r>
            <w:r w:rsidRPr="009F7E83">
              <w:rPr>
                <w:rFonts w:ascii="Times New Roman" w:hAnsi="Times New Roman" w:cs="Times New Roman"/>
                <w:color w:val="000000" w:themeColor="text1"/>
                <w:sz w:val="20"/>
                <w:szCs w:val="20"/>
                <w:lang w:val="es-BO"/>
              </w:rPr>
              <w:t>Implementación de la política de transparencia en las adquisiciones estatales, con la publicación en línea d</w:t>
            </w:r>
            <w:r w:rsidRPr="002A5882">
              <w:rPr>
                <w:rFonts w:ascii="Times New Roman" w:hAnsi="Times New Roman" w:cs="Times New Roman"/>
                <w:color w:val="000000" w:themeColor="text1"/>
                <w:sz w:val="20"/>
                <w:szCs w:val="20"/>
                <w:lang w:val="es-BO"/>
              </w:rPr>
              <w:t xml:space="preserve">e un </w:t>
            </w:r>
            <w:r w:rsidR="004A12C5">
              <w:rPr>
                <w:rFonts w:ascii="Times New Roman" w:hAnsi="Times New Roman" w:cs="Times New Roman"/>
                <w:color w:val="000000" w:themeColor="text1"/>
                <w:sz w:val="20"/>
                <w:szCs w:val="20"/>
                <w:lang w:val="es-BO"/>
              </w:rPr>
              <w:t>c</w:t>
            </w:r>
            <w:r w:rsidRPr="009F7E83">
              <w:rPr>
                <w:rFonts w:ascii="Times New Roman" w:hAnsi="Times New Roman" w:cs="Times New Roman"/>
                <w:color w:val="000000" w:themeColor="text1"/>
                <w:sz w:val="20"/>
                <w:szCs w:val="20"/>
                <w:lang w:val="es-BO"/>
              </w:rPr>
              <w:t xml:space="preserve">atálogo de </w:t>
            </w:r>
            <w:r w:rsidR="004A12C5">
              <w:rPr>
                <w:rFonts w:ascii="Times New Roman" w:hAnsi="Times New Roman" w:cs="Times New Roman"/>
                <w:color w:val="000000" w:themeColor="text1"/>
                <w:sz w:val="20"/>
                <w:szCs w:val="20"/>
                <w:lang w:val="es-BO"/>
              </w:rPr>
              <w:t>p</w:t>
            </w:r>
            <w:r w:rsidRPr="009F7E83">
              <w:rPr>
                <w:rFonts w:ascii="Times New Roman" w:hAnsi="Times New Roman" w:cs="Times New Roman"/>
                <w:color w:val="000000" w:themeColor="text1"/>
                <w:sz w:val="20"/>
                <w:szCs w:val="20"/>
                <w:lang w:val="es-BO"/>
              </w:rPr>
              <w:t>roveedores a nivel nacional, con la información de la oferta de bienes y servicios.</w:t>
            </w:r>
          </w:p>
        </w:tc>
        <w:tc>
          <w:tcPr>
            <w:tcW w:w="3517" w:type="dxa"/>
            <w:vMerge w:val="restart"/>
          </w:tcPr>
          <w:p w14:paraId="4F50667F" w14:textId="77777777" w:rsidR="00B32DE0" w:rsidRPr="002A5882" w:rsidRDefault="00B32DE0" w:rsidP="008F1AE9">
            <w:pPr>
              <w:spacing w:after="200" w:line="276" w:lineRule="auto"/>
              <w:jc w:val="both"/>
              <w:rPr>
                <w:rFonts w:ascii="Times New Roman" w:hAnsi="Times New Roman" w:cs="Times New Roman"/>
                <w:sz w:val="20"/>
                <w:szCs w:val="20"/>
                <w:lang w:val="es-MX"/>
              </w:rPr>
            </w:pPr>
            <w:r w:rsidRPr="009F7E83">
              <w:rPr>
                <w:rFonts w:ascii="Times New Roman" w:hAnsi="Times New Roman" w:cs="Times New Roman"/>
                <w:sz w:val="20"/>
                <w:szCs w:val="20"/>
                <w:lang w:val="es-BO"/>
              </w:rPr>
              <w:t xml:space="preserve">Se modifican las </w:t>
            </w:r>
            <w:r w:rsidR="008F1AE9" w:rsidRPr="009F7E83">
              <w:rPr>
                <w:rFonts w:ascii="Times New Roman" w:hAnsi="Times New Roman" w:cs="Times New Roman"/>
                <w:sz w:val="20"/>
                <w:szCs w:val="20"/>
                <w:lang w:val="es-BO"/>
              </w:rPr>
              <w:t>medidas</w:t>
            </w:r>
            <w:r w:rsidRPr="009F7E83">
              <w:rPr>
                <w:rFonts w:ascii="Times New Roman" w:hAnsi="Times New Roman" w:cs="Times New Roman"/>
                <w:sz w:val="20"/>
                <w:szCs w:val="20"/>
                <w:lang w:val="es-BO"/>
              </w:rPr>
              <w:t xml:space="preserve"> </w:t>
            </w:r>
            <w:r w:rsidR="00DC62A9" w:rsidRPr="002A5882">
              <w:rPr>
                <w:rFonts w:ascii="Times New Roman" w:hAnsi="Times New Roman" w:cs="Times New Roman"/>
                <w:sz w:val="20"/>
                <w:szCs w:val="20"/>
                <w:lang w:val="es-BO"/>
              </w:rPr>
              <w:t>5.</w:t>
            </w:r>
            <w:r w:rsidR="004A12C5">
              <w:rPr>
                <w:rFonts w:ascii="Times New Roman" w:hAnsi="Times New Roman" w:cs="Times New Roman"/>
                <w:sz w:val="20"/>
                <w:szCs w:val="20"/>
                <w:lang w:val="es-BO"/>
              </w:rPr>
              <w:t>2</w:t>
            </w:r>
            <w:r w:rsidR="00DC62A9" w:rsidRPr="009F7E83">
              <w:rPr>
                <w:rFonts w:ascii="Times New Roman" w:hAnsi="Times New Roman" w:cs="Times New Roman"/>
                <w:sz w:val="20"/>
                <w:szCs w:val="20"/>
                <w:lang w:val="es-BO"/>
              </w:rPr>
              <w:t xml:space="preserve"> y 5.</w:t>
            </w:r>
            <w:r w:rsidR="004A12C5">
              <w:rPr>
                <w:rFonts w:ascii="Times New Roman" w:hAnsi="Times New Roman" w:cs="Times New Roman"/>
                <w:sz w:val="20"/>
                <w:szCs w:val="20"/>
                <w:lang w:val="es-BO"/>
              </w:rPr>
              <w:t>3</w:t>
            </w:r>
            <w:r w:rsidR="00DC62A9" w:rsidRPr="009F7E83">
              <w:rPr>
                <w:rFonts w:ascii="Times New Roman" w:hAnsi="Times New Roman" w:cs="Times New Roman"/>
                <w:sz w:val="20"/>
                <w:szCs w:val="20"/>
                <w:lang w:val="es-BO"/>
              </w:rPr>
              <w:t xml:space="preserve"> </w:t>
            </w:r>
            <w:r w:rsidRPr="009F7E83">
              <w:rPr>
                <w:rFonts w:ascii="Times New Roman" w:hAnsi="Times New Roman" w:cs="Times New Roman"/>
                <w:sz w:val="20"/>
                <w:szCs w:val="20"/>
                <w:lang w:val="es-BO"/>
              </w:rPr>
              <w:t xml:space="preserve">debido a que </w:t>
            </w:r>
            <w:r w:rsidR="00225765" w:rsidRPr="009F7E83">
              <w:rPr>
                <w:rFonts w:ascii="Times New Roman" w:hAnsi="Times New Roman" w:cs="Times New Roman"/>
                <w:sz w:val="20"/>
                <w:szCs w:val="20"/>
                <w:lang w:val="es-MX"/>
              </w:rPr>
              <w:t>el Ministerio de Transp</w:t>
            </w:r>
            <w:r w:rsidRPr="009F7E83">
              <w:rPr>
                <w:rFonts w:ascii="Times New Roman" w:hAnsi="Times New Roman" w:cs="Times New Roman"/>
                <w:sz w:val="20"/>
                <w:szCs w:val="20"/>
                <w:lang w:val="es-MX"/>
              </w:rPr>
              <w:t xml:space="preserve">arencia Institucional y Lucha Contra la Corrupción produjo un reglamento marco </w:t>
            </w:r>
            <w:r w:rsidR="008F1AE9" w:rsidRPr="002A5882">
              <w:rPr>
                <w:rFonts w:ascii="Times New Roman" w:hAnsi="Times New Roman" w:cs="Times New Roman"/>
                <w:sz w:val="20"/>
                <w:szCs w:val="20"/>
                <w:lang w:val="es-MX"/>
              </w:rPr>
              <w:t>que actualmente se encuentra</w:t>
            </w:r>
            <w:r w:rsidRPr="002A5882">
              <w:rPr>
                <w:rFonts w:ascii="Times New Roman" w:hAnsi="Times New Roman" w:cs="Times New Roman"/>
                <w:sz w:val="20"/>
                <w:szCs w:val="20"/>
                <w:lang w:val="es-MX"/>
              </w:rPr>
              <w:t xml:space="preserve"> en proceso de aprobación y sobre el cual se basará el desarrollo de los reglamentos de las unidades, portales y sistemas de seguimiento de transparencia. Se incorpora una medida de transparencia en el ámbito de las adquisiciones estatales.</w:t>
            </w:r>
          </w:p>
        </w:tc>
      </w:tr>
      <w:tr w:rsidR="00B32DE0" w:rsidRPr="009370F6" w14:paraId="0DF62954" w14:textId="77777777" w:rsidTr="004A12C5">
        <w:tc>
          <w:tcPr>
            <w:tcW w:w="3064" w:type="dxa"/>
            <w:vMerge/>
          </w:tcPr>
          <w:p w14:paraId="6AD2100D" w14:textId="77777777" w:rsidR="00B32DE0" w:rsidRPr="002A5882" w:rsidRDefault="00B32DE0" w:rsidP="00DC62A9">
            <w:pPr>
              <w:spacing w:after="200" w:line="276" w:lineRule="auto"/>
              <w:jc w:val="both"/>
              <w:rPr>
                <w:rFonts w:ascii="Times New Roman" w:hAnsi="Times New Roman" w:cs="Times New Roman"/>
                <w:sz w:val="20"/>
                <w:szCs w:val="20"/>
                <w:lang w:val="es-MX"/>
              </w:rPr>
            </w:pPr>
          </w:p>
        </w:tc>
        <w:tc>
          <w:tcPr>
            <w:tcW w:w="2922" w:type="dxa"/>
          </w:tcPr>
          <w:p w14:paraId="17BEC58D" w14:textId="77777777" w:rsidR="00B32DE0" w:rsidRPr="002A5882" w:rsidRDefault="00B32DE0" w:rsidP="00DC62A9">
            <w:pPr>
              <w:spacing w:after="200" w:line="276" w:lineRule="auto"/>
              <w:jc w:val="both"/>
              <w:rPr>
                <w:rFonts w:ascii="Times New Roman" w:hAnsi="Times New Roman" w:cs="Times New Roman"/>
                <w:sz w:val="20"/>
                <w:szCs w:val="20"/>
                <w:lang w:val="es-BO"/>
              </w:rPr>
            </w:pPr>
            <w:r w:rsidRPr="002A5882">
              <w:rPr>
                <w:rFonts w:ascii="Times New Roman" w:hAnsi="Times New Roman" w:cs="Times New Roman"/>
                <w:sz w:val="20"/>
                <w:szCs w:val="20"/>
                <w:lang w:val="es-MX"/>
              </w:rPr>
              <w:t>(5.</w:t>
            </w:r>
            <w:r w:rsidR="004A12C5">
              <w:rPr>
                <w:rFonts w:ascii="Times New Roman" w:hAnsi="Times New Roman" w:cs="Times New Roman"/>
                <w:sz w:val="20"/>
                <w:szCs w:val="20"/>
                <w:lang w:val="es-MX"/>
              </w:rPr>
              <w:t>3</w:t>
            </w:r>
            <w:r w:rsidRPr="009F7E83">
              <w:rPr>
                <w:rFonts w:ascii="Times New Roman" w:hAnsi="Times New Roman" w:cs="Times New Roman"/>
                <w:sz w:val="20"/>
                <w:szCs w:val="20"/>
                <w:lang w:val="es-MX"/>
              </w:rPr>
              <w:t xml:space="preserve">) </w:t>
            </w:r>
            <w:r w:rsidRPr="009F7E83">
              <w:rPr>
                <w:rFonts w:ascii="Times New Roman" w:hAnsi="Times New Roman" w:cs="Times New Roman"/>
                <w:color w:val="000000" w:themeColor="text1"/>
                <w:sz w:val="20"/>
                <w:szCs w:val="20"/>
                <w:lang w:val="es-BO"/>
              </w:rPr>
              <w:t xml:space="preserve">Implantación del Sistema Informático de Seguimiento al Programa de Transparencia y elaboración e implementación de metodología para la evaluación periódica de los portales de transparencia institucional y de las rendiciones públicas de </w:t>
            </w:r>
            <w:r w:rsidRPr="002A5882">
              <w:rPr>
                <w:rFonts w:ascii="Times New Roman" w:hAnsi="Times New Roman" w:cs="Times New Roman"/>
                <w:color w:val="000000" w:themeColor="text1"/>
                <w:sz w:val="20"/>
                <w:szCs w:val="20"/>
                <w:lang w:val="es-BO"/>
              </w:rPr>
              <w:t>cuentas.</w:t>
            </w:r>
          </w:p>
        </w:tc>
        <w:tc>
          <w:tcPr>
            <w:tcW w:w="3687" w:type="dxa"/>
            <w:vMerge/>
          </w:tcPr>
          <w:p w14:paraId="0CAD6B3F" w14:textId="77777777" w:rsidR="00B32DE0" w:rsidRPr="002A5882" w:rsidRDefault="00B32DE0" w:rsidP="00DC62A9">
            <w:pPr>
              <w:spacing w:after="200" w:line="276" w:lineRule="auto"/>
              <w:jc w:val="both"/>
              <w:rPr>
                <w:rFonts w:ascii="Times New Roman" w:hAnsi="Times New Roman" w:cs="Times New Roman"/>
                <w:sz w:val="20"/>
                <w:szCs w:val="20"/>
                <w:lang w:val="es-MX"/>
              </w:rPr>
            </w:pPr>
          </w:p>
        </w:tc>
        <w:tc>
          <w:tcPr>
            <w:tcW w:w="3517" w:type="dxa"/>
            <w:vMerge/>
          </w:tcPr>
          <w:p w14:paraId="73F80C20" w14:textId="77777777" w:rsidR="00B32DE0" w:rsidRPr="002A5882" w:rsidRDefault="00B32DE0" w:rsidP="00DC62A9">
            <w:pPr>
              <w:spacing w:after="200" w:line="276" w:lineRule="auto"/>
              <w:jc w:val="both"/>
              <w:rPr>
                <w:rFonts w:ascii="Times New Roman" w:hAnsi="Times New Roman" w:cs="Times New Roman"/>
                <w:sz w:val="20"/>
                <w:szCs w:val="20"/>
                <w:lang w:val="es-BO"/>
              </w:rPr>
            </w:pPr>
          </w:p>
        </w:tc>
      </w:tr>
      <w:tr w:rsidR="004A12C5" w:rsidRPr="009370F6" w14:paraId="70D8CB6C" w14:textId="77777777" w:rsidTr="004A12C5">
        <w:tc>
          <w:tcPr>
            <w:tcW w:w="3064" w:type="dxa"/>
            <w:vMerge/>
          </w:tcPr>
          <w:p w14:paraId="379C3F2D" w14:textId="77777777" w:rsidR="004A12C5" w:rsidRPr="002A5882" w:rsidRDefault="004A12C5" w:rsidP="00DC62A9">
            <w:pPr>
              <w:spacing w:after="200" w:line="276" w:lineRule="auto"/>
              <w:jc w:val="both"/>
              <w:rPr>
                <w:rFonts w:ascii="Times New Roman" w:hAnsi="Times New Roman" w:cs="Times New Roman"/>
                <w:sz w:val="20"/>
                <w:szCs w:val="20"/>
                <w:lang w:val="es-MX"/>
              </w:rPr>
            </w:pPr>
          </w:p>
        </w:tc>
        <w:tc>
          <w:tcPr>
            <w:tcW w:w="2922" w:type="dxa"/>
          </w:tcPr>
          <w:p w14:paraId="00307C04" w14:textId="77777777" w:rsidR="004A12C5" w:rsidRPr="00AA1833" w:rsidRDefault="004A12C5" w:rsidP="00AA1833">
            <w:pPr>
              <w:pStyle w:val="Paragraph"/>
              <w:numPr>
                <w:ilvl w:val="0"/>
                <w:numId w:val="0"/>
              </w:numPr>
              <w:spacing w:before="20" w:after="20"/>
              <w:rPr>
                <w:color w:val="000000" w:themeColor="text1"/>
                <w:sz w:val="20"/>
              </w:rPr>
            </w:pPr>
            <w:r w:rsidRPr="00AA1833">
              <w:rPr>
                <w:sz w:val="20"/>
                <w:lang w:val="es-MX"/>
              </w:rPr>
              <w:t>(5.</w:t>
            </w:r>
            <w:r>
              <w:rPr>
                <w:sz w:val="20"/>
                <w:lang w:val="es-MX"/>
              </w:rPr>
              <w:t>4</w:t>
            </w:r>
            <w:r w:rsidRPr="00AA1833">
              <w:rPr>
                <w:sz w:val="20"/>
                <w:lang w:val="es-MX"/>
              </w:rPr>
              <w:t xml:space="preserve">) </w:t>
            </w:r>
            <w:r w:rsidRPr="00AA1833">
              <w:rPr>
                <w:color w:val="000000" w:themeColor="text1"/>
                <w:sz w:val="20"/>
              </w:rPr>
              <w:t>Se incorporan al programa de rendición pública de cuentas 50 municipios, 5 prefecturas y 5 municipios indígenas.</w:t>
            </w:r>
          </w:p>
          <w:p w14:paraId="5F1250AF" w14:textId="77777777" w:rsidR="004A12C5" w:rsidRPr="004A12C5" w:rsidRDefault="004A12C5" w:rsidP="00DC62A9">
            <w:pPr>
              <w:pStyle w:val="Paragraph"/>
              <w:numPr>
                <w:ilvl w:val="0"/>
                <w:numId w:val="0"/>
              </w:numPr>
              <w:spacing w:before="20" w:after="20"/>
              <w:rPr>
                <w:color w:val="000000" w:themeColor="text1"/>
                <w:sz w:val="20"/>
                <w:lang w:val="es-MX"/>
              </w:rPr>
            </w:pPr>
          </w:p>
        </w:tc>
        <w:tc>
          <w:tcPr>
            <w:tcW w:w="3687" w:type="dxa"/>
          </w:tcPr>
          <w:p w14:paraId="5CAE425C" w14:textId="77777777" w:rsidR="004A12C5" w:rsidRPr="00AA1833" w:rsidRDefault="004A12C5" w:rsidP="00AA1833">
            <w:pPr>
              <w:pStyle w:val="Paragraph"/>
              <w:numPr>
                <w:ilvl w:val="0"/>
                <w:numId w:val="0"/>
              </w:numPr>
              <w:spacing w:before="20" w:after="20"/>
              <w:rPr>
                <w:color w:val="000000" w:themeColor="text1"/>
                <w:sz w:val="20"/>
              </w:rPr>
            </w:pPr>
            <w:r w:rsidRPr="00AA1833">
              <w:rPr>
                <w:sz w:val="20"/>
                <w:lang w:val="es-MX"/>
              </w:rPr>
              <w:lastRenderedPageBreak/>
              <w:t>(5.</w:t>
            </w:r>
            <w:r>
              <w:rPr>
                <w:sz w:val="20"/>
                <w:lang w:val="es-MX"/>
              </w:rPr>
              <w:t>2</w:t>
            </w:r>
            <w:r w:rsidRPr="00AA1833">
              <w:rPr>
                <w:sz w:val="20"/>
                <w:lang w:val="es-MX"/>
              </w:rPr>
              <w:t xml:space="preserve">) </w:t>
            </w:r>
            <w:r w:rsidRPr="00AA1833">
              <w:rPr>
                <w:color w:val="000000" w:themeColor="text1"/>
                <w:sz w:val="20"/>
              </w:rPr>
              <w:t>Expansión de la cobertura de entidades que realizan procesos anuales de rendición pública de cuentas:</w:t>
            </w:r>
          </w:p>
          <w:p w14:paraId="2434A428" w14:textId="77777777" w:rsidR="004A12C5" w:rsidRPr="00AA1833" w:rsidRDefault="004A12C5" w:rsidP="00AA1833">
            <w:pPr>
              <w:pStyle w:val="Paragraph"/>
              <w:numPr>
                <w:ilvl w:val="0"/>
                <w:numId w:val="0"/>
              </w:numPr>
              <w:spacing w:before="20" w:after="20"/>
              <w:rPr>
                <w:color w:val="000000" w:themeColor="text1"/>
                <w:sz w:val="20"/>
              </w:rPr>
            </w:pPr>
          </w:p>
          <w:p w14:paraId="128A591E" w14:textId="77777777" w:rsidR="004A12C5" w:rsidRDefault="004A12C5" w:rsidP="00AA1833">
            <w:pPr>
              <w:pStyle w:val="Paragraph"/>
              <w:numPr>
                <w:ilvl w:val="0"/>
                <w:numId w:val="3"/>
              </w:numPr>
              <w:spacing w:before="20" w:after="20"/>
              <w:ind w:left="125" w:hanging="170"/>
              <w:rPr>
                <w:color w:val="000000" w:themeColor="text1"/>
                <w:sz w:val="20"/>
              </w:rPr>
            </w:pPr>
            <w:r w:rsidRPr="00AA1833">
              <w:rPr>
                <w:color w:val="000000" w:themeColor="text1"/>
                <w:sz w:val="20"/>
              </w:rPr>
              <w:lastRenderedPageBreak/>
              <w:t>Se incorporan al programa de rendición pública de cuentas 50 municipios y 5 gobernaciones.</w:t>
            </w:r>
          </w:p>
          <w:p w14:paraId="60898B6B" w14:textId="77777777" w:rsidR="004A12C5" w:rsidRDefault="004A12C5" w:rsidP="0067521E">
            <w:pPr>
              <w:pStyle w:val="Paragraph"/>
              <w:numPr>
                <w:ilvl w:val="0"/>
                <w:numId w:val="0"/>
              </w:numPr>
              <w:spacing w:before="20" w:after="20"/>
              <w:ind w:left="125"/>
              <w:rPr>
                <w:color w:val="000000" w:themeColor="text1"/>
                <w:sz w:val="20"/>
              </w:rPr>
            </w:pPr>
          </w:p>
          <w:p w14:paraId="17B67891" w14:textId="77777777" w:rsidR="004A12C5" w:rsidRPr="0067521E" w:rsidRDefault="004A12C5" w:rsidP="0067521E">
            <w:pPr>
              <w:pStyle w:val="Paragraph"/>
              <w:numPr>
                <w:ilvl w:val="0"/>
                <w:numId w:val="3"/>
              </w:numPr>
              <w:spacing w:before="20" w:after="20"/>
              <w:ind w:left="125" w:hanging="170"/>
              <w:rPr>
                <w:color w:val="000000" w:themeColor="text1"/>
                <w:sz w:val="20"/>
              </w:rPr>
            </w:pPr>
            <w:r w:rsidRPr="0067521E">
              <w:rPr>
                <w:color w:val="000000" w:themeColor="text1"/>
                <w:sz w:val="20"/>
                <w:lang w:val="es-BO"/>
              </w:rPr>
              <w:t xml:space="preserve"> Se realiza una rendición pública de cuentas para 5 entidades del Gobierno Central (incluyendo sus entidades descentralizadas y desconcentradas)</w:t>
            </w:r>
            <w:r>
              <w:rPr>
                <w:color w:val="000000" w:themeColor="text1"/>
                <w:sz w:val="20"/>
                <w:lang w:val="es-BO"/>
              </w:rPr>
              <w:t>.</w:t>
            </w:r>
          </w:p>
        </w:tc>
        <w:tc>
          <w:tcPr>
            <w:tcW w:w="3517" w:type="dxa"/>
          </w:tcPr>
          <w:p w14:paraId="4E3C0D58" w14:textId="25AB6518" w:rsidR="00904ADB" w:rsidRPr="004A12C5" w:rsidRDefault="004A12C5" w:rsidP="00C50D6D">
            <w:pPr>
              <w:jc w:val="both"/>
              <w:rPr>
                <w:rFonts w:ascii="Times New Roman" w:hAnsi="Times New Roman" w:cs="Times New Roman"/>
                <w:sz w:val="20"/>
                <w:szCs w:val="20"/>
                <w:lang w:val="es-MX"/>
              </w:rPr>
            </w:pPr>
            <w:r w:rsidRPr="00AA1833">
              <w:rPr>
                <w:rFonts w:ascii="Times New Roman" w:hAnsi="Times New Roman" w:cs="Times New Roman"/>
                <w:sz w:val="20"/>
                <w:szCs w:val="20"/>
                <w:lang w:val="es-MX"/>
              </w:rPr>
              <w:lastRenderedPageBreak/>
              <w:t>Se ajustó la redacción</w:t>
            </w:r>
            <w:r w:rsidR="00343FBD">
              <w:rPr>
                <w:rFonts w:ascii="Times New Roman" w:hAnsi="Times New Roman" w:cs="Times New Roman"/>
                <w:sz w:val="20"/>
                <w:szCs w:val="20"/>
                <w:lang w:val="es-MX"/>
              </w:rPr>
              <w:t xml:space="preserve">, introduciendo </w:t>
            </w:r>
            <w:r w:rsidR="00434C54">
              <w:rPr>
                <w:rFonts w:ascii="Times New Roman" w:hAnsi="Times New Roman" w:cs="Times New Roman"/>
                <w:sz w:val="20"/>
                <w:szCs w:val="20"/>
                <w:lang w:val="es-MX"/>
              </w:rPr>
              <w:t xml:space="preserve">la meta de </w:t>
            </w:r>
            <w:r w:rsidR="00343FBD">
              <w:rPr>
                <w:rFonts w:ascii="Times New Roman" w:hAnsi="Times New Roman" w:cs="Times New Roman"/>
                <w:sz w:val="20"/>
                <w:szCs w:val="20"/>
                <w:lang w:val="es-MX"/>
              </w:rPr>
              <w:t xml:space="preserve">5 entidades del Gobierno Central </w:t>
            </w:r>
            <w:r w:rsidR="00434C54">
              <w:rPr>
                <w:rFonts w:ascii="Times New Roman" w:hAnsi="Times New Roman" w:cs="Times New Roman"/>
                <w:sz w:val="20"/>
                <w:szCs w:val="20"/>
                <w:lang w:val="es-MX"/>
              </w:rPr>
              <w:t xml:space="preserve">que se incorporan </w:t>
            </w:r>
            <w:r w:rsidR="00343FBD">
              <w:rPr>
                <w:rFonts w:ascii="Times New Roman" w:hAnsi="Times New Roman" w:cs="Times New Roman"/>
                <w:sz w:val="20"/>
                <w:szCs w:val="20"/>
                <w:lang w:val="es-MX"/>
              </w:rPr>
              <w:t>al</w:t>
            </w:r>
            <w:r w:rsidR="00FA57D2">
              <w:rPr>
                <w:rFonts w:ascii="Times New Roman" w:hAnsi="Times New Roman" w:cs="Times New Roman"/>
                <w:sz w:val="20"/>
                <w:szCs w:val="20"/>
                <w:lang w:val="es-MX"/>
              </w:rPr>
              <w:t xml:space="preserve"> </w:t>
            </w:r>
            <w:r w:rsidRPr="00AA1833">
              <w:rPr>
                <w:rFonts w:ascii="Times New Roman" w:hAnsi="Times New Roman" w:cs="Times New Roman"/>
                <w:sz w:val="20"/>
                <w:szCs w:val="20"/>
                <w:lang w:val="es-MX"/>
              </w:rPr>
              <w:t>programa de rendición pública de cuentas</w:t>
            </w:r>
            <w:r w:rsidR="00806596">
              <w:rPr>
                <w:rFonts w:ascii="Times New Roman" w:hAnsi="Times New Roman" w:cs="Times New Roman"/>
                <w:sz w:val="20"/>
                <w:szCs w:val="20"/>
                <w:lang w:val="es-MX"/>
              </w:rPr>
              <w:t xml:space="preserve"> en lugar </w:t>
            </w:r>
            <w:r w:rsidR="00806596">
              <w:rPr>
                <w:rFonts w:ascii="Times New Roman" w:hAnsi="Times New Roman" w:cs="Times New Roman"/>
                <w:sz w:val="20"/>
                <w:szCs w:val="20"/>
                <w:lang w:val="es-MX"/>
              </w:rPr>
              <w:lastRenderedPageBreak/>
              <w:t xml:space="preserve">de la meta de 5 municipios indígenas; debido a que a la fecha el proceso de reconocimiento formal de </w:t>
            </w:r>
            <w:r w:rsidR="004A3107">
              <w:rPr>
                <w:rFonts w:ascii="Times New Roman" w:hAnsi="Times New Roman" w:cs="Times New Roman"/>
                <w:sz w:val="20"/>
                <w:szCs w:val="20"/>
                <w:lang w:val="es-MX"/>
              </w:rPr>
              <w:t>municipios como “indígenas" se encuentra en trámite, según lo</w:t>
            </w:r>
            <w:r w:rsidR="00181478">
              <w:rPr>
                <w:rFonts w:ascii="Times New Roman" w:hAnsi="Times New Roman" w:cs="Times New Roman"/>
                <w:sz w:val="20"/>
                <w:szCs w:val="20"/>
                <w:lang w:val="es-MX"/>
              </w:rPr>
              <w:t>s procedimientos</w:t>
            </w:r>
            <w:r w:rsidR="004A3107">
              <w:rPr>
                <w:rFonts w:ascii="Times New Roman" w:hAnsi="Times New Roman" w:cs="Times New Roman"/>
                <w:sz w:val="20"/>
                <w:szCs w:val="20"/>
                <w:lang w:val="es-MX"/>
              </w:rPr>
              <w:t xml:space="preserve"> establecido</w:t>
            </w:r>
            <w:r w:rsidR="00181478">
              <w:rPr>
                <w:rFonts w:ascii="Times New Roman" w:hAnsi="Times New Roman" w:cs="Times New Roman"/>
                <w:sz w:val="20"/>
                <w:szCs w:val="20"/>
                <w:lang w:val="es-MX"/>
              </w:rPr>
              <w:t>s</w:t>
            </w:r>
            <w:r w:rsidR="004A3107">
              <w:rPr>
                <w:rFonts w:ascii="Times New Roman" w:hAnsi="Times New Roman" w:cs="Times New Roman"/>
                <w:sz w:val="20"/>
                <w:szCs w:val="20"/>
                <w:lang w:val="es-MX"/>
              </w:rPr>
              <w:t xml:space="preserve"> por la Constitución Política del </w:t>
            </w:r>
            <w:r w:rsidR="00181478">
              <w:rPr>
                <w:rFonts w:ascii="Times New Roman" w:hAnsi="Times New Roman" w:cs="Times New Roman"/>
                <w:sz w:val="20"/>
                <w:szCs w:val="20"/>
                <w:lang w:val="es-MX"/>
              </w:rPr>
              <w:t>E</w:t>
            </w:r>
            <w:r w:rsidR="004A3107">
              <w:rPr>
                <w:rFonts w:ascii="Times New Roman" w:hAnsi="Times New Roman" w:cs="Times New Roman"/>
                <w:sz w:val="20"/>
                <w:szCs w:val="20"/>
                <w:lang w:val="es-MX"/>
              </w:rPr>
              <w:t>stado y la Ley Marco de Autonomías y Descentralización.</w:t>
            </w:r>
          </w:p>
        </w:tc>
      </w:tr>
      <w:tr w:rsidR="004A12C5" w:rsidRPr="002A5882" w14:paraId="0606B117" w14:textId="77777777" w:rsidTr="004A12C5">
        <w:tc>
          <w:tcPr>
            <w:tcW w:w="3064" w:type="dxa"/>
            <w:vMerge/>
          </w:tcPr>
          <w:p w14:paraId="4800E200" w14:textId="77777777" w:rsidR="004A12C5" w:rsidRPr="002A5882" w:rsidRDefault="004A12C5" w:rsidP="00DC62A9">
            <w:pPr>
              <w:spacing w:after="200" w:line="276" w:lineRule="auto"/>
              <w:jc w:val="both"/>
              <w:rPr>
                <w:rFonts w:ascii="Times New Roman" w:hAnsi="Times New Roman" w:cs="Times New Roman"/>
                <w:sz w:val="20"/>
                <w:szCs w:val="20"/>
                <w:lang w:val="es-MX"/>
              </w:rPr>
            </w:pPr>
          </w:p>
        </w:tc>
        <w:tc>
          <w:tcPr>
            <w:tcW w:w="2922" w:type="dxa"/>
          </w:tcPr>
          <w:p w14:paraId="64EAE5E7" w14:textId="77777777" w:rsidR="004A12C5" w:rsidRPr="002A5882" w:rsidRDefault="004A12C5" w:rsidP="00DC62A9">
            <w:pPr>
              <w:pStyle w:val="Paragraph"/>
              <w:numPr>
                <w:ilvl w:val="0"/>
                <w:numId w:val="0"/>
              </w:numPr>
              <w:spacing w:before="20" w:after="20"/>
              <w:rPr>
                <w:color w:val="000000" w:themeColor="text1"/>
                <w:sz w:val="20"/>
              </w:rPr>
            </w:pPr>
            <w:r w:rsidRPr="002A5882">
              <w:rPr>
                <w:color w:val="000000" w:themeColor="text1"/>
                <w:sz w:val="20"/>
                <w:lang w:val="es-MX"/>
              </w:rPr>
              <w:t xml:space="preserve">(5.5) </w:t>
            </w:r>
            <w:r w:rsidRPr="002A5882">
              <w:rPr>
                <w:color w:val="000000" w:themeColor="text1"/>
                <w:sz w:val="20"/>
              </w:rPr>
              <w:t>Presentación a la Asamblea Legislativa Plurinacional del Proyecto de Ley que regulará el ejercicio del control social acorde con la nueva Constitución.</w:t>
            </w:r>
          </w:p>
        </w:tc>
        <w:tc>
          <w:tcPr>
            <w:tcW w:w="3687" w:type="dxa"/>
          </w:tcPr>
          <w:p w14:paraId="2282A8D6" w14:textId="77777777" w:rsidR="004A12C5" w:rsidRPr="002A5882" w:rsidRDefault="004A12C5" w:rsidP="00DC62A9">
            <w:pPr>
              <w:spacing w:after="200" w:line="276" w:lineRule="auto"/>
              <w:jc w:val="both"/>
              <w:rPr>
                <w:rFonts w:ascii="Times New Roman" w:hAnsi="Times New Roman" w:cs="Times New Roman"/>
                <w:sz w:val="20"/>
                <w:szCs w:val="20"/>
                <w:lang w:val="es-BO"/>
              </w:rPr>
            </w:pPr>
            <w:r w:rsidRPr="002A5882">
              <w:rPr>
                <w:rFonts w:ascii="Times New Roman" w:hAnsi="Times New Roman" w:cs="Times New Roman"/>
                <w:sz w:val="20"/>
                <w:szCs w:val="20"/>
                <w:lang w:val="es-MX"/>
              </w:rPr>
              <w:t xml:space="preserve">(5.3) </w:t>
            </w:r>
            <w:r w:rsidRPr="002A5882">
              <w:rPr>
                <w:rFonts w:ascii="Times New Roman" w:hAnsi="Times New Roman" w:cs="Times New Roman"/>
                <w:color w:val="000000" w:themeColor="text1"/>
                <w:sz w:val="20"/>
                <w:szCs w:val="20"/>
                <w:lang w:val="es-BO"/>
              </w:rPr>
              <w:t>Presentación a la Asamblea Legislativa Plurinacional del Proyecto de Ley que regulará el ejercicio del control social acorde con la nueva Constitución.</w:t>
            </w:r>
          </w:p>
        </w:tc>
        <w:tc>
          <w:tcPr>
            <w:tcW w:w="3517" w:type="dxa"/>
          </w:tcPr>
          <w:p w14:paraId="0993CC06" w14:textId="77777777" w:rsidR="004A12C5" w:rsidRPr="002A5882" w:rsidRDefault="004A12C5" w:rsidP="00DC62A9">
            <w:pPr>
              <w:spacing w:after="200" w:line="276" w:lineRule="auto"/>
              <w:jc w:val="both"/>
              <w:rPr>
                <w:rFonts w:ascii="Times New Roman" w:hAnsi="Times New Roman" w:cs="Times New Roman"/>
                <w:sz w:val="20"/>
                <w:szCs w:val="20"/>
                <w:lang w:val="es-MX"/>
              </w:rPr>
            </w:pPr>
            <w:r w:rsidRPr="002A5882">
              <w:rPr>
                <w:rFonts w:ascii="Times New Roman" w:hAnsi="Times New Roman" w:cs="Times New Roman"/>
                <w:sz w:val="20"/>
                <w:szCs w:val="20"/>
                <w:lang w:val="es-MX"/>
              </w:rPr>
              <w:t>Sin cambios.</w:t>
            </w:r>
          </w:p>
        </w:tc>
      </w:tr>
    </w:tbl>
    <w:p w14:paraId="49C46797" w14:textId="77777777" w:rsidR="00215F89" w:rsidRPr="002A5882" w:rsidRDefault="00215F89" w:rsidP="00DC62A9">
      <w:pPr>
        <w:jc w:val="both"/>
        <w:rPr>
          <w:rFonts w:ascii="Times New Roman" w:hAnsi="Times New Roman" w:cs="Times New Roman"/>
          <w:sz w:val="20"/>
          <w:szCs w:val="20"/>
          <w:lang w:val="es-MX"/>
        </w:rPr>
      </w:pPr>
    </w:p>
    <w:sectPr w:rsidR="00215F89" w:rsidRPr="002A5882" w:rsidSect="00215F89">
      <w:headerReference w:type="default" r:id="rId10"/>
      <w:footerReference w:type="default" r:id="rId11"/>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A3246F3" w14:textId="77777777" w:rsidR="00DF7F2D" w:rsidRDefault="00DF7F2D" w:rsidP="0000766D">
      <w:pPr>
        <w:spacing w:after="0" w:line="240" w:lineRule="auto"/>
      </w:pPr>
      <w:r>
        <w:separator/>
      </w:r>
    </w:p>
  </w:endnote>
  <w:endnote w:type="continuationSeparator" w:id="0">
    <w:p w14:paraId="197489C3" w14:textId="77777777" w:rsidR="00DF7F2D" w:rsidRDefault="00DF7F2D" w:rsidP="0000766D">
      <w:pPr>
        <w:spacing w:after="0" w:line="240" w:lineRule="auto"/>
      </w:pPr>
      <w:r>
        <w:continuationSeparator/>
      </w:r>
    </w:p>
  </w:endnote>
  <w:endnote w:type="continuationNotice" w:id="1">
    <w:p w14:paraId="4296231F" w14:textId="77777777" w:rsidR="00DF7F2D" w:rsidRDefault="00DF7F2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4ECA242" w14:textId="77777777" w:rsidR="00DF7F2D" w:rsidRDefault="00DF7F2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665EA07" w14:textId="77777777" w:rsidR="00DF7F2D" w:rsidRDefault="00DF7F2D" w:rsidP="0000766D">
      <w:pPr>
        <w:spacing w:after="0" w:line="240" w:lineRule="auto"/>
      </w:pPr>
      <w:r>
        <w:separator/>
      </w:r>
    </w:p>
  </w:footnote>
  <w:footnote w:type="continuationSeparator" w:id="0">
    <w:p w14:paraId="0A09FE28" w14:textId="77777777" w:rsidR="00DF7F2D" w:rsidRDefault="00DF7F2D" w:rsidP="0000766D">
      <w:pPr>
        <w:spacing w:after="0" w:line="240" w:lineRule="auto"/>
      </w:pPr>
      <w:r>
        <w:continuationSeparator/>
      </w:r>
    </w:p>
  </w:footnote>
  <w:footnote w:type="continuationNotice" w:id="1">
    <w:p w14:paraId="2055CFE9" w14:textId="77777777" w:rsidR="00DF7F2D" w:rsidRDefault="00DF7F2D">
      <w:pPr>
        <w:spacing w:after="0" w:line="240" w:lineRule="auto"/>
      </w:pPr>
    </w:p>
  </w:footnote>
  <w:footnote w:id="2">
    <w:p w14:paraId="0EC6FA74" w14:textId="77777777" w:rsidR="00384F30" w:rsidRPr="00C261A3" w:rsidRDefault="00384F30" w:rsidP="00384F30">
      <w:pPr>
        <w:pStyle w:val="FootnoteText"/>
        <w:rPr>
          <w:lang w:val="es-ES_tradnl"/>
        </w:rPr>
      </w:pPr>
      <w:r>
        <w:rPr>
          <w:rStyle w:val="FootnoteReference"/>
        </w:rPr>
        <w:footnoteRef/>
      </w:r>
      <w:r w:rsidRPr="00C261A3">
        <w:rPr>
          <w:lang w:val="es-ES_tradnl"/>
        </w:rPr>
        <w:t xml:space="preserve"> </w:t>
      </w:r>
      <w:r w:rsidRPr="00A81C4E">
        <w:rPr>
          <w:sz w:val="16"/>
          <w:szCs w:val="16"/>
          <w:lang w:val="es-ES"/>
        </w:rPr>
        <w:t>El Sistema de Información de Estadísticas Territoriales (SIET) es un sistema de plataforma web, que integra informáticamente el procedimiento de generación de las cifras fiscales del SPNF, en base a la agregación y consolidación de flujos de caja de las entidades del SPNF.</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282EB84" w14:textId="77777777" w:rsidR="00BE0B4F" w:rsidRPr="00AB1EE5" w:rsidRDefault="00BE0B4F" w:rsidP="00AB1EE5">
    <w:pPr>
      <w:tabs>
        <w:tab w:val="center" w:pos="4419"/>
        <w:tab w:val="right" w:pos="8838"/>
      </w:tabs>
      <w:spacing w:after="0" w:line="240" w:lineRule="auto"/>
      <w:jc w:val="right"/>
      <w:rPr>
        <w:rFonts w:ascii="Times New Roman" w:eastAsia="Times New Roman" w:hAnsi="Times New Roman" w:cs="Times New Roman"/>
        <w:sz w:val="20"/>
        <w:szCs w:val="20"/>
        <w:lang w:val="es-PE" w:eastAsia="es-ES"/>
      </w:rPr>
    </w:pPr>
    <w:r>
      <w:rPr>
        <w:rFonts w:ascii="Times New Roman" w:eastAsia="Times New Roman" w:hAnsi="Times New Roman" w:cs="Times New Roman"/>
        <w:sz w:val="20"/>
        <w:szCs w:val="20"/>
        <w:lang w:val="es-PE" w:eastAsia="es-ES"/>
      </w:rPr>
      <w:t>BO-L1081</w:t>
    </w:r>
  </w:p>
  <w:p w14:paraId="7391E358" w14:textId="77777777" w:rsidR="00BE0B4F" w:rsidRPr="00AB1EE5" w:rsidRDefault="00BE0B4F" w:rsidP="00AB1EE5">
    <w:pPr>
      <w:tabs>
        <w:tab w:val="center" w:pos="4419"/>
        <w:tab w:val="right" w:pos="8838"/>
      </w:tabs>
      <w:spacing w:after="0" w:line="240" w:lineRule="auto"/>
      <w:jc w:val="right"/>
      <w:rPr>
        <w:rFonts w:ascii="Times New Roman" w:eastAsia="Times New Roman" w:hAnsi="Times New Roman" w:cs="Times New Roman"/>
        <w:sz w:val="20"/>
        <w:szCs w:val="20"/>
        <w:lang w:val="es-PE" w:eastAsia="es-ES"/>
      </w:rPr>
    </w:pPr>
    <w:r w:rsidRPr="00AB1EE5">
      <w:rPr>
        <w:rFonts w:ascii="Times New Roman" w:eastAsia="Times New Roman" w:hAnsi="Times New Roman" w:cs="Times New Roman"/>
        <w:sz w:val="20"/>
        <w:szCs w:val="20"/>
        <w:lang w:val="es-PE" w:eastAsia="es-ES"/>
      </w:rPr>
      <w:t xml:space="preserve">Página </w:t>
    </w:r>
    <w:r w:rsidRPr="00AB1EE5">
      <w:rPr>
        <w:rFonts w:ascii="Times New Roman" w:eastAsia="Times New Roman" w:hAnsi="Times New Roman" w:cs="Times New Roman"/>
        <w:sz w:val="20"/>
        <w:szCs w:val="20"/>
        <w:lang w:val="es-PE" w:eastAsia="es-ES"/>
      </w:rPr>
      <w:fldChar w:fldCharType="begin"/>
    </w:r>
    <w:r w:rsidRPr="00AB1EE5">
      <w:rPr>
        <w:rFonts w:ascii="Times New Roman" w:eastAsia="Times New Roman" w:hAnsi="Times New Roman" w:cs="Times New Roman"/>
        <w:sz w:val="20"/>
        <w:szCs w:val="20"/>
        <w:lang w:val="es-PE" w:eastAsia="es-ES"/>
      </w:rPr>
      <w:instrText xml:space="preserve"> PAGE </w:instrText>
    </w:r>
    <w:r w:rsidRPr="00AB1EE5">
      <w:rPr>
        <w:rFonts w:ascii="Times New Roman" w:eastAsia="Times New Roman" w:hAnsi="Times New Roman" w:cs="Times New Roman"/>
        <w:sz w:val="20"/>
        <w:szCs w:val="20"/>
        <w:lang w:val="es-PE" w:eastAsia="es-ES"/>
      </w:rPr>
      <w:fldChar w:fldCharType="separate"/>
    </w:r>
    <w:r w:rsidR="00C50D6D">
      <w:rPr>
        <w:rFonts w:ascii="Times New Roman" w:eastAsia="Times New Roman" w:hAnsi="Times New Roman" w:cs="Times New Roman"/>
        <w:noProof/>
        <w:sz w:val="20"/>
        <w:szCs w:val="20"/>
        <w:lang w:val="es-PE" w:eastAsia="es-ES"/>
      </w:rPr>
      <w:t>11</w:t>
    </w:r>
    <w:r w:rsidRPr="00AB1EE5">
      <w:rPr>
        <w:rFonts w:ascii="Times New Roman" w:eastAsia="Times New Roman" w:hAnsi="Times New Roman" w:cs="Times New Roman"/>
        <w:sz w:val="20"/>
        <w:szCs w:val="20"/>
        <w:lang w:val="es-PE" w:eastAsia="es-ES"/>
      </w:rPr>
      <w:fldChar w:fldCharType="end"/>
    </w:r>
    <w:r w:rsidRPr="00AB1EE5">
      <w:rPr>
        <w:rFonts w:ascii="Times New Roman" w:eastAsia="Times New Roman" w:hAnsi="Times New Roman" w:cs="Times New Roman"/>
        <w:sz w:val="20"/>
        <w:szCs w:val="20"/>
        <w:lang w:val="es-PE" w:eastAsia="es-ES"/>
      </w:rPr>
      <w:t xml:space="preserve"> de </w:t>
    </w:r>
    <w:r w:rsidRPr="00AB1EE5">
      <w:rPr>
        <w:rFonts w:ascii="Times New Roman" w:eastAsia="Times New Roman" w:hAnsi="Times New Roman" w:cs="Times New Roman"/>
        <w:sz w:val="20"/>
        <w:szCs w:val="20"/>
        <w:lang w:val="es-PE" w:eastAsia="es-ES"/>
      </w:rPr>
      <w:fldChar w:fldCharType="begin"/>
    </w:r>
    <w:r w:rsidRPr="00AB1EE5">
      <w:rPr>
        <w:rFonts w:ascii="Times New Roman" w:eastAsia="Times New Roman" w:hAnsi="Times New Roman" w:cs="Times New Roman"/>
        <w:sz w:val="20"/>
        <w:szCs w:val="20"/>
        <w:lang w:val="es-PE" w:eastAsia="es-ES"/>
      </w:rPr>
      <w:instrText xml:space="preserve"> NUMPAGES </w:instrText>
    </w:r>
    <w:r w:rsidRPr="00AB1EE5">
      <w:rPr>
        <w:rFonts w:ascii="Times New Roman" w:eastAsia="Times New Roman" w:hAnsi="Times New Roman" w:cs="Times New Roman"/>
        <w:sz w:val="20"/>
        <w:szCs w:val="20"/>
        <w:lang w:val="es-PE" w:eastAsia="es-ES"/>
      </w:rPr>
      <w:fldChar w:fldCharType="separate"/>
    </w:r>
    <w:r w:rsidR="00C50D6D">
      <w:rPr>
        <w:rFonts w:ascii="Times New Roman" w:eastAsia="Times New Roman" w:hAnsi="Times New Roman" w:cs="Times New Roman"/>
        <w:noProof/>
        <w:sz w:val="20"/>
        <w:szCs w:val="20"/>
        <w:lang w:val="es-PE" w:eastAsia="es-ES"/>
      </w:rPr>
      <w:t>11</w:t>
    </w:r>
    <w:r w:rsidRPr="00AB1EE5">
      <w:rPr>
        <w:rFonts w:ascii="Times New Roman" w:eastAsia="Times New Roman" w:hAnsi="Times New Roman" w:cs="Times New Roman"/>
        <w:sz w:val="20"/>
        <w:szCs w:val="20"/>
        <w:lang w:val="es-PE" w:eastAsia="es-ES"/>
      </w:rPr>
      <w:fldChar w:fldCharType="end"/>
    </w:r>
  </w:p>
  <w:p w14:paraId="3ECB903F" w14:textId="77777777" w:rsidR="00BE0B4F" w:rsidRDefault="00BE0B4F" w:rsidP="0086389C">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30C4755"/>
    <w:multiLevelType w:val="multilevel"/>
    <w:tmpl w:val="BFF2312E"/>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nsid w:val="580A3B8D"/>
    <w:multiLevelType w:val="multilevel"/>
    <w:tmpl w:val="DA0A729A"/>
    <w:lvl w:ilvl="0">
      <w:start w:val="1"/>
      <w:numFmt w:val="upperRoman"/>
      <w:lvlRestart w:val="0"/>
      <w:pStyle w:val="Chapter"/>
      <w:lvlText w:val="%1."/>
      <w:lvlJc w:val="center"/>
      <w:pPr>
        <w:tabs>
          <w:tab w:val="num" w:pos="2088"/>
        </w:tabs>
        <w:ind w:left="1440" w:firstLine="288"/>
      </w:pPr>
      <w:rPr>
        <w:b/>
        <w:i w:val="0"/>
      </w:rPr>
    </w:lvl>
    <w:lvl w:ilvl="1">
      <w:start w:val="1"/>
      <w:numFmt w:val="decimal"/>
      <w:pStyle w:val="Paragraph"/>
      <w:isLgl/>
      <w:lvlText w:val="%1.%2"/>
      <w:lvlJc w:val="left"/>
      <w:pPr>
        <w:tabs>
          <w:tab w:val="num" w:pos="2736"/>
        </w:tabs>
        <w:ind w:left="2736" w:hanging="1296"/>
      </w:pPr>
      <w:rPr>
        <w:b w:val="0"/>
      </w:rPr>
    </w:lvl>
    <w:lvl w:ilvl="2">
      <w:start w:val="1"/>
      <w:numFmt w:val="lowerLetter"/>
      <w:pStyle w:val="subpar"/>
      <w:lvlText w:val="%3."/>
      <w:lvlJc w:val="left"/>
      <w:pPr>
        <w:tabs>
          <w:tab w:val="num" w:pos="2592"/>
        </w:tabs>
        <w:ind w:left="2592" w:hanging="432"/>
      </w:pPr>
    </w:lvl>
    <w:lvl w:ilvl="3">
      <w:start w:val="1"/>
      <w:numFmt w:val="lowerRoman"/>
      <w:pStyle w:val="SubSubPar"/>
      <w:lvlText w:val="%4."/>
      <w:lvlJc w:val="right"/>
      <w:pPr>
        <w:tabs>
          <w:tab w:val="num" w:pos="3024"/>
        </w:tabs>
        <w:ind w:left="3024" w:hanging="288"/>
      </w:pPr>
    </w:lvl>
    <w:lvl w:ilvl="4">
      <w:start w:val="1"/>
      <w:numFmt w:val="decimal"/>
      <w:lvlText w:val="%1.%2.%3.%4.%5"/>
      <w:lvlJc w:val="left"/>
      <w:pPr>
        <w:ind w:left="2448" w:hanging="1008"/>
      </w:pPr>
    </w:lvl>
    <w:lvl w:ilvl="5">
      <w:start w:val="1"/>
      <w:numFmt w:val="decimal"/>
      <w:lvlText w:val="%1.%2.%3.%4.%5.%6"/>
      <w:lvlJc w:val="left"/>
      <w:pPr>
        <w:ind w:left="2592" w:hanging="1152"/>
      </w:pPr>
    </w:lvl>
    <w:lvl w:ilvl="6">
      <w:start w:val="1"/>
      <w:numFmt w:val="decimal"/>
      <w:lvlText w:val="%1.%2.%3.%4.%5.%6.%7"/>
      <w:lvlJc w:val="left"/>
      <w:pPr>
        <w:ind w:left="2736" w:hanging="1296"/>
      </w:pPr>
    </w:lvl>
    <w:lvl w:ilvl="7">
      <w:start w:val="1"/>
      <w:numFmt w:val="decimal"/>
      <w:lvlText w:val="%1.%2.%3.%4.%5.%6.%7.%8"/>
      <w:lvlJc w:val="left"/>
      <w:pPr>
        <w:ind w:left="2880" w:hanging="1440"/>
      </w:pPr>
    </w:lvl>
    <w:lvl w:ilvl="8">
      <w:start w:val="1"/>
      <w:numFmt w:val="decimal"/>
      <w:lvlText w:val="%1.%2.%3.%4.%5.%6.%7.%8.%9"/>
      <w:lvlJc w:val="left"/>
      <w:pPr>
        <w:ind w:left="3024" w:hanging="1584"/>
      </w:pPr>
    </w:lvl>
  </w:abstractNum>
  <w:abstractNum w:abstractNumId="2">
    <w:nsid w:val="6431746B"/>
    <w:multiLevelType w:val="hybridMultilevel"/>
    <w:tmpl w:val="48E26542"/>
    <w:lvl w:ilvl="0" w:tplc="67E8C3C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6DBC12AB"/>
    <w:multiLevelType w:val="hybridMultilevel"/>
    <w:tmpl w:val="E4843BA8"/>
    <w:lvl w:ilvl="0" w:tplc="B9A463B0">
      <w:start w:val="1"/>
      <w:numFmt w:val="lowerLetter"/>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4">
    <w:nsid w:val="74244FA2"/>
    <w:multiLevelType w:val="hybridMultilevel"/>
    <w:tmpl w:val="72EA11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7B64086E"/>
    <w:multiLevelType w:val="hybridMultilevel"/>
    <w:tmpl w:val="AE98A288"/>
    <w:lvl w:ilvl="0" w:tplc="C810AD32">
      <w:start w:val="1"/>
      <w:numFmt w:val="lowerLetter"/>
      <w:lvlText w:val="(%1)"/>
      <w:lvlJc w:val="left"/>
      <w:pPr>
        <w:ind w:left="720" w:hanging="360"/>
      </w:pPr>
      <w:rPr>
        <w:rFonts w:ascii="Times New Roman" w:hAnsi="Times New Roman" w:cs="Times New Roman" w:hint="default"/>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1"/>
  </w:num>
  <w:num w:numId="3">
    <w:abstractNumId w:val="2"/>
  </w:num>
  <w:num w:numId="4">
    <w:abstractNumId w:val="5"/>
  </w:num>
  <w:num w:numId="5">
    <w:abstractNumId w:val="3"/>
  </w:num>
  <w:num w:numId="6">
    <w:abstractNumId w:val="0"/>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trackRevisions/>
  <w:defaultTabStop w:val="720"/>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5F89"/>
    <w:rsid w:val="00003B0B"/>
    <w:rsid w:val="00006CD7"/>
    <w:rsid w:val="0000766D"/>
    <w:rsid w:val="000170AD"/>
    <w:rsid w:val="00036FBA"/>
    <w:rsid w:val="00047815"/>
    <w:rsid w:val="0005164C"/>
    <w:rsid w:val="00062CB2"/>
    <w:rsid w:val="000969D0"/>
    <w:rsid w:val="000C1814"/>
    <w:rsid w:val="000C56A2"/>
    <w:rsid w:val="000C5ED0"/>
    <w:rsid w:val="000D05AF"/>
    <w:rsid w:val="000D465D"/>
    <w:rsid w:val="000E2339"/>
    <w:rsid w:val="000F4B2B"/>
    <w:rsid w:val="000F69A5"/>
    <w:rsid w:val="00101F47"/>
    <w:rsid w:val="001363FA"/>
    <w:rsid w:val="0015500F"/>
    <w:rsid w:val="001575EE"/>
    <w:rsid w:val="00181478"/>
    <w:rsid w:val="00182D8A"/>
    <w:rsid w:val="001874E4"/>
    <w:rsid w:val="00190086"/>
    <w:rsid w:val="001A7A8D"/>
    <w:rsid w:val="001C77B7"/>
    <w:rsid w:val="001D29FB"/>
    <w:rsid w:val="001D3B26"/>
    <w:rsid w:val="001D40B9"/>
    <w:rsid w:val="001E1882"/>
    <w:rsid w:val="001F2AD0"/>
    <w:rsid w:val="001F5891"/>
    <w:rsid w:val="001F5F94"/>
    <w:rsid w:val="002037D5"/>
    <w:rsid w:val="00215F89"/>
    <w:rsid w:val="00225765"/>
    <w:rsid w:val="002328DF"/>
    <w:rsid w:val="00240083"/>
    <w:rsid w:val="00254C76"/>
    <w:rsid w:val="0028074D"/>
    <w:rsid w:val="00296855"/>
    <w:rsid w:val="002A163B"/>
    <w:rsid w:val="002A5882"/>
    <w:rsid w:val="002A748B"/>
    <w:rsid w:val="002B108C"/>
    <w:rsid w:val="002B3CED"/>
    <w:rsid w:val="002B3F53"/>
    <w:rsid w:val="002B7A44"/>
    <w:rsid w:val="002D4EDD"/>
    <w:rsid w:val="002D696C"/>
    <w:rsid w:val="00300B92"/>
    <w:rsid w:val="003074EC"/>
    <w:rsid w:val="003230FB"/>
    <w:rsid w:val="003331E2"/>
    <w:rsid w:val="00334F91"/>
    <w:rsid w:val="00343FBD"/>
    <w:rsid w:val="003613D8"/>
    <w:rsid w:val="00366FB9"/>
    <w:rsid w:val="00375F88"/>
    <w:rsid w:val="00376FD5"/>
    <w:rsid w:val="00384F30"/>
    <w:rsid w:val="00390D10"/>
    <w:rsid w:val="00395C63"/>
    <w:rsid w:val="003A3B42"/>
    <w:rsid w:val="003A657B"/>
    <w:rsid w:val="003A6C04"/>
    <w:rsid w:val="003B0AE8"/>
    <w:rsid w:val="003C2D70"/>
    <w:rsid w:val="003C4299"/>
    <w:rsid w:val="003F7FE0"/>
    <w:rsid w:val="00401248"/>
    <w:rsid w:val="00434C54"/>
    <w:rsid w:val="00436194"/>
    <w:rsid w:val="00441EA8"/>
    <w:rsid w:val="00486C0D"/>
    <w:rsid w:val="004A12C5"/>
    <w:rsid w:val="004A3107"/>
    <w:rsid w:val="004E1BF5"/>
    <w:rsid w:val="004E24BF"/>
    <w:rsid w:val="00516513"/>
    <w:rsid w:val="005167E2"/>
    <w:rsid w:val="00517717"/>
    <w:rsid w:val="00523064"/>
    <w:rsid w:val="00527408"/>
    <w:rsid w:val="005563C8"/>
    <w:rsid w:val="00562657"/>
    <w:rsid w:val="0057089E"/>
    <w:rsid w:val="0058696F"/>
    <w:rsid w:val="00586A88"/>
    <w:rsid w:val="005B23BA"/>
    <w:rsid w:val="005C2A77"/>
    <w:rsid w:val="005E52D0"/>
    <w:rsid w:val="006051CC"/>
    <w:rsid w:val="006121BD"/>
    <w:rsid w:val="00615389"/>
    <w:rsid w:val="006464AA"/>
    <w:rsid w:val="0066158F"/>
    <w:rsid w:val="00662329"/>
    <w:rsid w:val="0067521E"/>
    <w:rsid w:val="00682B17"/>
    <w:rsid w:val="0068680F"/>
    <w:rsid w:val="006B2F0C"/>
    <w:rsid w:val="006C07C5"/>
    <w:rsid w:val="006C4CFE"/>
    <w:rsid w:val="006D0764"/>
    <w:rsid w:val="006E3C7B"/>
    <w:rsid w:val="006F0768"/>
    <w:rsid w:val="006F2216"/>
    <w:rsid w:val="006F5D2D"/>
    <w:rsid w:val="00723660"/>
    <w:rsid w:val="007259A6"/>
    <w:rsid w:val="0075260E"/>
    <w:rsid w:val="00770335"/>
    <w:rsid w:val="0077078C"/>
    <w:rsid w:val="0078247F"/>
    <w:rsid w:val="007A55B3"/>
    <w:rsid w:val="007C4C86"/>
    <w:rsid w:val="007C68BC"/>
    <w:rsid w:val="007D1BB7"/>
    <w:rsid w:val="007D1C69"/>
    <w:rsid w:val="007D78DF"/>
    <w:rsid w:val="007F2D46"/>
    <w:rsid w:val="00802071"/>
    <w:rsid w:val="00806596"/>
    <w:rsid w:val="008078CB"/>
    <w:rsid w:val="00824BBD"/>
    <w:rsid w:val="0083526A"/>
    <w:rsid w:val="008437B8"/>
    <w:rsid w:val="0085468E"/>
    <w:rsid w:val="00855A4C"/>
    <w:rsid w:val="00862A87"/>
    <w:rsid w:val="0086389C"/>
    <w:rsid w:val="008A1BF7"/>
    <w:rsid w:val="008B26E3"/>
    <w:rsid w:val="008C76E8"/>
    <w:rsid w:val="008F1AE9"/>
    <w:rsid w:val="008F22E7"/>
    <w:rsid w:val="00904ADB"/>
    <w:rsid w:val="009218C4"/>
    <w:rsid w:val="009370F6"/>
    <w:rsid w:val="00961972"/>
    <w:rsid w:val="00976F02"/>
    <w:rsid w:val="00993ADD"/>
    <w:rsid w:val="009A6092"/>
    <w:rsid w:val="009C005B"/>
    <w:rsid w:val="009C59E1"/>
    <w:rsid w:val="009E438A"/>
    <w:rsid w:val="009F7E83"/>
    <w:rsid w:val="00A00C59"/>
    <w:rsid w:val="00A02101"/>
    <w:rsid w:val="00A14EE9"/>
    <w:rsid w:val="00A24E07"/>
    <w:rsid w:val="00A361E8"/>
    <w:rsid w:val="00A4023C"/>
    <w:rsid w:val="00A444B3"/>
    <w:rsid w:val="00A51BC9"/>
    <w:rsid w:val="00A53502"/>
    <w:rsid w:val="00A707ED"/>
    <w:rsid w:val="00A73811"/>
    <w:rsid w:val="00A81C4E"/>
    <w:rsid w:val="00A87C3F"/>
    <w:rsid w:val="00AA6C19"/>
    <w:rsid w:val="00AB1EE5"/>
    <w:rsid w:val="00AC6A9E"/>
    <w:rsid w:val="00AC6C81"/>
    <w:rsid w:val="00AC766A"/>
    <w:rsid w:val="00AD4F51"/>
    <w:rsid w:val="00AE3067"/>
    <w:rsid w:val="00AE68AF"/>
    <w:rsid w:val="00AF08F6"/>
    <w:rsid w:val="00AF1775"/>
    <w:rsid w:val="00B033AD"/>
    <w:rsid w:val="00B03C05"/>
    <w:rsid w:val="00B23473"/>
    <w:rsid w:val="00B32DE0"/>
    <w:rsid w:val="00B401AA"/>
    <w:rsid w:val="00B60123"/>
    <w:rsid w:val="00B84E2D"/>
    <w:rsid w:val="00B85277"/>
    <w:rsid w:val="00BA6013"/>
    <w:rsid w:val="00BB043E"/>
    <w:rsid w:val="00BB5840"/>
    <w:rsid w:val="00BD4B3F"/>
    <w:rsid w:val="00BD5106"/>
    <w:rsid w:val="00BD77A7"/>
    <w:rsid w:val="00BE080B"/>
    <w:rsid w:val="00BE0B4F"/>
    <w:rsid w:val="00BE7263"/>
    <w:rsid w:val="00C23E3E"/>
    <w:rsid w:val="00C243BE"/>
    <w:rsid w:val="00C358D1"/>
    <w:rsid w:val="00C50D6D"/>
    <w:rsid w:val="00C52B9E"/>
    <w:rsid w:val="00C66C4D"/>
    <w:rsid w:val="00C74CF5"/>
    <w:rsid w:val="00C87291"/>
    <w:rsid w:val="00C9671A"/>
    <w:rsid w:val="00C96774"/>
    <w:rsid w:val="00CB153C"/>
    <w:rsid w:val="00CF43F2"/>
    <w:rsid w:val="00D05336"/>
    <w:rsid w:val="00D1092A"/>
    <w:rsid w:val="00D436CB"/>
    <w:rsid w:val="00D4528B"/>
    <w:rsid w:val="00D46983"/>
    <w:rsid w:val="00D63F33"/>
    <w:rsid w:val="00D815E7"/>
    <w:rsid w:val="00DA5477"/>
    <w:rsid w:val="00DC2300"/>
    <w:rsid w:val="00DC2F1D"/>
    <w:rsid w:val="00DC5EF9"/>
    <w:rsid w:val="00DC62A9"/>
    <w:rsid w:val="00DE497E"/>
    <w:rsid w:val="00DF25CE"/>
    <w:rsid w:val="00DF7F2D"/>
    <w:rsid w:val="00E15252"/>
    <w:rsid w:val="00E16F7D"/>
    <w:rsid w:val="00E2296E"/>
    <w:rsid w:val="00E340F7"/>
    <w:rsid w:val="00E347D2"/>
    <w:rsid w:val="00E47B80"/>
    <w:rsid w:val="00E616E1"/>
    <w:rsid w:val="00E66D8F"/>
    <w:rsid w:val="00EA351D"/>
    <w:rsid w:val="00EB24EC"/>
    <w:rsid w:val="00ED36BC"/>
    <w:rsid w:val="00EF163B"/>
    <w:rsid w:val="00F2260E"/>
    <w:rsid w:val="00F44E53"/>
    <w:rsid w:val="00F45666"/>
    <w:rsid w:val="00F474F7"/>
    <w:rsid w:val="00F57C0F"/>
    <w:rsid w:val="00F57D5B"/>
    <w:rsid w:val="00F623D9"/>
    <w:rsid w:val="00F6296B"/>
    <w:rsid w:val="00F74396"/>
    <w:rsid w:val="00F74960"/>
    <w:rsid w:val="00FA200D"/>
    <w:rsid w:val="00FA57D2"/>
    <w:rsid w:val="00FC63E3"/>
    <w:rsid w:val="00FE428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15F8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215F89"/>
    <w:pPr>
      <w:ind w:left="720"/>
      <w:contextualSpacing/>
    </w:pPr>
  </w:style>
  <w:style w:type="paragraph" w:styleId="BalloonText">
    <w:name w:val="Balloon Text"/>
    <w:basedOn w:val="Normal"/>
    <w:link w:val="BalloonTextChar"/>
    <w:uiPriority w:val="99"/>
    <w:semiHidden/>
    <w:unhideWhenUsed/>
    <w:rsid w:val="0058696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8696F"/>
    <w:rPr>
      <w:rFonts w:ascii="Tahoma" w:hAnsi="Tahoma" w:cs="Tahoma"/>
      <w:sz w:val="16"/>
      <w:szCs w:val="16"/>
    </w:rPr>
  </w:style>
  <w:style w:type="paragraph" w:styleId="FootnoteText">
    <w:name w:val="footnote text"/>
    <w:basedOn w:val="Normal"/>
    <w:link w:val="FootnoteTextChar"/>
    <w:uiPriority w:val="99"/>
    <w:semiHidden/>
    <w:unhideWhenUsed/>
    <w:rsid w:val="0000766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00766D"/>
    <w:rPr>
      <w:sz w:val="20"/>
      <w:szCs w:val="20"/>
    </w:rPr>
  </w:style>
  <w:style w:type="character" w:styleId="FootnoteReference">
    <w:name w:val="footnote reference"/>
    <w:basedOn w:val="DefaultParagraphFont"/>
    <w:uiPriority w:val="99"/>
    <w:semiHidden/>
    <w:unhideWhenUsed/>
    <w:rsid w:val="0000766D"/>
    <w:rPr>
      <w:vertAlign w:val="superscript"/>
    </w:rPr>
  </w:style>
  <w:style w:type="paragraph" w:styleId="Header">
    <w:name w:val="header"/>
    <w:basedOn w:val="Normal"/>
    <w:link w:val="HeaderChar"/>
    <w:uiPriority w:val="99"/>
    <w:unhideWhenUsed/>
    <w:rsid w:val="00AB1EE5"/>
    <w:pPr>
      <w:tabs>
        <w:tab w:val="center" w:pos="4680"/>
        <w:tab w:val="right" w:pos="9360"/>
      </w:tabs>
      <w:spacing w:after="0" w:line="240" w:lineRule="auto"/>
    </w:pPr>
  </w:style>
  <w:style w:type="character" w:customStyle="1" w:styleId="HeaderChar">
    <w:name w:val="Header Char"/>
    <w:basedOn w:val="DefaultParagraphFont"/>
    <w:link w:val="Header"/>
    <w:uiPriority w:val="99"/>
    <w:rsid w:val="00AB1EE5"/>
  </w:style>
  <w:style w:type="paragraph" w:styleId="Footer">
    <w:name w:val="footer"/>
    <w:basedOn w:val="Normal"/>
    <w:link w:val="FooterChar"/>
    <w:uiPriority w:val="99"/>
    <w:unhideWhenUsed/>
    <w:rsid w:val="00AB1EE5"/>
    <w:pPr>
      <w:tabs>
        <w:tab w:val="center" w:pos="4680"/>
        <w:tab w:val="right" w:pos="9360"/>
      </w:tabs>
      <w:spacing w:after="0" w:line="240" w:lineRule="auto"/>
    </w:pPr>
  </w:style>
  <w:style w:type="character" w:customStyle="1" w:styleId="FooterChar">
    <w:name w:val="Footer Char"/>
    <w:basedOn w:val="DefaultParagraphFont"/>
    <w:link w:val="Footer"/>
    <w:uiPriority w:val="99"/>
    <w:rsid w:val="00AB1EE5"/>
  </w:style>
  <w:style w:type="paragraph" w:customStyle="1" w:styleId="Chapter">
    <w:name w:val="Chapter"/>
    <w:basedOn w:val="Normal"/>
    <w:next w:val="Normal"/>
    <w:rsid w:val="0078247F"/>
    <w:pPr>
      <w:keepNext/>
      <w:numPr>
        <w:numId w:val="2"/>
      </w:numPr>
      <w:tabs>
        <w:tab w:val="clear" w:pos="2088"/>
        <w:tab w:val="num" w:pos="648"/>
        <w:tab w:val="left" w:pos="1440"/>
      </w:tabs>
      <w:spacing w:before="240" w:after="240" w:line="240" w:lineRule="auto"/>
      <w:ind w:left="0"/>
      <w:jc w:val="center"/>
    </w:pPr>
    <w:rPr>
      <w:rFonts w:ascii="Times New Roman" w:eastAsia="Times New Roman" w:hAnsi="Times New Roman" w:cs="Times New Roman"/>
      <w:b/>
      <w:smallCaps/>
      <w:sz w:val="24"/>
      <w:szCs w:val="20"/>
      <w:lang w:val="es-ES_tradnl"/>
    </w:rPr>
  </w:style>
  <w:style w:type="paragraph" w:customStyle="1" w:styleId="Paragraph">
    <w:name w:val="Paragraph"/>
    <w:basedOn w:val="BodyTextIndent"/>
    <w:rsid w:val="0078247F"/>
    <w:pPr>
      <w:numPr>
        <w:ilvl w:val="1"/>
        <w:numId w:val="2"/>
      </w:numPr>
      <w:spacing w:before="120" w:line="240" w:lineRule="auto"/>
      <w:jc w:val="both"/>
      <w:outlineLvl w:val="1"/>
    </w:pPr>
    <w:rPr>
      <w:rFonts w:ascii="Times New Roman" w:eastAsia="Times New Roman" w:hAnsi="Times New Roman" w:cs="Times New Roman"/>
      <w:sz w:val="24"/>
      <w:szCs w:val="20"/>
      <w:lang w:val="es-ES_tradnl"/>
    </w:rPr>
  </w:style>
  <w:style w:type="paragraph" w:customStyle="1" w:styleId="subpar">
    <w:name w:val="subpar"/>
    <w:basedOn w:val="BodyTextIndent3"/>
    <w:rsid w:val="0078247F"/>
    <w:pPr>
      <w:numPr>
        <w:ilvl w:val="2"/>
        <w:numId w:val="2"/>
      </w:numPr>
      <w:tabs>
        <w:tab w:val="clear" w:pos="2592"/>
        <w:tab w:val="num" w:pos="1152"/>
      </w:tabs>
      <w:spacing w:before="120" w:line="240" w:lineRule="auto"/>
      <w:ind w:left="1152" w:hanging="180"/>
      <w:jc w:val="both"/>
      <w:outlineLvl w:val="2"/>
    </w:pPr>
    <w:rPr>
      <w:rFonts w:ascii="Times New Roman" w:eastAsia="Times New Roman" w:hAnsi="Times New Roman" w:cs="Times New Roman"/>
      <w:sz w:val="24"/>
      <w:szCs w:val="20"/>
      <w:lang w:val="es-ES_tradnl"/>
    </w:rPr>
  </w:style>
  <w:style w:type="paragraph" w:customStyle="1" w:styleId="SubSubPar">
    <w:name w:val="SubSubPar"/>
    <w:basedOn w:val="subpar"/>
    <w:rsid w:val="0078247F"/>
    <w:pPr>
      <w:numPr>
        <w:ilvl w:val="3"/>
      </w:numPr>
      <w:tabs>
        <w:tab w:val="clear" w:pos="3024"/>
        <w:tab w:val="left" w:pos="0"/>
        <w:tab w:val="num" w:pos="1296"/>
      </w:tabs>
      <w:ind w:left="1296" w:hanging="360"/>
    </w:pPr>
  </w:style>
  <w:style w:type="paragraph" w:styleId="BodyTextIndent">
    <w:name w:val="Body Text Indent"/>
    <w:basedOn w:val="Normal"/>
    <w:link w:val="BodyTextIndentChar"/>
    <w:uiPriority w:val="99"/>
    <w:semiHidden/>
    <w:unhideWhenUsed/>
    <w:rsid w:val="0078247F"/>
    <w:pPr>
      <w:spacing w:after="120"/>
      <w:ind w:left="360"/>
    </w:pPr>
  </w:style>
  <w:style w:type="character" w:customStyle="1" w:styleId="BodyTextIndentChar">
    <w:name w:val="Body Text Indent Char"/>
    <w:basedOn w:val="DefaultParagraphFont"/>
    <w:link w:val="BodyTextIndent"/>
    <w:uiPriority w:val="99"/>
    <w:semiHidden/>
    <w:rsid w:val="0078247F"/>
  </w:style>
  <w:style w:type="paragraph" w:styleId="BodyTextIndent3">
    <w:name w:val="Body Text Indent 3"/>
    <w:basedOn w:val="Normal"/>
    <w:link w:val="BodyTextIndent3Char"/>
    <w:uiPriority w:val="99"/>
    <w:semiHidden/>
    <w:unhideWhenUsed/>
    <w:rsid w:val="0078247F"/>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78247F"/>
    <w:rPr>
      <w:sz w:val="16"/>
      <w:szCs w:val="16"/>
    </w:rPr>
  </w:style>
  <w:style w:type="character" w:styleId="CommentReference">
    <w:name w:val="annotation reference"/>
    <w:basedOn w:val="DefaultParagraphFont"/>
    <w:uiPriority w:val="99"/>
    <w:semiHidden/>
    <w:unhideWhenUsed/>
    <w:rsid w:val="008A1BF7"/>
    <w:rPr>
      <w:sz w:val="16"/>
      <w:szCs w:val="16"/>
    </w:rPr>
  </w:style>
  <w:style w:type="paragraph" w:styleId="CommentText">
    <w:name w:val="annotation text"/>
    <w:basedOn w:val="Normal"/>
    <w:link w:val="CommentTextChar"/>
    <w:uiPriority w:val="99"/>
    <w:semiHidden/>
    <w:unhideWhenUsed/>
    <w:rsid w:val="008A1BF7"/>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uiPriority w:val="99"/>
    <w:semiHidden/>
    <w:rsid w:val="008A1BF7"/>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384F30"/>
    <w:pPr>
      <w:spacing w:after="200"/>
    </w:pPr>
    <w:rPr>
      <w:rFonts w:asciiTheme="minorHAnsi" w:eastAsiaTheme="minorHAnsi" w:hAnsiTheme="minorHAnsi" w:cstheme="minorBidi"/>
      <w:b/>
      <w:bCs/>
    </w:rPr>
  </w:style>
  <w:style w:type="character" w:customStyle="1" w:styleId="CommentSubjectChar">
    <w:name w:val="Comment Subject Char"/>
    <w:basedOn w:val="CommentTextChar"/>
    <w:link w:val="CommentSubject"/>
    <w:uiPriority w:val="99"/>
    <w:semiHidden/>
    <w:rsid w:val="00384F30"/>
    <w:rPr>
      <w:rFonts w:ascii="Times New Roman" w:eastAsia="Times New Roman" w:hAnsi="Times New Roman" w:cs="Times New Roman"/>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15F8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215F89"/>
    <w:pPr>
      <w:ind w:left="720"/>
      <w:contextualSpacing/>
    </w:pPr>
  </w:style>
  <w:style w:type="paragraph" w:styleId="BalloonText">
    <w:name w:val="Balloon Text"/>
    <w:basedOn w:val="Normal"/>
    <w:link w:val="BalloonTextChar"/>
    <w:uiPriority w:val="99"/>
    <w:semiHidden/>
    <w:unhideWhenUsed/>
    <w:rsid w:val="0058696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8696F"/>
    <w:rPr>
      <w:rFonts w:ascii="Tahoma" w:hAnsi="Tahoma" w:cs="Tahoma"/>
      <w:sz w:val="16"/>
      <w:szCs w:val="16"/>
    </w:rPr>
  </w:style>
  <w:style w:type="paragraph" w:styleId="FootnoteText">
    <w:name w:val="footnote text"/>
    <w:basedOn w:val="Normal"/>
    <w:link w:val="FootnoteTextChar"/>
    <w:uiPriority w:val="99"/>
    <w:semiHidden/>
    <w:unhideWhenUsed/>
    <w:rsid w:val="0000766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00766D"/>
    <w:rPr>
      <w:sz w:val="20"/>
      <w:szCs w:val="20"/>
    </w:rPr>
  </w:style>
  <w:style w:type="character" w:styleId="FootnoteReference">
    <w:name w:val="footnote reference"/>
    <w:basedOn w:val="DefaultParagraphFont"/>
    <w:uiPriority w:val="99"/>
    <w:semiHidden/>
    <w:unhideWhenUsed/>
    <w:rsid w:val="0000766D"/>
    <w:rPr>
      <w:vertAlign w:val="superscript"/>
    </w:rPr>
  </w:style>
  <w:style w:type="paragraph" w:styleId="Header">
    <w:name w:val="header"/>
    <w:basedOn w:val="Normal"/>
    <w:link w:val="HeaderChar"/>
    <w:uiPriority w:val="99"/>
    <w:unhideWhenUsed/>
    <w:rsid w:val="00AB1EE5"/>
    <w:pPr>
      <w:tabs>
        <w:tab w:val="center" w:pos="4680"/>
        <w:tab w:val="right" w:pos="9360"/>
      </w:tabs>
      <w:spacing w:after="0" w:line="240" w:lineRule="auto"/>
    </w:pPr>
  </w:style>
  <w:style w:type="character" w:customStyle="1" w:styleId="HeaderChar">
    <w:name w:val="Header Char"/>
    <w:basedOn w:val="DefaultParagraphFont"/>
    <w:link w:val="Header"/>
    <w:uiPriority w:val="99"/>
    <w:rsid w:val="00AB1EE5"/>
  </w:style>
  <w:style w:type="paragraph" w:styleId="Footer">
    <w:name w:val="footer"/>
    <w:basedOn w:val="Normal"/>
    <w:link w:val="FooterChar"/>
    <w:uiPriority w:val="99"/>
    <w:unhideWhenUsed/>
    <w:rsid w:val="00AB1EE5"/>
    <w:pPr>
      <w:tabs>
        <w:tab w:val="center" w:pos="4680"/>
        <w:tab w:val="right" w:pos="9360"/>
      </w:tabs>
      <w:spacing w:after="0" w:line="240" w:lineRule="auto"/>
    </w:pPr>
  </w:style>
  <w:style w:type="character" w:customStyle="1" w:styleId="FooterChar">
    <w:name w:val="Footer Char"/>
    <w:basedOn w:val="DefaultParagraphFont"/>
    <w:link w:val="Footer"/>
    <w:uiPriority w:val="99"/>
    <w:rsid w:val="00AB1EE5"/>
  </w:style>
  <w:style w:type="paragraph" w:customStyle="1" w:styleId="Chapter">
    <w:name w:val="Chapter"/>
    <w:basedOn w:val="Normal"/>
    <w:next w:val="Normal"/>
    <w:rsid w:val="0078247F"/>
    <w:pPr>
      <w:keepNext/>
      <w:numPr>
        <w:numId w:val="2"/>
      </w:numPr>
      <w:tabs>
        <w:tab w:val="clear" w:pos="2088"/>
        <w:tab w:val="num" w:pos="648"/>
        <w:tab w:val="left" w:pos="1440"/>
      </w:tabs>
      <w:spacing w:before="240" w:after="240" w:line="240" w:lineRule="auto"/>
      <w:ind w:left="0"/>
      <w:jc w:val="center"/>
    </w:pPr>
    <w:rPr>
      <w:rFonts w:ascii="Times New Roman" w:eastAsia="Times New Roman" w:hAnsi="Times New Roman" w:cs="Times New Roman"/>
      <w:b/>
      <w:smallCaps/>
      <w:sz w:val="24"/>
      <w:szCs w:val="20"/>
      <w:lang w:val="es-ES_tradnl"/>
    </w:rPr>
  </w:style>
  <w:style w:type="paragraph" w:customStyle="1" w:styleId="Paragraph">
    <w:name w:val="Paragraph"/>
    <w:basedOn w:val="BodyTextIndent"/>
    <w:rsid w:val="0078247F"/>
    <w:pPr>
      <w:numPr>
        <w:ilvl w:val="1"/>
        <w:numId w:val="2"/>
      </w:numPr>
      <w:spacing w:before="120" w:line="240" w:lineRule="auto"/>
      <w:jc w:val="both"/>
      <w:outlineLvl w:val="1"/>
    </w:pPr>
    <w:rPr>
      <w:rFonts w:ascii="Times New Roman" w:eastAsia="Times New Roman" w:hAnsi="Times New Roman" w:cs="Times New Roman"/>
      <w:sz w:val="24"/>
      <w:szCs w:val="20"/>
      <w:lang w:val="es-ES_tradnl"/>
    </w:rPr>
  </w:style>
  <w:style w:type="paragraph" w:customStyle="1" w:styleId="subpar">
    <w:name w:val="subpar"/>
    <w:basedOn w:val="BodyTextIndent3"/>
    <w:rsid w:val="0078247F"/>
    <w:pPr>
      <w:numPr>
        <w:ilvl w:val="2"/>
        <w:numId w:val="2"/>
      </w:numPr>
      <w:tabs>
        <w:tab w:val="clear" w:pos="2592"/>
        <w:tab w:val="num" w:pos="1152"/>
      </w:tabs>
      <w:spacing w:before="120" w:line="240" w:lineRule="auto"/>
      <w:ind w:left="1152" w:hanging="180"/>
      <w:jc w:val="both"/>
      <w:outlineLvl w:val="2"/>
    </w:pPr>
    <w:rPr>
      <w:rFonts w:ascii="Times New Roman" w:eastAsia="Times New Roman" w:hAnsi="Times New Roman" w:cs="Times New Roman"/>
      <w:sz w:val="24"/>
      <w:szCs w:val="20"/>
      <w:lang w:val="es-ES_tradnl"/>
    </w:rPr>
  </w:style>
  <w:style w:type="paragraph" w:customStyle="1" w:styleId="SubSubPar">
    <w:name w:val="SubSubPar"/>
    <w:basedOn w:val="subpar"/>
    <w:rsid w:val="0078247F"/>
    <w:pPr>
      <w:numPr>
        <w:ilvl w:val="3"/>
      </w:numPr>
      <w:tabs>
        <w:tab w:val="clear" w:pos="3024"/>
        <w:tab w:val="left" w:pos="0"/>
        <w:tab w:val="num" w:pos="1296"/>
      </w:tabs>
      <w:ind w:left="1296" w:hanging="360"/>
    </w:pPr>
  </w:style>
  <w:style w:type="paragraph" w:styleId="BodyTextIndent">
    <w:name w:val="Body Text Indent"/>
    <w:basedOn w:val="Normal"/>
    <w:link w:val="BodyTextIndentChar"/>
    <w:uiPriority w:val="99"/>
    <w:semiHidden/>
    <w:unhideWhenUsed/>
    <w:rsid w:val="0078247F"/>
    <w:pPr>
      <w:spacing w:after="120"/>
      <w:ind w:left="360"/>
    </w:pPr>
  </w:style>
  <w:style w:type="character" w:customStyle="1" w:styleId="BodyTextIndentChar">
    <w:name w:val="Body Text Indent Char"/>
    <w:basedOn w:val="DefaultParagraphFont"/>
    <w:link w:val="BodyTextIndent"/>
    <w:uiPriority w:val="99"/>
    <w:semiHidden/>
    <w:rsid w:val="0078247F"/>
  </w:style>
  <w:style w:type="paragraph" w:styleId="BodyTextIndent3">
    <w:name w:val="Body Text Indent 3"/>
    <w:basedOn w:val="Normal"/>
    <w:link w:val="BodyTextIndent3Char"/>
    <w:uiPriority w:val="99"/>
    <w:semiHidden/>
    <w:unhideWhenUsed/>
    <w:rsid w:val="0078247F"/>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78247F"/>
    <w:rPr>
      <w:sz w:val="16"/>
      <w:szCs w:val="16"/>
    </w:rPr>
  </w:style>
  <w:style w:type="character" w:styleId="CommentReference">
    <w:name w:val="annotation reference"/>
    <w:basedOn w:val="DefaultParagraphFont"/>
    <w:uiPriority w:val="99"/>
    <w:semiHidden/>
    <w:unhideWhenUsed/>
    <w:rsid w:val="008A1BF7"/>
    <w:rPr>
      <w:sz w:val="16"/>
      <w:szCs w:val="16"/>
    </w:rPr>
  </w:style>
  <w:style w:type="paragraph" w:styleId="CommentText">
    <w:name w:val="annotation text"/>
    <w:basedOn w:val="Normal"/>
    <w:link w:val="CommentTextChar"/>
    <w:uiPriority w:val="99"/>
    <w:semiHidden/>
    <w:unhideWhenUsed/>
    <w:rsid w:val="008A1BF7"/>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uiPriority w:val="99"/>
    <w:semiHidden/>
    <w:rsid w:val="008A1BF7"/>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384F30"/>
    <w:pPr>
      <w:spacing w:after="200"/>
    </w:pPr>
    <w:rPr>
      <w:rFonts w:asciiTheme="minorHAnsi" w:eastAsiaTheme="minorHAnsi" w:hAnsiTheme="minorHAnsi" w:cstheme="minorBidi"/>
      <w:b/>
      <w:bCs/>
    </w:rPr>
  </w:style>
  <w:style w:type="character" w:customStyle="1" w:styleId="CommentSubjectChar">
    <w:name w:val="Comment Subject Char"/>
    <w:basedOn w:val="CommentTextChar"/>
    <w:link w:val="CommentSubject"/>
    <w:uiPriority w:val="99"/>
    <w:semiHidden/>
    <w:rsid w:val="00384F30"/>
    <w:rPr>
      <w:rFonts w:ascii="Times New Roman" w:eastAsia="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18" Type="http://schemas.openxmlformats.org/officeDocument/2006/relationships/customXml" Target="../customXml/item7.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ntTable" Target="fontTable.xml"/><Relationship Id="rId17" Type="http://schemas.openxmlformats.org/officeDocument/2006/relationships/customXml" Target="../customXml/item6.xml"/><Relationship Id="rId2" Type="http://schemas.openxmlformats.org/officeDocument/2006/relationships/customXml" Target="../customXml/item2.xml"/><Relationship Id="rId16" Type="http://schemas.openxmlformats.org/officeDocument/2006/relationships/customXml" Target="../customXml/item5.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microsoft.com/office/2007/relationships/stylesWithEffects" Target="stylesWithEffects.xml"/><Relationship Id="rId15" Type="http://schemas.openxmlformats.org/officeDocument/2006/relationships/customXml" Target="../customXml/item4.xml"/><Relationship Id="rId10" Type="http://schemas.openxmlformats.org/officeDocument/2006/relationships/header" Target="header1.xml"/><Relationship Id="rId19" Type="http://schemas.openxmlformats.org/officeDocument/2006/relationships/customXml" Target="../customXml/item13.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mso-contentType ?>
<SharedContentType xmlns="Microsoft.SharePoint.Taxonomy.ContentTypeSync" SourceId="ae61f9b1-e23d-4f49-b3d7-56b991556c4b" ContentTypeId="0x010100ACF722E9F6B0B149B0CD8BE2560A6672" PreviousValue="false"/>
</file>

<file path=customXml/item10.xml><?xml version="1.0" encoding="utf-8"?>
<?mso-contentType ?>
<FormUrls xmlns="http://schemas.microsoft.com/sharepoint/v3/contenttype/forms/url">
  <Display>_catalogs/masterpage/ECMForms/OperationsCT/View.aspx</Display>
  <Edit>_catalogs/masterpage/ECMForms/OperationsCT/Edit.aspx</Edit>
</FormUrls>
</file>

<file path=customXml/item11.xml><?xml version="1.0" encoding="utf-8"?>
<?mso-contentType ?>
<FormUrls xmlns="http://schemas.microsoft.com/sharepoint/v3/contenttype/forms/url">
  <Display>_catalogs/masterpage/ECMForms/OperationsCT/View.aspx</Display>
  <Edit>_catalogs/masterpage/ECMForms/OperationsCT/Edit.aspx</Edit>
</FormUrls>
</file>

<file path=customXml/item12.xml><?xml version="1.0" encoding="utf-8"?>
<?mso-contentType ?>
<FormUrls xmlns="http://schemas.microsoft.com/sharepoint/v3/contenttype/forms/url">
  <Display>_catalogs/masterpage/ECMForms/OperationsCT/View.aspx</Display>
  <Edit>_catalogs/masterpage/ECMForms/OperationsCT/Edit.aspx</Edit>
</FormUrls>
</file>

<file path=customXml/item13.xml><?xml version="1.0" encoding="utf-8"?>
<?mso-contentType ?>
<FormUrls xmlns="http://schemas.microsoft.com/sharepoint/v3/contenttype/forms/url">
  <Display>_catalogs/masterpage/ECMForms/OperationsCT/View.aspx</Display>
  <Edit>_catalogs/masterpage/ECMForms/OperationsCT/Edit.aspx</Edit>
</FormUrl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ct:contentTypeSchema xmlns:ct="http://schemas.microsoft.com/office/2006/metadata/contentType" xmlns:ma="http://schemas.microsoft.com/office/2006/metadata/properties/metaAttributes" ct:_="" ma:_="" ma:contentTypeName="ez-Operations" ma:contentTypeID="0x010100ACF722E9F6B0B149B0CD8BE2560A667200C5274CF5D7C1604E994A70593AD2DAF4" ma:contentTypeVersion="1883" ma:contentTypeDescription="The base project type from which other project content types inherit their information." ma:contentTypeScope="" ma:versionID="be784c3e9571300bb2d5770f08cb91b1">
  <xsd:schema xmlns:xsd="http://www.w3.org/2001/XMLSchema" xmlns:xs="http://www.w3.org/2001/XMLSchema" xmlns:p="http://schemas.microsoft.com/office/2006/metadata/properties" xmlns:ns2="cdc7663a-08f0-4737-9e8c-148ce897a09c" targetNamespace="http://schemas.microsoft.com/office/2006/metadata/properties" ma:root="true" ma:fieldsID="debd62a969ab0658bee3269b05fb97a4"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b26cdb1da78c4bb4b1c1bac2f6ac5911" minOccurs="0"/>
                <xsd:element ref="ns2:TaxCatchAll" minOccurs="0"/>
                <xsd:element ref="ns2:TaxCatchAllLabel" minOccurs="0"/>
                <xsd:element ref="ns2:Project_x0020_Number"/>
                <xsd:element ref="ns2:Access_x0020_to_x0020_Information_x00a0_Policy"/>
                <xsd:element ref="ns2:Document_x0020_Author" minOccurs="0"/>
                <xsd:element ref="ns2:Other_x0020_Author" minOccurs="0"/>
                <xsd:element ref="ns2:Approval_x0020_Number" minOccurs="0"/>
                <xsd:element ref="ns2:g511464f9e53401d84b16fa9b379a574" minOccurs="0"/>
                <xsd:element ref="ns2:Division_x0020_or_x0020_Unit" minOccurs="0"/>
                <xsd:element ref="ns2:Document_x0020_Language_x0020_IDB" minOccurs="0"/>
                <xsd:element ref="ns2:From_x003a_" minOccurs="0"/>
                <xsd:element ref="ns2:To_x003a_" minOccurs="0"/>
                <xsd:element ref="ns2:Identifier" minOccurs="0"/>
                <xsd:element ref="ns2:Fiscal_x0020_Year_x0020_IDB" minOccurs="0"/>
                <xsd:element ref="ns2:ic46d7e087fd4a108fb86518ca413cc6" minOccurs="0"/>
                <xsd:element ref="ns2:nddeef1749674d76abdbe4b239a70bc6" minOccurs="0"/>
                <xsd:element ref="ns2:b2ec7cfb18674cb8803df6b262e8b107" minOccurs="0"/>
                <xsd:element ref="ns2:Phase" minOccurs="0"/>
                <xsd:element ref="ns2:Key_x0020_Document" minOccurs="0"/>
                <xsd:element ref="ns2:Business_x0020_Area" minOccurs="0"/>
                <xsd:element ref="ns2:Project_x0020_Document_x0020_Type" minOccurs="0"/>
                <xsd:element ref="ns2:Operation_x0020_Type" minOccurs="0"/>
                <xsd:element ref="ns2:Package_x0020_Code" minOccurs="0"/>
                <xsd:element ref="ns2:e46fe2894295491da65140ffd2369f49" minOccurs="0"/>
                <xsd:element ref="ns2:SISCOR_x0020_Number" minOccurs="0"/>
                <xsd:element ref="ns2:IDBDocs_x0020_Number" minOccurs="0"/>
                <xsd:element ref="ns2:Migration_x0020_Info"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b26cdb1da78c4bb4b1c1bac2f6ac5911" ma:index="11"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Project_x0020_Number" ma:index="15" ma:displayName="Project Number" ma:internalName="Project_x0020_Number">
      <xsd:simpleType>
        <xsd:restriction base="dms:Text">
          <xsd:maxLength value="255"/>
        </xsd:restriction>
      </xsd:simpleType>
    </xsd:element>
    <xsd:element name="Access_x0020_to_x0020_Information_x00a0_Policy" ma:index="16"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Document_x0020_Author" ma:index="17" nillable="true" ma:displayName="Document Author" ma:internalName="Document_x0020_Author">
      <xsd:simpleType>
        <xsd:restriction base="dms:Text">
          <xsd:maxLength value="255"/>
        </xsd:restriction>
      </xsd:simpleType>
    </xsd:element>
    <xsd:element name="Other_x0020_Author" ma:index="18" nillable="true" ma:displayName="Other Author" ma:internalName="Other_x0020_Author">
      <xsd:simpleType>
        <xsd:restriction base="dms:Text">
          <xsd:maxLength value="255"/>
        </xsd:restriction>
      </xsd:simpleType>
    </xsd:element>
    <xsd:element name="Approval_x0020_Number" ma:index="19" nillable="true" ma:displayName="Approval Number" ma:internalName="Approval_x0020_Number">
      <xsd:simpleType>
        <xsd:restriction base="dms:Text">
          <xsd:maxLength value="255"/>
        </xsd:restriction>
      </xsd:simpleType>
    </xsd:element>
    <xsd:element name="g511464f9e53401d84b16fa9b379a574" ma:index="20"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Division_x0020_or_x0020_Unit" ma:index="22" nillable="true" ma:displayName="Division or Unit" ma:internalName="Division_x0020_or_x0020_Unit">
      <xsd:simpleType>
        <xsd:restriction base="dms:Text">
          <xsd:maxLength value="255"/>
        </xsd:restriction>
      </xsd:simpleType>
    </xsd:element>
    <xsd:element name="Document_x0020_Language_x0020_IDB" ma:index="23"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24" nillable="true" ma:displayName="From:" ma:description="Sender name from email message" ma:internalName="From_x003A_">
      <xsd:simpleType>
        <xsd:restriction base="dms:Text">
          <xsd:maxLength value="255"/>
        </xsd:restriction>
      </xsd:simpleType>
    </xsd:element>
    <xsd:element name="To_x003a_" ma:index="25" nillable="true" ma:displayName="To:" ma:description="Addressee names from email message&#10;" ma:internalName="To_x003A_">
      <xsd:simpleType>
        <xsd:restriction base="dms:Text">
          <xsd:maxLength value="255"/>
        </xsd:restriction>
      </xsd:simpleType>
    </xsd:element>
    <xsd:element name="Identifier" ma:index="26" nillable="true" ma:displayName="Identifier" ma:internalName="Identifier">
      <xsd:simpleType>
        <xsd:restriction base="dms:Text">
          <xsd:maxLength value="255"/>
        </xsd:restriction>
      </xsd:simpleType>
    </xsd:element>
    <xsd:element name="Fiscal_x0020_Year_x0020_IDB" ma:index="27" nillable="true" ma:displayName="Fiscal Year IDB" ma:internalName="Fiscal_x0020_Year_x0020_IDB">
      <xsd:simpleType>
        <xsd:restriction base="dms:Text">
          <xsd:maxLength value="255"/>
        </xsd:restriction>
      </xsd:simpleType>
    </xsd:element>
    <xsd:element name="ic46d7e087fd4a108fb86518ca413cc6" ma:index="28"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nddeef1749674d76abdbe4b239a70bc6" ma:index="30"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32"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Phase" ma:index="34" nillable="true" ma:displayName="Phase" ma:internalName="Phase">
      <xsd:simpleType>
        <xsd:restriction base="dms:Text">
          <xsd:maxLength value="255"/>
        </xsd:restriction>
      </xsd:simpleType>
    </xsd:element>
    <xsd:element name="Key_x0020_Document" ma:index="35" nillable="true" ma:displayName="Key Document" ma:default="0" ma:internalName="Key_x0020_Document">
      <xsd:simpleType>
        <xsd:restriction base="dms:Boolean"/>
      </xsd:simpleType>
    </xsd:element>
    <xsd:element name="Business_x0020_Area" ma:index="36" nillable="true" ma:displayName="Business Area" ma:internalName="Business_x0020_Area">
      <xsd:simpleType>
        <xsd:restriction base="dms:Text">
          <xsd:maxLength value="255"/>
        </xsd:restriction>
      </xsd:simpleType>
    </xsd:element>
    <xsd:element name="Project_x0020_Document_x0020_Type" ma:index="37" nillable="true" ma:displayName="Project Document Type" ma:internalName="Project_x0020_Document_x0020_Type">
      <xsd:simpleType>
        <xsd:restriction base="dms:Text">
          <xsd:maxLength value="255"/>
        </xsd:restriction>
      </xsd:simpleType>
    </xsd:element>
    <xsd:element name="Operation_x0020_Type" ma:index="38" nillable="true" ma:displayName="Operation Type" ma:internalName="Operation_x0020_Type">
      <xsd:simpleType>
        <xsd:restriction base="dms:Text">
          <xsd:maxLength value="255"/>
        </xsd:restriction>
      </xsd:simpleType>
    </xsd:element>
    <xsd:element name="Package_x0020_Code" ma:index="39" nillable="true" ma:displayName="Package Code" ma:internalName="Package_x0020_Code">
      <xsd:simpleType>
        <xsd:restriction base="dms:Text">
          <xsd:maxLength value="255"/>
        </xsd:restriction>
      </xsd:simpleType>
    </xsd:element>
    <xsd:element name="e46fe2894295491da65140ffd2369f49" ma:index="40" nillable="true" ma:taxonomy="true" ma:internalName="e46fe2894295491da65140ffd2369f49" ma:taxonomyFieldName="Function_x0020_Operations_x0020_IDB" ma:displayName="Function Operations IDB"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SISCOR_x0020_Number" ma:index="42" nillable="true" ma:displayName="SISCOR Number" ma:internalName="SISCOR_x0020_Number">
      <xsd:simpleType>
        <xsd:restriction base="dms:Text">
          <xsd:maxLength value="255"/>
        </xsd:restriction>
      </xsd:simpleType>
    </xsd:element>
    <xsd:element name="IDBDocs_x0020_Number" ma:index="43" nillable="true" ma:displayName="IDBDocs Number" ma:internalName="IDBDocs_x0020_Number">
      <xsd:simpleType>
        <xsd:restriction base="dms:Text">
          <xsd:maxLength value="255"/>
        </xsd:restriction>
      </xsd:simpleType>
    </xsd:element>
    <xsd:element name="Migration_x0020_Info" ma:index="44" nillable="true" ma:displayName="Migration Info" ma:internalName="Migration_x0020_Info">
      <xsd:simpleType>
        <xsd:restriction base="dms:Note"/>
      </xsd:simpleType>
    </xsd:element>
    <xsd:element name="Record_x0020_Number" ma:index="45" nillable="true" ma:displayName="Record Number" ma:internalName="Record_x0020_Number">
      <xsd:simpleType>
        <xsd:restriction base="dms:Text">
          <xsd:maxLength value="255"/>
        </xsd:restriction>
      </xsd:simpleType>
    </xsd:element>
    <xsd:element name="Related_x0020_SisCor_x0020_Number" ma:index="46"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p:properties xmlns:p="http://schemas.microsoft.com/office/2006/metadata/properties" xmlns:xsi="http://www.w3.org/2001/XMLSchema-instance" xmlns:pc="http://schemas.microsoft.com/office/infopath/2007/PartnerControls">
  <documentManagement>
    <Project_x0020_Document_x0020_Type xmlns="cdc7663a-08f0-4737-9e8c-148ce897a09c" xsi:nil="true"/>
    <Record_x0020_Number xmlns="cdc7663a-08f0-4737-9e8c-148ce897a09c">R0002724957</Record_x0020_Number>
    <Key_x0020_Document xmlns="cdc7663a-08f0-4737-9e8c-148ce897a09c">false</Key_x0020_Document>
    <Division_x0020_or_x0020_Unit xmlns="cdc7663a-08f0-4737-9e8c-148ce897a09c">IFD/FMM</Division_x0020_or_x0020_Unit>
    <Other_x0020_Author xmlns="cdc7663a-08f0-4737-9e8c-148ce897a09c" xsi:nil="true"/>
    <IDBDocs_x0020_Number xmlns="cdc7663a-08f0-4737-9e8c-148ce897a09c">37772516</IDBDocs_x0020_Number>
    <Document_x0020_Author xmlns="cdc7663a-08f0-4737-9e8c-148ce897a09c">Lopez Ghio, Ramiro Andres</Document_x0020_Author>
    <Operation_x0020_Type xmlns="cdc7663a-08f0-4737-9e8c-148ce897a09c" xsi:nil="true"/>
    <TaxCatchAll xmlns="cdc7663a-08f0-4737-9e8c-148ce897a09c"/>
    <Fiscal_x0020_Year_x0020_IDB xmlns="cdc7663a-08f0-4737-9e8c-148ce897a09c">2013</Fiscal_x0020_Year_x0020_IDB>
    <Project_x0020_Number xmlns="cdc7663a-08f0-4737-9e8c-148ce897a09c">BO-L1081</Project_x0020_Number>
    <Package_x0020_Code xmlns="cdc7663a-08f0-4737-9e8c-148ce897a09c" xsi:nil="true"/>
    <Migration_x0020_Info xmlns="cdc7663a-08f0-4737-9e8c-148ce897a09c">MS WORDLPLoan Proposal0NPO-BO-L1081-Anl118968045</Migration_x0020_Info>
    <Approval_x0020_Number xmlns="cdc7663a-08f0-4737-9e8c-148ce897a09c" xsi:nil="true"/>
    <Business_x0020_Area xmlns="cdc7663a-08f0-4737-9e8c-148ce897a09c" xsi:nil="true"/>
    <SISCOR_x0020_Number xmlns="cdc7663a-08f0-4737-9e8c-148ce897a09c" xsi:nil="true"/>
    <Identifier xmlns="cdc7663a-08f0-4737-9e8c-148ce897a09c"> TECFILE</Identifier>
    <Document_x0020_Language_x0020_IDB xmlns="cdc7663a-08f0-4737-9e8c-148ce897a09c">Spanish</Document_x0020_Language_x0020_IDB>
    <Phase xmlns="cdc7663a-08f0-4737-9e8c-148ce897a09c" xsi:nil="true"/>
    <Access_x0020_to_x0020_Information_x00a0_Policy xmlns="cdc7663a-08f0-4737-9e8c-148ce897a09c">Public</Access_x0020_to_x0020_Information_x00a0_Policy>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ic46d7e087fd4a108fb86518ca413cc6>
    <e46fe2894295491da65140ffd2369f49 xmlns="cdc7663a-08f0-4737-9e8c-148ce897a09c">
      <Terms xmlns="http://schemas.microsoft.com/office/infopath/2007/PartnerControls"/>
    </e46fe2894295491da65140ffd2369f49>
    <b2ec7cfb18674cb8803df6b262e8b107 xmlns="cdc7663a-08f0-4737-9e8c-148ce897a09c">
      <Terms xmlns="http://schemas.microsoft.com/office/infopath/2007/PartnerControls"/>
    </b2ec7cfb18674cb8803df6b262e8b107>
    <g511464f9e53401d84b16fa9b379a574 xmlns="cdc7663a-08f0-4737-9e8c-148ce897a09c">
      <Terms xmlns="http://schemas.microsoft.com/office/infopath/2007/PartnerControls"/>
    </g511464f9e53401d84b16fa9b379a574>
    <Related_x0020_SisCor_x0020_Number xmlns="cdc7663a-08f0-4737-9e8c-148ce897a09c" xsi:nil="true"/>
    <nddeef1749674d76abdbe4b239a70bc6 xmlns="cdc7663a-08f0-4737-9e8c-148ce897a09c">
      <Terms xmlns="http://schemas.microsoft.com/office/infopath/2007/PartnerControls"/>
    </nddeef1749674d76abdbe4b239a70bc6>
    <_dlc_DocId xmlns="cdc7663a-08f0-4737-9e8c-148ce897a09c">EZSHARE-787912087-38</_dlc_DocId>
    <From_x003a_ xmlns="cdc7663a-08f0-4737-9e8c-148ce897a09c" xsi:nil="true"/>
    <To_x003a_ xmlns="cdc7663a-08f0-4737-9e8c-148ce897a09c" xsi:nil="true"/>
    <_dlc_DocIdUrl xmlns="cdc7663a-08f0-4737-9e8c-148ce897a09c">
      <Url>https://idbg.sharepoint.com/teams/EZ-BO-LON/BO-L1081/_layouts/15/DocIdRedir.aspx?ID=EZSHARE-787912087-38</Url>
      <Description>EZSHARE-787912087-38</Description>
    </_dlc_DocIdUrl>
  </documentManagement>
</p:properties>
</file>

<file path=customXml/item8.xml><?xml version="1.0" encoding="utf-8"?>
<?mso-contentType ?>
<FormUrls xmlns="http://schemas.microsoft.com/sharepoint/v3/contenttype/forms/url">
  <Display>_catalogs/masterpage/ECMForms/OperationsCT/View.aspx</Display>
  <Edit>_catalogs/masterpage/ECMForms/OperationsCT/Edit.aspx</Edit>
</FormUrls>
</file>

<file path=customXml/item9.xml><?xml version="1.0" encoding="utf-8"?>
<?mso-contentType ?>
<FormUrls xmlns="http://schemas.microsoft.com/sharepoint/v3/contenttype/forms/url">
  <Display>_catalogs/masterpage/ECMForms/OperationsCT/View.aspx</Display>
  <Edit>_catalogs/masterpage/ECMForms/OperationsCT/Edit.aspx</Edit>
</FormUrls>
</file>

<file path=customXml/itemProps1.xml><?xml version="1.0" encoding="utf-8"?>
<ds:datastoreItem xmlns:ds="http://schemas.openxmlformats.org/officeDocument/2006/customXml" ds:itemID="{7E82A2CC-6271-4A30-AF94-7FB56755D8F3}"/>
</file>

<file path=customXml/itemProps10.xml><?xml version="1.0" encoding="utf-8"?>
<ds:datastoreItem xmlns:ds="http://schemas.openxmlformats.org/officeDocument/2006/customXml" ds:itemID="{AC4AEA54-23A8-48C3-9F84-9997568AD31E}"/>
</file>

<file path=customXml/itemProps11.xml><?xml version="1.0" encoding="utf-8"?>
<ds:datastoreItem xmlns:ds="http://schemas.openxmlformats.org/officeDocument/2006/customXml" ds:itemID="{3CFBB01B-06F4-48A4-A4D7-090DA39D2036}"/>
</file>

<file path=customXml/itemProps12.xml><?xml version="1.0" encoding="utf-8"?>
<ds:datastoreItem xmlns:ds="http://schemas.openxmlformats.org/officeDocument/2006/customXml" ds:itemID="{FAF12DA3-A562-47C4-A8A9-9FEDFEBB5F1C}"/>
</file>

<file path=customXml/itemProps13.xml><?xml version="1.0" encoding="utf-8"?>
<ds:datastoreItem xmlns:ds="http://schemas.openxmlformats.org/officeDocument/2006/customXml" ds:itemID="{A2FB50A8-352D-466F-A80D-8AC929D1915E}"/>
</file>

<file path=customXml/itemProps2.xml><?xml version="1.0" encoding="utf-8"?>
<ds:datastoreItem xmlns:ds="http://schemas.openxmlformats.org/officeDocument/2006/customXml" ds:itemID="{FC47B5E3-418B-4495-BF83-D27E33B398DD}"/>
</file>

<file path=customXml/itemProps3.xml><?xml version="1.0" encoding="utf-8"?>
<ds:datastoreItem xmlns:ds="http://schemas.openxmlformats.org/officeDocument/2006/customXml" ds:itemID="{03BD47E7-0448-41CE-8BE9-7D87C812B926}"/>
</file>

<file path=customXml/itemProps4.xml><?xml version="1.0" encoding="utf-8"?>
<ds:datastoreItem xmlns:ds="http://schemas.openxmlformats.org/officeDocument/2006/customXml" ds:itemID="{44C93827-7516-4B13-BAE8-B20D37F5BCEE}"/>
</file>

<file path=customXml/itemProps5.xml><?xml version="1.0" encoding="utf-8"?>
<ds:datastoreItem xmlns:ds="http://schemas.openxmlformats.org/officeDocument/2006/customXml" ds:itemID="{77958FDF-CACD-4C2D-9F3C-18450D3EE931}"/>
</file>

<file path=customXml/itemProps6.xml><?xml version="1.0" encoding="utf-8"?>
<ds:datastoreItem xmlns:ds="http://schemas.openxmlformats.org/officeDocument/2006/customXml" ds:itemID="{9FA3F9E7-291A-48B8-85B0-45EEB81D91D6}"/>
</file>

<file path=customXml/itemProps7.xml><?xml version="1.0" encoding="utf-8"?>
<ds:datastoreItem xmlns:ds="http://schemas.openxmlformats.org/officeDocument/2006/customXml" ds:itemID="{6AE9FAF9-F0EE-470F-B4D0-B19B7677C3FD}"/>
</file>

<file path=customXml/itemProps8.xml><?xml version="1.0" encoding="utf-8"?>
<ds:datastoreItem xmlns:ds="http://schemas.openxmlformats.org/officeDocument/2006/customXml" ds:itemID="{E44CE9CE-8F6F-4BB7-B65E-BEB9F09E73AC}"/>
</file>

<file path=customXml/itemProps9.xml><?xml version="1.0" encoding="utf-8"?>
<ds:datastoreItem xmlns:ds="http://schemas.openxmlformats.org/officeDocument/2006/customXml" ds:itemID="{62BBF8F6-9033-4CEC-B856-616C61F01ABD}"/>
</file>

<file path=docProps/app.xml><?xml version="1.0" encoding="utf-8"?>
<Properties xmlns="http://schemas.openxmlformats.org/officeDocument/2006/extended-properties" xmlns:vt="http://schemas.openxmlformats.org/officeDocument/2006/docPropsVTypes">
  <Template>Normal.dotm</Template>
  <TotalTime>1</TotalTime>
  <Pages>11</Pages>
  <Words>2801</Words>
  <Characters>15969</Characters>
  <Application>Microsoft Office Word</Application>
  <DocSecurity>0</DocSecurity>
  <Lines>133</Lines>
  <Paragraphs>37</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Inter-American Development Bank</Company>
  <LinksUpToDate>false</LinksUpToDate>
  <CharactersWithSpaces>18733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Matriz comparativa de acciones de política (BO-L1081)</dc:title>
  <dc:creator>Inter-American Development Bank</dc:creator>
  <cp:lastModifiedBy>Test</cp:lastModifiedBy>
  <cp:revision>3</cp:revision>
  <cp:lastPrinted>2012-07-26T18:02:00Z</cp:lastPrinted>
  <dcterms:created xsi:type="dcterms:W3CDTF">2013-06-27T16:03:00Z</dcterms:created>
  <dcterms:modified xsi:type="dcterms:W3CDTF">2013-06-27T16:04:00Z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Sub_x002d_Sector">
    <vt:lpwstr/>
  </property>
  <property fmtid="{D5CDD505-2E9C-101B-9397-08002B2CF9AE}" pid="4" name="ContentTypeId">
    <vt:lpwstr>0x010100ACF722E9F6B0B149B0CD8BE2560A667200C5274CF5D7C1604E994A70593AD2DAF4</vt:lpwstr>
  </property>
  <property fmtid="{D5CDD505-2E9C-101B-9397-08002B2CF9AE}" pid="5" name="TaxKeywordTaxHTField">
    <vt:lpwstr/>
  </property>
  <property fmtid="{D5CDD505-2E9C-101B-9397-08002B2CF9AE}" pid="6" name="Series Operations IDB">
    <vt:lpwstr>9;#Loan Proposal|6ee86b6f-6e46-485b-8bfb-87a1f44622ac</vt:lpwstr>
  </property>
  <property fmtid="{D5CDD505-2E9C-101B-9397-08002B2CF9AE}" pid="7" name="Sub-Sector">
    <vt:lpwstr/>
  </property>
  <property fmtid="{D5CDD505-2E9C-101B-9397-08002B2CF9AE}" pid="8" name="Country">
    <vt:lpwstr/>
  </property>
  <property fmtid="{D5CDD505-2E9C-101B-9397-08002B2CF9AE}" pid="9" name="Fund IDB">
    <vt:lpwstr/>
  </property>
  <property fmtid="{D5CDD505-2E9C-101B-9397-08002B2CF9AE}" pid="10" name="Series_x0020_Operations_x0020_IDB">
    <vt:lpwstr>9;#Loan Proposal|6ee86b6f-6e46-485b-8bfb-87a1f44622ac</vt:lpwstr>
  </property>
  <property fmtid="{D5CDD505-2E9C-101B-9397-08002B2CF9AE}" pid="11" name="To:">
    <vt:lpwstr/>
  </property>
  <property fmtid="{D5CDD505-2E9C-101B-9397-08002B2CF9AE}" pid="12" name="From:">
    <vt:lpwstr/>
  </property>
  <property fmtid="{D5CDD505-2E9C-101B-9397-08002B2CF9AE}" pid="13" name="Sector IDB">
    <vt:lpwstr/>
  </property>
  <property fmtid="{D5CDD505-2E9C-101B-9397-08002B2CF9AE}" pid="14" name="Function Operations IDB">
    <vt:lpwstr/>
  </property>
  <property fmtid="{D5CDD505-2E9C-101B-9397-08002B2CF9AE}" pid="16" name="Disclosure Activity">
    <vt:lpwstr>Loan Proposal</vt:lpwstr>
  </property>
  <property fmtid="{D5CDD505-2E9C-101B-9397-08002B2CF9AE}" pid="20" name="Webtopic">
    <vt:lpwstr>Financial Sector Development;Fiscal Issues and Public Finance;Finance;Mortgage Financing</vt:lpwstr>
  </property>
  <property fmtid="{D5CDD505-2E9C-101B-9397-08002B2CF9AE}" pid="22" name="Disclosed">
    <vt:bool>true</vt:bool>
  </property>
  <property fmtid="{D5CDD505-2E9C-101B-9397-08002B2CF9AE}" pid="26" name="_dlc_DocIdItemGuid">
    <vt:lpwstr>81a7f044-6469-4cb5-803c-f12e881cf40c</vt:lpwstr>
  </property>
</Properties>
</file>