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E5FFB" w14:textId="77777777" w:rsidR="00733E6D" w:rsidRPr="00826BBF" w:rsidRDefault="00733E6D">
      <w:pPr>
        <w:pStyle w:val="BodyText"/>
        <w:spacing w:before="3"/>
        <w:rPr>
          <w:sz w:val="15"/>
          <w:lang w:val="es-ES_tradnl"/>
        </w:rPr>
      </w:pPr>
    </w:p>
    <w:p w14:paraId="76751CF0" w14:textId="77777777" w:rsidR="00733E6D" w:rsidRPr="00826BBF" w:rsidRDefault="009E4D55">
      <w:pPr>
        <w:spacing w:before="94"/>
        <w:ind w:left="2805"/>
        <w:rPr>
          <w:b/>
          <w:sz w:val="18"/>
          <w:lang w:val="es-ES_tradnl"/>
        </w:rPr>
      </w:pPr>
      <w:r w:rsidRPr="00826BBF">
        <w:rPr>
          <w:b/>
          <w:lang w:val="es-ES_tradnl"/>
        </w:rPr>
        <w:t>P</w:t>
      </w:r>
      <w:r w:rsidRPr="00826BBF">
        <w:rPr>
          <w:b/>
          <w:sz w:val="18"/>
          <w:lang w:val="es-ES_tradnl"/>
        </w:rPr>
        <w:t xml:space="preserve">LAN DE </w:t>
      </w:r>
      <w:r w:rsidRPr="00826BBF">
        <w:rPr>
          <w:b/>
          <w:lang w:val="es-ES_tradnl"/>
        </w:rPr>
        <w:t>S</w:t>
      </w:r>
      <w:r w:rsidRPr="00826BBF">
        <w:rPr>
          <w:b/>
          <w:sz w:val="18"/>
          <w:lang w:val="es-ES_tradnl"/>
        </w:rPr>
        <w:t xml:space="preserve">EGUIMIENTO Y </w:t>
      </w:r>
      <w:r w:rsidRPr="00826BBF">
        <w:rPr>
          <w:b/>
          <w:lang w:val="es-ES_tradnl"/>
        </w:rPr>
        <w:t>E</w:t>
      </w:r>
      <w:r w:rsidRPr="00826BBF">
        <w:rPr>
          <w:b/>
          <w:sz w:val="18"/>
          <w:lang w:val="es-ES_tradnl"/>
        </w:rPr>
        <w:t>VALUACIÓN</w:t>
      </w:r>
    </w:p>
    <w:p w14:paraId="05E40D97" w14:textId="77777777" w:rsidR="00733E6D" w:rsidRPr="00826BBF" w:rsidRDefault="00733E6D">
      <w:pPr>
        <w:pStyle w:val="BodyText"/>
        <w:spacing w:before="11"/>
        <w:rPr>
          <w:b/>
          <w:sz w:val="20"/>
          <w:lang w:val="es-ES_tradnl"/>
        </w:rPr>
      </w:pPr>
    </w:p>
    <w:p w14:paraId="18EA0AA3" w14:textId="77777777" w:rsidR="00733E6D" w:rsidRPr="00826BBF" w:rsidRDefault="009E4D55">
      <w:pPr>
        <w:pStyle w:val="ListParagraph"/>
        <w:numPr>
          <w:ilvl w:val="0"/>
          <w:numId w:val="6"/>
        </w:numPr>
        <w:tabs>
          <w:tab w:val="left" w:pos="4255"/>
          <w:tab w:val="left" w:pos="4256"/>
        </w:tabs>
        <w:spacing w:before="0"/>
        <w:ind w:hanging="492"/>
        <w:jc w:val="left"/>
        <w:rPr>
          <w:b/>
          <w:sz w:val="18"/>
          <w:lang w:val="es-ES_tradnl"/>
        </w:rPr>
      </w:pPr>
      <w:r w:rsidRPr="00826BBF">
        <w:rPr>
          <w:b/>
          <w:lang w:val="es-ES_tradnl"/>
        </w:rPr>
        <w:t>I</w:t>
      </w:r>
      <w:r w:rsidRPr="00826BBF">
        <w:rPr>
          <w:b/>
          <w:sz w:val="18"/>
          <w:lang w:val="es-ES_tradnl"/>
        </w:rPr>
        <w:t>NTRODUCCIÓN</w:t>
      </w:r>
    </w:p>
    <w:p w14:paraId="65A6CC34" w14:textId="77777777" w:rsidR="00733E6D" w:rsidRPr="00826BBF" w:rsidRDefault="00733E6D">
      <w:pPr>
        <w:pStyle w:val="BodyText"/>
        <w:spacing w:before="9"/>
        <w:rPr>
          <w:b/>
          <w:sz w:val="20"/>
          <w:lang w:val="es-ES_tradnl"/>
        </w:rPr>
      </w:pPr>
    </w:p>
    <w:p w14:paraId="4AF4E18C" w14:textId="3DE64DF1" w:rsidR="00733E6D" w:rsidRPr="00826BBF" w:rsidRDefault="009E4D55">
      <w:pPr>
        <w:pStyle w:val="ListParagraph"/>
        <w:numPr>
          <w:ilvl w:val="1"/>
          <w:numId w:val="5"/>
        </w:numPr>
        <w:tabs>
          <w:tab w:val="left" w:pos="1001"/>
        </w:tabs>
        <w:spacing w:before="0"/>
        <w:ind w:right="213"/>
        <w:rPr>
          <w:lang w:val="es-ES_tradnl"/>
        </w:rPr>
      </w:pPr>
      <w:r w:rsidRPr="00826BBF">
        <w:rPr>
          <w:lang w:val="es-ES_tradnl"/>
        </w:rPr>
        <w:t>Este documento presenta los arreglos para el monitoreo y el plan de evaluación para la serie programática “Programa para Mejorar la Calidad del Empleo en México”. La primera operación de la serie (ME-L1289) es por un monto de US$</w:t>
      </w:r>
      <w:r w:rsidR="00930EF5">
        <w:rPr>
          <w:lang w:val="es-ES_tradnl"/>
        </w:rPr>
        <w:t>800</w:t>
      </w:r>
      <w:r w:rsidR="00390A0B">
        <w:rPr>
          <w:lang w:val="es-ES_tradnl"/>
        </w:rPr>
        <w:t> </w:t>
      </w:r>
      <w:bookmarkStart w:id="0" w:name="_GoBack"/>
      <w:bookmarkEnd w:id="0"/>
      <w:r w:rsidRPr="00826BBF">
        <w:rPr>
          <w:lang w:val="es-ES_tradnl"/>
        </w:rPr>
        <w:t>millones y será ejecutada por la Secretaría del Trabajo y Previsión Social</w:t>
      </w:r>
      <w:r w:rsidRPr="00826BBF">
        <w:rPr>
          <w:spacing w:val="-2"/>
          <w:lang w:val="es-ES_tradnl"/>
        </w:rPr>
        <w:t xml:space="preserve"> </w:t>
      </w:r>
      <w:r w:rsidRPr="00826BBF">
        <w:rPr>
          <w:lang w:val="es-ES_tradnl"/>
        </w:rPr>
        <w:t>(STPS).</w:t>
      </w:r>
    </w:p>
    <w:p w14:paraId="2F7D9EF6" w14:textId="48F98050" w:rsidR="00733E6D" w:rsidRPr="00826BBF" w:rsidRDefault="009E4D55">
      <w:pPr>
        <w:pStyle w:val="ListParagraph"/>
        <w:numPr>
          <w:ilvl w:val="1"/>
          <w:numId w:val="5"/>
        </w:numPr>
        <w:tabs>
          <w:tab w:val="left" w:pos="1001"/>
        </w:tabs>
        <w:spacing w:before="120"/>
        <w:ind w:right="215"/>
        <w:rPr>
          <w:lang w:val="es-ES_tradnl"/>
        </w:rPr>
      </w:pPr>
      <w:r w:rsidRPr="00826BBF">
        <w:rPr>
          <w:b/>
          <w:lang w:val="es-ES_tradnl"/>
        </w:rPr>
        <w:t>Objetivo del programa</w:t>
      </w:r>
      <w:r w:rsidRPr="00826BBF">
        <w:rPr>
          <w:lang w:val="es-ES_tradnl"/>
        </w:rPr>
        <w:t>. El objetivo de desarrollo de esta serie programática es establecer las bases para mejorar la calidad del empleo en México mediante una mejor representación laboral; menor costo de la resolución de conflictos laborales; y mayores tasas de cobertura y menores costos de seguridad social. El objetivo de esta primera operación es apoyar el diseño de reformas laborales normativas para: (i)</w:t>
      </w:r>
      <w:r w:rsidR="00C86BA2">
        <w:rPr>
          <w:lang w:val="es-ES_tradnl"/>
        </w:rPr>
        <w:t> </w:t>
      </w:r>
      <w:r w:rsidRPr="00826BBF">
        <w:rPr>
          <w:lang w:val="es-ES_tradnl"/>
        </w:rPr>
        <w:t>mejorar la defensa de los derechos laborales; (ii)</w:t>
      </w:r>
      <w:r w:rsidR="00C86BA2">
        <w:rPr>
          <w:lang w:val="es-ES_tradnl"/>
        </w:rPr>
        <w:t> </w:t>
      </w:r>
      <w:r w:rsidRPr="00826BBF">
        <w:rPr>
          <w:lang w:val="es-ES_tradnl"/>
        </w:rPr>
        <w:t>mejorar la justicia laboral; y (iii)</w:t>
      </w:r>
      <w:r w:rsidR="00C86BA2">
        <w:rPr>
          <w:lang w:val="es-ES_tradnl"/>
        </w:rPr>
        <w:t> </w:t>
      </w:r>
      <w:r w:rsidRPr="00826BBF">
        <w:rPr>
          <w:lang w:val="es-ES_tradnl"/>
        </w:rPr>
        <w:t>mejorar el funcionamiento de la seguridad</w:t>
      </w:r>
      <w:r w:rsidRPr="00826BBF">
        <w:rPr>
          <w:spacing w:val="-11"/>
          <w:lang w:val="es-ES_tradnl"/>
        </w:rPr>
        <w:t xml:space="preserve"> </w:t>
      </w:r>
      <w:r w:rsidRPr="00826BBF">
        <w:rPr>
          <w:lang w:val="es-ES_tradnl"/>
        </w:rPr>
        <w:t>social.</w:t>
      </w:r>
    </w:p>
    <w:p w14:paraId="01481AD0" w14:textId="5EC5C832" w:rsidR="00733E6D" w:rsidRPr="00826BBF" w:rsidRDefault="009E4D55">
      <w:pPr>
        <w:pStyle w:val="ListParagraph"/>
        <w:numPr>
          <w:ilvl w:val="1"/>
          <w:numId w:val="5"/>
        </w:numPr>
        <w:tabs>
          <w:tab w:val="left" w:pos="1001"/>
        </w:tabs>
        <w:ind w:right="212"/>
        <w:rPr>
          <w:lang w:val="es-ES_tradnl"/>
        </w:rPr>
      </w:pPr>
      <w:r w:rsidRPr="00826BBF">
        <w:rPr>
          <w:b/>
          <w:lang w:val="es-ES_tradnl"/>
        </w:rPr>
        <w:t>Contexto laboral mexicano</w:t>
      </w:r>
      <w:r w:rsidRPr="00826BBF">
        <w:rPr>
          <w:lang w:val="es-ES_tradnl"/>
        </w:rPr>
        <w:t>. Los empleos del mercado laboral mexicano son de baja calidad. En el Índice de Mejores Trabajos 2018 del BID, México ocupa el lugar</w:t>
      </w:r>
      <w:r w:rsidR="001523E8">
        <w:rPr>
          <w:lang w:val="es-ES_tradnl"/>
        </w:rPr>
        <w:t> </w:t>
      </w:r>
      <w:r w:rsidRPr="00826BBF">
        <w:rPr>
          <w:lang w:val="es-ES_tradnl"/>
        </w:rPr>
        <w:t>13 de 17</w:t>
      </w:r>
      <w:r w:rsidR="001523E8">
        <w:rPr>
          <w:lang w:val="es-ES_tradnl"/>
        </w:rPr>
        <w:t> </w:t>
      </w:r>
      <w:r w:rsidRPr="00826BBF">
        <w:rPr>
          <w:lang w:val="es-ES_tradnl"/>
        </w:rPr>
        <w:t>países en América Latina a pesar de ser el quinto país más rico en cuanto a Producto Interno Bruto per cápita. México está en el lugar</w:t>
      </w:r>
      <w:r w:rsidR="001523E8">
        <w:rPr>
          <w:lang w:val="es-ES_tradnl"/>
        </w:rPr>
        <w:t> </w:t>
      </w:r>
      <w:r w:rsidRPr="00826BBF">
        <w:rPr>
          <w:lang w:val="es-ES_tradnl"/>
        </w:rPr>
        <w:t>10 en el subindicador de formalidad (medida como acceso a seguridad social) y el lugar</w:t>
      </w:r>
      <w:r w:rsidR="00442206">
        <w:rPr>
          <w:lang w:val="es-ES_tradnl"/>
        </w:rPr>
        <w:t> </w:t>
      </w:r>
      <w:r w:rsidRPr="00826BBF">
        <w:rPr>
          <w:lang w:val="es-ES_tradnl"/>
        </w:rPr>
        <w:t>14 en salario suficiente, a pesar de ser el cuarto país más rico en cuanto a PIB per cápita y el quinto país con mayor productividad laboral. La baja calidad del empleo se debe, en parte, a una defensa ineficaz de los derechos laborales colectivos, a la costosa resolución de conflictos laborales individuales, y al inadecuado funcionamiento de la seguridad</w:t>
      </w:r>
      <w:r w:rsidRPr="00826BBF">
        <w:rPr>
          <w:spacing w:val="-3"/>
          <w:lang w:val="es-ES_tradnl"/>
        </w:rPr>
        <w:t xml:space="preserve"> </w:t>
      </w:r>
      <w:r w:rsidRPr="00826BBF">
        <w:rPr>
          <w:lang w:val="es-ES_tradnl"/>
        </w:rPr>
        <w:t>social.</w:t>
      </w:r>
    </w:p>
    <w:p w14:paraId="46395010" w14:textId="649DFE6D" w:rsidR="00733E6D" w:rsidRPr="00826BBF" w:rsidRDefault="009E4D55">
      <w:pPr>
        <w:pStyle w:val="ListParagraph"/>
        <w:numPr>
          <w:ilvl w:val="1"/>
          <w:numId w:val="5"/>
        </w:numPr>
        <w:tabs>
          <w:tab w:val="left" w:pos="1001"/>
        </w:tabs>
        <w:spacing w:before="120"/>
        <w:ind w:right="213"/>
        <w:rPr>
          <w:lang w:val="es-ES_tradnl"/>
        </w:rPr>
      </w:pPr>
      <w:r w:rsidRPr="00826BBF">
        <w:rPr>
          <w:lang w:val="es-ES_tradnl"/>
        </w:rPr>
        <w:t>Hay una baja participación de trabajadores en el ingreso total. Los problemas del mercado laboral van más allá que la productividad. Según la organización Internacional del Trabajo, México está en el penúltimo lugar de los 17</w:t>
      </w:r>
      <w:r w:rsidR="00442206">
        <w:rPr>
          <w:lang w:val="es-ES_tradnl"/>
        </w:rPr>
        <w:t> </w:t>
      </w:r>
      <w:r w:rsidRPr="00826BBF">
        <w:rPr>
          <w:lang w:val="es-ES_tradnl"/>
        </w:rPr>
        <w:t>países latinoamericanos analizados en cuanto al ingreso laboral como porcentaje del PIB. Por esta razón, a pesar de la importancia de medidas de política para mejorar la productividad del país, es fundamental reforzar las herramientas que fortalecen el poder de negociación de los trabajadores. La negociación colectiva es una de las herramientas más importantes para este</w:t>
      </w:r>
      <w:r w:rsidRPr="00826BBF">
        <w:rPr>
          <w:spacing w:val="-10"/>
          <w:lang w:val="es-ES_tradnl"/>
        </w:rPr>
        <w:t xml:space="preserve"> </w:t>
      </w:r>
      <w:r w:rsidRPr="00826BBF">
        <w:rPr>
          <w:lang w:val="es-ES_tradnl"/>
        </w:rPr>
        <w:t>objetivo.</w:t>
      </w:r>
    </w:p>
    <w:p w14:paraId="1FC15FFD" w14:textId="21AB7882" w:rsidR="00733E6D" w:rsidRPr="00826BBF" w:rsidRDefault="009E4D55">
      <w:pPr>
        <w:pStyle w:val="ListParagraph"/>
        <w:numPr>
          <w:ilvl w:val="1"/>
          <w:numId w:val="5"/>
        </w:numPr>
        <w:tabs>
          <w:tab w:val="left" w:pos="1001"/>
        </w:tabs>
        <w:spacing w:before="120"/>
        <w:ind w:right="213"/>
        <w:rPr>
          <w:lang w:val="es-ES_tradnl"/>
        </w:rPr>
      </w:pPr>
      <w:r w:rsidRPr="00826BBF">
        <w:rPr>
          <w:lang w:val="es-ES_tradnl"/>
        </w:rPr>
        <w:t>México tiene una defensa ineficaz de los derechos laborales colectivos. Según el Foro Económico Mundial, México es el país latinoamericano con la defensa más débil de los derechos laborales. Una razón que explica esta situación es que los sindicatos no son instrumentos efectivos para mejorar las condiciones laborales de sus agremiados. Se estima que 76% de los contratos colectivos no mejoran la situación de los trabajadores respecto a los requisitos mínimos legales. Los trabajadores no conocen el contenido de sus propios contratos colectivos y no hay procesos democráticos para su aprobación ni de sus directivas sindicales. Adicionalmente, en México la supervisión de los derechos laborales colectivos se encuentra bajo la tutela del poder ejecutivo, no del poder judicial, lo que genera presiones políticas en los procesos de revisión</w:t>
      </w:r>
      <w:r w:rsidRPr="00826BBF">
        <w:rPr>
          <w:spacing w:val="-7"/>
          <w:lang w:val="es-ES_tradnl"/>
        </w:rPr>
        <w:t xml:space="preserve"> </w:t>
      </w:r>
      <w:r w:rsidRPr="00826BBF">
        <w:rPr>
          <w:lang w:val="es-ES_tradnl"/>
        </w:rPr>
        <w:t>salarial.</w:t>
      </w:r>
    </w:p>
    <w:p w14:paraId="16B15A60" w14:textId="28063E72" w:rsidR="00733E6D" w:rsidRPr="001330B4" w:rsidRDefault="009E4D55" w:rsidP="001330B4">
      <w:pPr>
        <w:pStyle w:val="ListParagraph"/>
        <w:numPr>
          <w:ilvl w:val="1"/>
          <w:numId w:val="5"/>
        </w:numPr>
        <w:tabs>
          <w:tab w:val="left" w:pos="1001"/>
        </w:tabs>
        <w:ind w:right="217"/>
        <w:rPr>
          <w:lang w:val="es-ES_tradnl"/>
        </w:rPr>
        <w:sectPr w:rsidR="00733E6D" w:rsidRPr="001330B4">
          <w:headerReference w:type="default" r:id="rId11"/>
          <w:type w:val="continuous"/>
          <w:pgSz w:w="12240" w:h="15840"/>
          <w:pgMar w:top="1180" w:right="1580" w:bottom="280" w:left="1520" w:header="994" w:footer="720" w:gutter="0"/>
          <w:cols w:space="720"/>
        </w:sectPr>
      </w:pPr>
      <w:r w:rsidRPr="00826BBF">
        <w:rPr>
          <w:lang w:val="es-ES_tradnl"/>
        </w:rPr>
        <w:t>La resolución de conflictos laborales individuales tiene costos elevados. La duración promedio de un juicio laboral individual es mayor a tres años, lo que genera</w:t>
      </w:r>
      <w:r w:rsidRPr="00826BBF">
        <w:rPr>
          <w:spacing w:val="10"/>
          <w:lang w:val="es-ES_tradnl"/>
        </w:rPr>
        <w:t xml:space="preserve"> </w:t>
      </w:r>
      <w:r w:rsidRPr="00826BBF">
        <w:rPr>
          <w:lang w:val="es-ES_tradnl"/>
        </w:rPr>
        <w:t>incertidumbre</w:t>
      </w:r>
      <w:r w:rsidRPr="00826BBF">
        <w:rPr>
          <w:spacing w:val="11"/>
          <w:lang w:val="es-ES_tradnl"/>
        </w:rPr>
        <w:t xml:space="preserve"> </w:t>
      </w:r>
      <w:r w:rsidRPr="00826BBF">
        <w:rPr>
          <w:lang w:val="es-ES_tradnl"/>
        </w:rPr>
        <w:t>al</w:t>
      </w:r>
      <w:r w:rsidRPr="00826BBF">
        <w:rPr>
          <w:spacing w:val="4"/>
          <w:lang w:val="es-ES_tradnl"/>
        </w:rPr>
        <w:t xml:space="preserve"> </w:t>
      </w:r>
      <w:r w:rsidRPr="00826BBF">
        <w:rPr>
          <w:lang w:val="es-ES_tradnl"/>
        </w:rPr>
        <w:t>contratar</w:t>
      </w:r>
      <w:r w:rsidRPr="00826BBF">
        <w:rPr>
          <w:spacing w:val="10"/>
          <w:lang w:val="es-ES_tradnl"/>
        </w:rPr>
        <w:t xml:space="preserve"> </w:t>
      </w:r>
      <w:r w:rsidRPr="00826BBF">
        <w:rPr>
          <w:lang w:val="es-ES_tradnl"/>
        </w:rPr>
        <w:t>personal.</w:t>
      </w:r>
      <w:r w:rsidRPr="00826BBF">
        <w:rPr>
          <w:spacing w:val="15"/>
          <w:lang w:val="es-ES_tradnl"/>
        </w:rPr>
        <w:t xml:space="preserve"> </w:t>
      </w:r>
      <w:r w:rsidRPr="00826BBF">
        <w:rPr>
          <w:lang w:val="es-ES_tradnl"/>
        </w:rPr>
        <w:t>Esto</w:t>
      </w:r>
      <w:r w:rsidRPr="00826BBF">
        <w:rPr>
          <w:spacing w:val="6"/>
          <w:lang w:val="es-ES_tradnl"/>
        </w:rPr>
        <w:t xml:space="preserve"> </w:t>
      </w:r>
      <w:r w:rsidRPr="00826BBF">
        <w:rPr>
          <w:lang w:val="es-ES_tradnl"/>
        </w:rPr>
        <w:t>conlleva</w:t>
      </w:r>
      <w:r w:rsidRPr="00826BBF">
        <w:rPr>
          <w:spacing w:val="10"/>
          <w:lang w:val="es-ES_tradnl"/>
        </w:rPr>
        <w:t xml:space="preserve"> </w:t>
      </w:r>
      <w:r w:rsidRPr="00826BBF">
        <w:rPr>
          <w:lang w:val="es-ES_tradnl"/>
        </w:rPr>
        <w:t>una</w:t>
      </w:r>
      <w:r w:rsidRPr="00826BBF">
        <w:rPr>
          <w:spacing w:val="9"/>
          <w:lang w:val="es-ES_tradnl"/>
        </w:rPr>
        <w:t xml:space="preserve"> </w:t>
      </w:r>
      <w:r w:rsidRPr="00826BBF">
        <w:rPr>
          <w:lang w:val="es-ES_tradnl"/>
        </w:rPr>
        <w:t>menor</w:t>
      </w:r>
      <w:r w:rsidRPr="00826BBF">
        <w:rPr>
          <w:spacing w:val="9"/>
          <w:lang w:val="es-ES_tradnl"/>
        </w:rPr>
        <w:t xml:space="preserve"> </w:t>
      </w:r>
      <w:r w:rsidRPr="00826BBF">
        <w:rPr>
          <w:lang w:val="es-ES_tradnl"/>
        </w:rPr>
        <w:t>calidad</w:t>
      </w:r>
      <w:r w:rsidRPr="00826BBF">
        <w:rPr>
          <w:spacing w:val="11"/>
          <w:lang w:val="es-ES_tradnl"/>
        </w:rPr>
        <w:t xml:space="preserve"> </w:t>
      </w:r>
      <w:r w:rsidRPr="00826BBF">
        <w:rPr>
          <w:lang w:val="es-ES_tradnl"/>
        </w:rPr>
        <w:t>del</w:t>
      </w:r>
      <w:r w:rsidR="001330B4">
        <w:rPr>
          <w:lang w:val="es-ES_tradnl"/>
        </w:rPr>
        <w:t xml:space="preserve"> </w:t>
      </w:r>
    </w:p>
    <w:p w14:paraId="2CE4D756" w14:textId="77777777" w:rsidR="00733E6D" w:rsidRPr="00826BBF" w:rsidRDefault="00733E6D">
      <w:pPr>
        <w:pStyle w:val="BodyText"/>
        <w:spacing w:before="6"/>
        <w:rPr>
          <w:sz w:val="18"/>
          <w:lang w:val="es-ES_tradnl"/>
        </w:rPr>
      </w:pPr>
    </w:p>
    <w:p w14:paraId="6225DC80" w14:textId="6DDC3AFF" w:rsidR="00733E6D" w:rsidRPr="00826BBF" w:rsidRDefault="009E4D55">
      <w:pPr>
        <w:pStyle w:val="BodyText"/>
        <w:spacing w:before="94"/>
        <w:ind w:left="1000" w:right="213"/>
        <w:jc w:val="both"/>
        <w:rPr>
          <w:lang w:val="es-ES_tradnl"/>
        </w:rPr>
      </w:pPr>
      <w:r w:rsidRPr="00826BBF">
        <w:rPr>
          <w:lang w:val="es-ES_tradnl"/>
        </w:rPr>
        <w:t>empleo, pues ahonda las diferencias entre trabajos formales e informales. Existen muchas razones detrás de esto, incluyendo: demoras en la entrega de notificaciones sobre el inicio de un procedimiento laboral (25%</w:t>
      </w:r>
      <w:r w:rsidR="00804F2B">
        <w:rPr>
          <w:lang w:val="es-ES_tradnl"/>
        </w:rPr>
        <w:t> </w:t>
      </w:r>
      <w:r w:rsidRPr="00826BBF">
        <w:rPr>
          <w:lang w:val="es-ES_tradnl"/>
        </w:rPr>
        <w:t>de las notificaciones llegan tarde para cumplir con los tiempos previstos en la ley para la primera audiencia de conciliación); ineficiencias en los procesos de los propios juicios (basados fundamentalmente en comunicaciones escritas) y limitaciones de los mecanismos para ejecutar los laudos. Adicionalmente, existen prácticas indebidas como la falsificación de pruebas o testimonios, intentos de impedir las notificaciones para atrasar los juicios, ofrecimientos de sobornos, e intentos de impedir la ejecución de las sentencias que alargan los juicios de forma artificial. Como resultado de estas fallas, los juicios no son un mecanismo para impartir justicia laboral de manera expedita, en perjuicio de los trabajadores. Kaplan y Sadka (2011), por ejemplo, encuentran que el 56% de laudos favorables al trabajador no se</w:t>
      </w:r>
      <w:r w:rsidRPr="00826BBF">
        <w:rPr>
          <w:spacing w:val="-4"/>
          <w:lang w:val="es-ES_tradnl"/>
        </w:rPr>
        <w:t xml:space="preserve"> </w:t>
      </w:r>
      <w:r w:rsidRPr="00826BBF">
        <w:rPr>
          <w:lang w:val="es-ES_tradnl"/>
        </w:rPr>
        <w:t>ejecutan.</w:t>
      </w:r>
    </w:p>
    <w:p w14:paraId="618907AB" w14:textId="77777777" w:rsidR="00733E6D" w:rsidRPr="00826BBF" w:rsidRDefault="009E4D55">
      <w:pPr>
        <w:pStyle w:val="ListParagraph"/>
        <w:numPr>
          <w:ilvl w:val="1"/>
          <w:numId w:val="5"/>
        </w:numPr>
        <w:tabs>
          <w:tab w:val="left" w:pos="1001"/>
        </w:tabs>
        <w:spacing w:before="122"/>
        <w:ind w:right="212"/>
        <w:rPr>
          <w:lang w:val="es-ES_tradnl"/>
        </w:rPr>
      </w:pPr>
      <w:r w:rsidRPr="00826BBF">
        <w:rPr>
          <w:lang w:val="es-ES_tradnl"/>
        </w:rPr>
        <w:t>Hay un deficiente funcionamiento de la seguridad social. Las deficiencias en el sistema de seguridad social inhiben la creación de empleos de calidad por varias razones. La primera de ellas es la falta de fiscalización de las cotizaciones que impide identificar a las empresas que incumplen con sus obligaciones de pago. Muchas de ellas declaran salarios diferentes ante la seguridad social que ante las autoridades fiscales para pagar menores contribuciones. Adicionalmente, el 28,6% de empleados de empresas formales del sector privado carecen de seguridad social. Otra falla importante es la falta de aseguramiento de colectivos especiales, destacando el de trabajadores del hogar. Su inscripción (mujeres, principalmente) es voluntaria y compleja, por lo que el 98% carece de cobertura. Una tercera falla es el costo de administración del seguro de pensiones, pues las comisiones que pagan los trabajadores son de las más elevadas en la</w:t>
      </w:r>
      <w:r w:rsidRPr="00826BBF">
        <w:rPr>
          <w:spacing w:val="-17"/>
          <w:lang w:val="es-ES_tradnl"/>
        </w:rPr>
        <w:t xml:space="preserve"> </w:t>
      </w:r>
      <w:r w:rsidRPr="00826BBF">
        <w:rPr>
          <w:lang w:val="es-ES_tradnl"/>
        </w:rPr>
        <w:t>región.</w:t>
      </w:r>
    </w:p>
    <w:p w14:paraId="60F81DE9" w14:textId="77777777" w:rsidR="00733E6D" w:rsidRPr="00826BBF" w:rsidRDefault="009E4D55">
      <w:pPr>
        <w:pStyle w:val="ListParagraph"/>
        <w:numPr>
          <w:ilvl w:val="1"/>
          <w:numId w:val="5"/>
        </w:numPr>
        <w:tabs>
          <w:tab w:val="left" w:pos="1001"/>
        </w:tabs>
        <w:ind w:right="219"/>
        <w:rPr>
          <w:lang w:val="es-ES_tradnl"/>
        </w:rPr>
      </w:pPr>
      <w:r w:rsidRPr="00826BBF">
        <w:rPr>
          <w:lang w:val="es-ES_tradnl"/>
        </w:rPr>
        <w:t>Todo lo anterior se refleja en una baja creación de empleo formal. El resultado de los factores anteriores se refleja en una menor creación de empleos formales. Cada factor encarece directa o indirectamente el costo de creación de empleos, sin contribuir al bienestar de los</w:t>
      </w:r>
      <w:r w:rsidRPr="00826BBF">
        <w:rPr>
          <w:spacing w:val="-2"/>
          <w:lang w:val="es-ES_tradnl"/>
        </w:rPr>
        <w:t xml:space="preserve"> </w:t>
      </w:r>
      <w:r w:rsidRPr="00826BBF">
        <w:rPr>
          <w:lang w:val="es-ES_tradnl"/>
        </w:rPr>
        <w:t>trabajadores.</w:t>
      </w:r>
    </w:p>
    <w:p w14:paraId="29A057FA" w14:textId="4AF368E3" w:rsidR="00733E6D" w:rsidRPr="00826BBF" w:rsidRDefault="009E4D55">
      <w:pPr>
        <w:pStyle w:val="ListParagraph"/>
        <w:numPr>
          <w:ilvl w:val="1"/>
          <w:numId w:val="5"/>
        </w:numPr>
        <w:tabs>
          <w:tab w:val="left" w:pos="1001"/>
        </w:tabs>
        <w:spacing w:before="118"/>
        <w:ind w:right="211"/>
        <w:rPr>
          <w:lang w:val="es-ES_tradnl"/>
        </w:rPr>
      </w:pPr>
      <w:r w:rsidRPr="00826BBF">
        <w:rPr>
          <w:b/>
          <w:lang w:val="es-ES_tradnl"/>
        </w:rPr>
        <w:t>Desafío de Políticas</w:t>
      </w:r>
      <w:r w:rsidRPr="00826BBF">
        <w:rPr>
          <w:lang w:val="es-ES_tradnl"/>
        </w:rPr>
        <w:t>. Para lograr una transformación completa de las relaciones laborales en México, del funcionamiento de la justicia laboral y de la seguridad social para los trabajadores más desprotegidos, el Gobierno de México impulsa una reforma laboral que fue aprobada por el Congreso y deberá implementarse en los próximos años. Esta reforma incluye Tribunales Laborales del Poder Judicial de la Federación para la resolución de las diferencias o los conflictos entre trabajadores; la creación de un Centro Nacional Federal de Conciliación y Registro Laboral, que instituya un proceso de conciliación prejudicial de disputas laborales; implementación de procesos democráticos de acreditación de la representatividad de los sindicatos y la aprobación y registro de los contratos colectivos; elaborar y puesta en marcha de un protocolo para la legitimación de contratos colectivos de trabajo existentes; y la presentación de una reforma a la Ley del Seguro Social que incorpore a las personas trabajadoras del hogar en el régimen obligatorio del Instituto Mexicano del Seguro</w:t>
      </w:r>
      <w:r w:rsidRPr="00826BBF">
        <w:rPr>
          <w:spacing w:val="-7"/>
          <w:lang w:val="es-ES_tradnl"/>
        </w:rPr>
        <w:t xml:space="preserve"> </w:t>
      </w:r>
      <w:r w:rsidRPr="00826BBF">
        <w:rPr>
          <w:lang w:val="es-ES_tradnl"/>
        </w:rPr>
        <w:t>Social.</w:t>
      </w:r>
    </w:p>
    <w:p w14:paraId="075BCD9E" w14:textId="444F70EB" w:rsidR="00733E6D" w:rsidRPr="00826BBF" w:rsidRDefault="009E4D55">
      <w:pPr>
        <w:pStyle w:val="ListParagraph"/>
        <w:numPr>
          <w:ilvl w:val="1"/>
          <w:numId w:val="5"/>
        </w:numPr>
        <w:tabs>
          <w:tab w:val="left" w:pos="1001"/>
        </w:tabs>
        <w:ind w:right="213"/>
        <w:rPr>
          <w:lang w:val="es-ES_tradnl"/>
        </w:rPr>
      </w:pPr>
      <w:r w:rsidRPr="00826BBF">
        <w:rPr>
          <w:lang w:val="es-ES_tradnl"/>
        </w:rPr>
        <w:t>El objetivo del programa es establecer las bases para mejorar la calidad del empleo en México mediante una mejor representación laboral; menor costo de la resolución de conflictos laborales; y mejores tasas de cobertura y menores costos de seguridad social. Los objetivos específicos son: (i)</w:t>
      </w:r>
      <w:r w:rsidR="000A5CB2">
        <w:rPr>
          <w:lang w:val="es-ES_tradnl"/>
        </w:rPr>
        <w:t> </w:t>
      </w:r>
      <w:r w:rsidRPr="00826BBF">
        <w:rPr>
          <w:lang w:val="es-ES_tradnl"/>
        </w:rPr>
        <w:t>mejorar la defensa del</w:t>
      </w:r>
      <w:r w:rsidRPr="00826BBF">
        <w:rPr>
          <w:spacing w:val="30"/>
          <w:lang w:val="es-ES_tradnl"/>
        </w:rPr>
        <w:t xml:space="preserve"> </w:t>
      </w:r>
      <w:r w:rsidRPr="00826BBF">
        <w:rPr>
          <w:lang w:val="es-ES_tradnl"/>
        </w:rPr>
        <w:t>derecho</w:t>
      </w:r>
      <w:r w:rsidRPr="00826BBF">
        <w:rPr>
          <w:spacing w:val="30"/>
          <w:lang w:val="es-ES_tradnl"/>
        </w:rPr>
        <w:t xml:space="preserve"> </w:t>
      </w:r>
      <w:r w:rsidRPr="00826BBF">
        <w:rPr>
          <w:lang w:val="es-ES_tradnl"/>
        </w:rPr>
        <w:t>a</w:t>
      </w:r>
      <w:r w:rsidRPr="00826BBF">
        <w:rPr>
          <w:spacing w:val="28"/>
          <w:lang w:val="es-ES_tradnl"/>
        </w:rPr>
        <w:t xml:space="preserve"> </w:t>
      </w:r>
      <w:r w:rsidRPr="00826BBF">
        <w:rPr>
          <w:lang w:val="es-ES_tradnl"/>
        </w:rPr>
        <w:t>la</w:t>
      </w:r>
      <w:r w:rsidRPr="00826BBF">
        <w:rPr>
          <w:spacing w:val="30"/>
          <w:lang w:val="es-ES_tradnl"/>
        </w:rPr>
        <w:t xml:space="preserve"> </w:t>
      </w:r>
      <w:r w:rsidRPr="00826BBF">
        <w:rPr>
          <w:lang w:val="es-ES_tradnl"/>
        </w:rPr>
        <w:t>negociación</w:t>
      </w:r>
      <w:r w:rsidRPr="00826BBF">
        <w:rPr>
          <w:spacing w:val="30"/>
          <w:lang w:val="es-ES_tradnl"/>
        </w:rPr>
        <w:t xml:space="preserve"> </w:t>
      </w:r>
      <w:r w:rsidRPr="00826BBF">
        <w:rPr>
          <w:lang w:val="es-ES_tradnl"/>
        </w:rPr>
        <w:t>colectiva;</w:t>
      </w:r>
      <w:r w:rsidRPr="00826BBF">
        <w:rPr>
          <w:spacing w:val="29"/>
          <w:lang w:val="es-ES_tradnl"/>
        </w:rPr>
        <w:t xml:space="preserve"> </w:t>
      </w:r>
      <w:r w:rsidRPr="00826BBF">
        <w:rPr>
          <w:lang w:val="es-ES_tradnl"/>
        </w:rPr>
        <w:t>(ii)</w:t>
      </w:r>
      <w:r w:rsidR="000A5CB2">
        <w:rPr>
          <w:lang w:val="es-ES_tradnl"/>
        </w:rPr>
        <w:t> </w:t>
      </w:r>
      <w:r w:rsidRPr="00826BBF">
        <w:rPr>
          <w:lang w:val="es-ES_tradnl"/>
        </w:rPr>
        <w:t>reducir</w:t>
      </w:r>
      <w:r w:rsidRPr="00826BBF">
        <w:rPr>
          <w:spacing w:val="32"/>
          <w:lang w:val="es-ES_tradnl"/>
        </w:rPr>
        <w:t xml:space="preserve"> </w:t>
      </w:r>
      <w:r w:rsidRPr="00826BBF">
        <w:rPr>
          <w:lang w:val="es-ES_tradnl"/>
        </w:rPr>
        <w:t>el</w:t>
      </w:r>
      <w:r w:rsidRPr="00826BBF">
        <w:rPr>
          <w:spacing w:val="29"/>
          <w:lang w:val="es-ES_tradnl"/>
        </w:rPr>
        <w:t xml:space="preserve"> </w:t>
      </w:r>
      <w:r w:rsidRPr="00826BBF">
        <w:rPr>
          <w:lang w:val="es-ES_tradnl"/>
        </w:rPr>
        <w:t>costo</w:t>
      </w:r>
      <w:r w:rsidRPr="00826BBF">
        <w:rPr>
          <w:spacing w:val="30"/>
          <w:lang w:val="es-ES_tradnl"/>
        </w:rPr>
        <w:t xml:space="preserve"> </w:t>
      </w:r>
      <w:r w:rsidRPr="00826BBF">
        <w:rPr>
          <w:lang w:val="es-ES_tradnl"/>
        </w:rPr>
        <w:t>de</w:t>
      </w:r>
      <w:r w:rsidRPr="00826BBF">
        <w:rPr>
          <w:spacing w:val="28"/>
          <w:lang w:val="es-ES_tradnl"/>
        </w:rPr>
        <w:t xml:space="preserve"> </w:t>
      </w:r>
      <w:r w:rsidRPr="00826BBF">
        <w:rPr>
          <w:lang w:val="es-ES_tradnl"/>
        </w:rPr>
        <w:t>la</w:t>
      </w:r>
      <w:r w:rsidRPr="00826BBF">
        <w:rPr>
          <w:spacing w:val="28"/>
          <w:lang w:val="es-ES_tradnl"/>
        </w:rPr>
        <w:t xml:space="preserve"> </w:t>
      </w:r>
      <w:r w:rsidRPr="00826BBF">
        <w:rPr>
          <w:lang w:val="es-ES_tradnl"/>
        </w:rPr>
        <w:t>resolución</w:t>
      </w:r>
      <w:r w:rsidRPr="00826BBF">
        <w:rPr>
          <w:spacing w:val="30"/>
          <w:lang w:val="es-ES_tradnl"/>
        </w:rPr>
        <w:t xml:space="preserve"> </w:t>
      </w:r>
      <w:r w:rsidRPr="00826BBF">
        <w:rPr>
          <w:lang w:val="es-ES_tradnl"/>
        </w:rPr>
        <w:t>de</w:t>
      </w:r>
    </w:p>
    <w:p w14:paraId="67EBD7ED" w14:textId="77777777" w:rsidR="00733E6D" w:rsidRPr="00826BBF" w:rsidRDefault="00733E6D">
      <w:pPr>
        <w:jc w:val="both"/>
        <w:rPr>
          <w:lang w:val="es-ES_tradnl"/>
        </w:rPr>
        <w:sectPr w:rsidR="00733E6D" w:rsidRPr="00826BBF">
          <w:headerReference w:type="default" r:id="rId12"/>
          <w:pgSz w:w="12240" w:h="15840"/>
          <w:pgMar w:top="1120" w:right="1580" w:bottom="280" w:left="1520" w:header="725" w:footer="0" w:gutter="0"/>
          <w:pgNumType w:start="2"/>
          <w:cols w:space="720"/>
        </w:sectPr>
      </w:pPr>
    </w:p>
    <w:p w14:paraId="2AEAB679" w14:textId="78E3FC89" w:rsidR="00D104B7" w:rsidRPr="00826BBF" w:rsidRDefault="009E4D55">
      <w:pPr>
        <w:pStyle w:val="BodyText"/>
        <w:spacing w:before="94"/>
        <w:ind w:left="1000" w:right="212"/>
        <w:jc w:val="both"/>
        <w:rPr>
          <w:lang w:val="es-ES_tradnl"/>
        </w:rPr>
      </w:pPr>
      <w:r w:rsidRPr="00826BBF">
        <w:rPr>
          <w:lang w:val="es-ES_tradnl"/>
        </w:rPr>
        <w:lastRenderedPageBreak/>
        <w:t>conflictos laborales individuales; y (iii)</w:t>
      </w:r>
      <w:r w:rsidR="0031357A">
        <w:rPr>
          <w:lang w:val="es-ES_tradnl"/>
        </w:rPr>
        <w:t> </w:t>
      </w:r>
      <w:r w:rsidRPr="00826BBF">
        <w:rPr>
          <w:lang w:val="es-ES_tradnl"/>
        </w:rPr>
        <w:t xml:space="preserve">mejorar la cobertura y costo administrativo de la seguridad social. </w:t>
      </w:r>
    </w:p>
    <w:p w14:paraId="4EB6B5DA" w14:textId="18E9377A" w:rsidR="00D104B7" w:rsidRPr="00826BBF" w:rsidRDefault="009E4D55" w:rsidP="00D104B7">
      <w:pPr>
        <w:pStyle w:val="ListParagraph"/>
        <w:numPr>
          <w:ilvl w:val="1"/>
          <w:numId w:val="5"/>
        </w:numPr>
        <w:tabs>
          <w:tab w:val="left" w:pos="1001"/>
        </w:tabs>
        <w:ind w:right="213"/>
        <w:rPr>
          <w:lang w:val="es-ES_tradnl"/>
        </w:rPr>
      </w:pPr>
      <w:r w:rsidRPr="00826BBF">
        <w:rPr>
          <w:lang w:val="es-ES_tradnl"/>
        </w:rPr>
        <w:t>Los principales procesos descritos en este plan son: (i)</w:t>
      </w:r>
      <w:r w:rsidR="0031357A">
        <w:rPr>
          <w:lang w:val="es-ES_tradnl"/>
        </w:rPr>
        <w:t> </w:t>
      </w:r>
      <w:r w:rsidRPr="00826BBF">
        <w:rPr>
          <w:lang w:val="es-ES_tradnl"/>
        </w:rPr>
        <w:t>en cuanto a monitoreo, los mecanismos internos de las instituciones de Gobierno y las acciones de monitoreo del cumplimiento de condiciones del proyecto llevadas a cabo por el Banco; y (ii)</w:t>
      </w:r>
      <w:r w:rsidR="0031357A">
        <w:rPr>
          <w:lang w:val="es-ES_tradnl"/>
        </w:rPr>
        <w:t> </w:t>
      </w:r>
      <w:r w:rsidRPr="00826BBF">
        <w:rPr>
          <w:lang w:val="es-ES_tradnl"/>
        </w:rPr>
        <w:t>en cuanto a evaluación, el objetivo es de documentar el logro de los indicadores de resultado de la Matriz de Resultados. Ésta presenta valores de los indicadores de línea de base para los resultados e impactos, resultados intermedios y valores para resultados e impactos esperados al fin del programa.</w:t>
      </w:r>
    </w:p>
    <w:p w14:paraId="5C346EFA" w14:textId="2003D95E" w:rsidR="00733E6D" w:rsidRPr="00826BBF" w:rsidRDefault="009E4D55" w:rsidP="00D104B7">
      <w:pPr>
        <w:pStyle w:val="ListParagraph"/>
        <w:numPr>
          <w:ilvl w:val="1"/>
          <w:numId w:val="5"/>
        </w:numPr>
        <w:tabs>
          <w:tab w:val="left" w:pos="1001"/>
        </w:tabs>
        <w:ind w:right="213"/>
        <w:rPr>
          <w:lang w:val="es-ES_tradnl"/>
        </w:rPr>
      </w:pPr>
      <w:r w:rsidRPr="00826BBF">
        <w:rPr>
          <w:lang w:val="es-ES_tradnl"/>
        </w:rPr>
        <w:t>En este plan, se entenderán los términos de la siguiente forma:</w:t>
      </w:r>
    </w:p>
    <w:p w14:paraId="62925DCF" w14:textId="77777777" w:rsidR="00733E6D" w:rsidRPr="00826BBF" w:rsidRDefault="00733E6D">
      <w:pPr>
        <w:pStyle w:val="BodyText"/>
        <w:spacing w:before="4"/>
        <w:rPr>
          <w:sz w:val="10"/>
          <w:lang w:val="es-ES_tradnl"/>
        </w:rPr>
      </w:pPr>
    </w:p>
    <w:tbl>
      <w:tblPr>
        <w:tblW w:w="0" w:type="auto"/>
        <w:tblInd w:w="1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95"/>
        <w:gridCol w:w="6611"/>
      </w:tblGrid>
      <w:tr w:rsidR="00733E6D" w:rsidRPr="00390A0B" w14:paraId="2EA4738F" w14:textId="77777777">
        <w:trPr>
          <w:trHeight w:val="955"/>
        </w:trPr>
        <w:tc>
          <w:tcPr>
            <w:tcW w:w="1395" w:type="dxa"/>
            <w:tcBorders>
              <w:right w:val="nil"/>
            </w:tcBorders>
          </w:tcPr>
          <w:p w14:paraId="2425CB1B" w14:textId="77777777" w:rsidR="00733E6D" w:rsidRPr="00826BBF" w:rsidRDefault="009E4D55">
            <w:pPr>
              <w:pStyle w:val="TableParagraph"/>
              <w:spacing w:before="81"/>
              <w:ind w:left="107"/>
              <w:rPr>
                <w:b/>
                <w:sz w:val="20"/>
                <w:lang w:val="es-ES_tradnl"/>
              </w:rPr>
            </w:pPr>
            <w:r w:rsidRPr="00826BBF">
              <w:rPr>
                <w:b/>
                <w:sz w:val="20"/>
                <w:lang w:val="es-ES_tradnl"/>
              </w:rPr>
              <w:t>Monitoreo</w:t>
            </w:r>
          </w:p>
        </w:tc>
        <w:tc>
          <w:tcPr>
            <w:tcW w:w="6611" w:type="dxa"/>
            <w:tcBorders>
              <w:left w:val="nil"/>
            </w:tcBorders>
          </w:tcPr>
          <w:p w14:paraId="58ED9CC7" w14:textId="77777777" w:rsidR="00733E6D" w:rsidRPr="00826BBF" w:rsidRDefault="009E4D55">
            <w:pPr>
              <w:pStyle w:val="TableParagraph"/>
              <w:spacing w:before="83" w:line="273" w:lineRule="auto"/>
              <w:ind w:left="151" w:right="101"/>
              <w:jc w:val="both"/>
              <w:rPr>
                <w:sz w:val="20"/>
                <w:lang w:val="es-ES_tradnl"/>
              </w:rPr>
            </w:pPr>
            <w:r w:rsidRPr="00826BBF">
              <w:rPr>
                <w:sz w:val="20"/>
                <w:lang w:val="es-ES_tradnl"/>
              </w:rPr>
              <w:t>Esta es la responsabilidad de la institución que ejecuta el programa, observando el avance en comparación con las actividades previstas para un período determinado.</w:t>
            </w:r>
          </w:p>
        </w:tc>
      </w:tr>
      <w:tr w:rsidR="00733E6D" w:rsidRPr="00390A0B" w14:paraId="175E2E8E" w14:textId="77777777">
        <w:trPr>
          <w:trHeight w:val="1218"/>
        </w:trPr>
        <w:tc>
          <w:tcPr>
            <w:tcW w:w="1395" w:type="dxa"/>
            <w:tcBorders>
              <w:right w:val="nil"/>
            </w:tcBorders>
          </w:tcPr>
          <w:p w14:paraId="75F1F2B0" w14:textId="77777777" w:rsidR="00733E6D" w:rsidRPr="00826BBF" w:rsidRDefault="009E4D55">
            <w:pPr>
              <w:pStyle w:val="TableParagraph"/>
              <w:spacing w:before="78"/>
              <w:ind w:left="107"/>
              <w:rPr>
                <w:b/>
                <w:sz w:val="20"/>
                <w:lang w:val="es-ES_tradnl"/>
              </w:rPr>
            </w:pPr>
            <w:r w:rsidRPr="00826BBF">
              <w:rPr>
                <w:b/>
                <w:sz w:val="20"/>
                <w:lang w:val="es-ES_tradnl"/>
              </w:rPr>
              <w:t>Supervisión</w:t>
            </w:r>
          </w:p>
        </w:tc>
        <w:tc>
          <w:tcPr>
            <w:tcW w:w="6611" w:type="dxa"/>
            <w:tcBorders>
              <w:left w:val="nil"/>
            </w:tcBorders>
          </w:tcPr>
          <w:p w14:paraId="5DF83D8D" w14:textId="77777777" w:rsidR="00733E6D" w:rsidRPr="00826BBF" w:rsidRDefault="009E4D55">
            <w:pPr>
              <w:pStyle w:val="TableParagraph"/>
              <w:spacing w:before="81" w:line="276" w:lineRule="auto"/>
              <w:ind w:left="151" w:right="100"/>
              <w:jc w:val="both"/>
              <w:rPr>
                <w:sz w:val="20"/>
                <w:lang w:val="es-ES_tradnl"/>
              </w:rPr>
            </w:pPr>
            <w:r w:rsidRPr="00826BBF">
              <w:rPr>
                <w:sz w:val="20"/>
                <w:lang w:val="es-ES_tradnl"/>
              </w:rPr>
              <w:t>Función externa en la que el Banco como el financiero, verifica el cumplimiento de los términos del contrato con el ejecutor del programa, lo que resulta en acciones concretas para hacer ajustes a la aplicación cuando sea necesario.</w:t>
            </w:r>
          </w:p>
        </w:tc>
      </w:tr>
      <w:tr w:rsidR="00733E6D" w:rsidRPr="00390A0B" w14:paraId="1E1C4C4D" w14:textId="77777777">
        <w:trPr>
          <w:trHeight w:val="1482"/>
        </w:trPr>
        <w:tc>
          <w:tcPr>
            <w:tcW w:w="1395" w:type="dxa"/>
            <w:tcBorders>
              <w:right w:val="nil"/>
            </w:tcBorders>
          </w:tcPr>
          <w:p w14:paraId="132CB962" w14:textId="77777777" w:rsidR="00733E6D" w:rsidRPr="00826BBF" w:rsidRDefault="009E4D55">
            <w:pPr>
              <w:pStyle w:val="TableParagraph"/>
              <w:spacing w:before="78"/>
              <w:ind w:left="107"/>
              <w:rPr>
                <w:b/>
                <w:sz w:val="20"/>
                <w:lang w:val="es-ES_tradnl"/>
              </w:rPr>
            </w:pPr>
            <w:r w:rsidRPr="00826BBF">
              <w:rPr>
                <w:b/>
                <w:sz w:val="20"/>
                <w:lang w:val="es-ES_tradnl"/>
              </w:rPr>
              <w:t>Evaluación</w:t>
            </w:r>
          </w:p>
        </w:tc>
        <w:tc>
          <w:tcPr>
            <w:tcW w:w="6611" w:type="dxa"/>
            <w:tcBorders>
              <w:left w:val="nil"/>
            </w:tcBorders>
          </w:tcPr>
          <w:p w14:paraId="35D09621" w14:textId="167DCEA5" w:rsidR="00733E6D" w:rsidRPr="00826BBF" w:rsidRDefault="009E4D55">
            <w:pPr>
              <w:pStyle w:val="TableParagraph"/>
              <w:spacing w:before="81" w:line="276" w:lineRule="auto"/>
              <w:ind w:left="151" w:right="98"/>
              <w:jc w:val="both"/>
              <w:rPr>
                <w:sz w:val="20"/>
                <w:lang w:val="es-ES_tradnl"/>
              </w:rPr>
            </w:pPr>
            <w:r w:rsidRPr="00826BBF">
              <w:rPr>
                <w:sz w:val="20"/>
                <w:lang w:val="es-ES_tradnl"/>
              </w:rPr>
              <w:t xml:space="preserve">Función periódica, que busca evaluar si la aplicación del programa generó resultados e impactos. Se puede llevar a cabo por el </w:t>
            </w:r>
            <w:r w:rsidR="003A15CD">
              <w:rPr>
                <w:sz w:val="20"/>
                <w:lang w:val="es-ES_tradnl"/>
              </w:rPr>
              <w:t>E</w:t>
            </w:r>
            <w:r w:rsidRPr="00826BBF">
              <w:rPr>
                <w:sz w:val="20"/>
                <w:lang w:val="es-ES_tradnl"/>
              </w:rPr>
              <w:t xml:space="preserve">jecutor y el </w:t>
            </w:r>
            <w:r w:rsidR="00603ACF">
              <w:rPr>
                <w:sz w:val="20"/>
                <w:lang w:val="es-ES_tradnl"/>
              </w:rPr>
              <w:t>B</w:t>
            </w:r>
            <w:r w:rsidRPr="00826BBF">
              <w:rPr>
                <w:sz w:val="20"/>
                <w:lang w:val="es-ES_tradnl"/>
              </w:rPr>
              <w:t>anco, pero en aras de una mayor objetividad debe ser contratado por expertos independientes, tanto para la reco</w:t>
            </w:r>
            <w:r w:rsidR="00836B1B">
              <w:rPr>
                <w:sz w:val="20"/>
                <w:lang w:val="es-ES_tradnl"/>
              </w:rPr>
              <w:t>lección</w:t>
            </w:r>
            <w:r w:rsidRPr="00826BBF">
              <w:rPr>
                <w:sz w:val="20"/>
                <w:lang w:val="es-ES_tradnl"/>
              </w:rPr>
              <w:t xml:space="preserve"> de información para el análisis</w:t>
            </w:r>
            <w:r w:rsidRPr="00826BBF">
              <w:rPr>
                <w:spacing w:val="-2"/>
                <w:sz w:val="20"/>
                <w:lang w:val="es-ES_tradnl"/>
              </w:rPr>
              <w:t xml:space="preserve"> </w:t>
            </w:r>
            <w:r w:rsidRPr="00826BBF">
              <w:rPr>
                <w:sz w:val="20"/>
                <w:lang w:val="es-ES_tradnl"/>
              </w:rPr>
              <w:t>inicial.</w:t>
            </w:r>
          </w:p>
        </w:tc>
      </w:tr>
    </w:tbl>
    <w:p w14:paraId="54798288" w14:textId="77777777" w:rsidR="00E80FD2" w:rsidRPr="00826BBF" w:rsidRDefault="00E80FD2" w:rsidP="00E80FD2">
      <w:pPr>
        <w:pStyle w:val="ListParagraph"/>
        <w:tabs>
          <w:tab w:val="left" w:pos="4354"/>
          <w:tab w:val="left" w:pos="4355"/>
        </w:tabs>
        <w:spacing w:before="41"/>
        <w:ind w:left="4354" w:firstLine="0"/>
        <w:jc w:val="right"/>
        <w:rPr>
          <w:b/>
          <w:sz w:val="18"/>
          <w:lang w:val="es-ES_tradnl"/>
        </w:rPr>
      </w:pPr>
    </w:p>
    <w:p w14:paraId="3EA7F76C" w14:textId="2533EF8C" w:rsidR="00733E6D" w:rsidRPr="00826BBF" w:rsidRDefault="009E4D55">
      <w:pPr>
        <w:pStyle w:val="ListParagraph"/>
        <w:numPr>
          <w:ilvl w:val="0"/>
          <w:numId w:val="6"/>
        </w:numPr>
        <w:tabs>
          <w:tab w:val="left" w:pos="4354"/>
          <w:tab w:val="left" w:pos="4355"/>
        </w:tabs>
        <w:spacing w:before="41"/>
        <w:ind w:left="4354" w:hanging="452"/>
        <w:jc w:val="left"/>
        <w:rPr>
          <w:b/>
          <w:sz w:val="18"/>
          <w:lang w:val="es-ES_tradnl"/>
        </w:rPr>
      </w:pPr>
      <w:r w:rsidRPr="00826BBF">
        <w:rPr>
          <w:b/>
          <w:lang w:val="es-ES_tradnl"/>
        </w:rPr>
        <w:t>M</w:t>
      </w:r>
      <w:r w:rsidRPr="00826BBF">
        <w:rPr>
          <w:b/>
          <w:sz w:val="18"/>
          <w:lang w:val="es-ES_tradnl"/>
        </w:rPr>
        <w:t>ONITOREO</w:t>
      </w:r>
    </w:p>
    <w:p w14:paraId="4CCBAEB8" w14:textId="77777777" w:rsidR="00733E6D" w:rsidRPr="00826BBF" w:rsidRDefault="00733E6D">
      <w:pPr>
        <w:pStyle w:val="BodyText"/>
        <w:spacing w:before="9"/>
        <w:rPr>
          <w:b/>
          <w:sz w:val="20"/>
          <w:lang w:val="es-ES_tradnl"/>
        </w:rPr>
      </w:pPr>
    </w:p>
    <w:p w14:paraId="3CFAA36F" w14:textId="77777777" w:rsidR="00733E6D" w:rsidRPr="00826BBF" w:rsidRDefault="009E4D55" w:rsidP="00383910">
      <w:pPr>
        <w:pStyle w:val="Heading1"/>
        <w:numPr>
          <w:ilvl w:val="0"/>
          <w:numId w:val="4"/>
        </w:numPr>
        <w:tabs>
          <w:tab w:val="left" w:pos="1000"/>
          <w:tab w:val="left" w:pos="1001"/>
        </w:tabs>
        <w:jc w:val="left"/>
        <w:rPr>
          <w:lang w:val="es-ES_tradnl"/>
        </w:rPr>
      </w:pPr>
      <w:r w:rsidRPr="00826BBF">
        <w:rPr>
          <w:lang w:val="es-ES_tradnl"/>
        </w:rPr>
        <w:t>Indicadores de</w:t>
      </w:r>
      <w:r w:rsidRPr="00826BBF">
        <w:rPr>
          <w:spacing w:val="-6"/>
          <w:lang w:val="es-ES_tradnl"/>
        </w:rPr>
        <w:t xml:space="preserve"> </w:t>
      </w:r>
      <w:r w:rsidRPr="00826BBF">
        <w:rPr>
          <w:lang w:val="es-ES_tradnl"/>
        </w:rPr>
        <w:t>producto</w:t>
      </w:r>
    </w:p>
    <w:p w14:paraId="765CA3F3" w14:textId="77777777" w:rsidR="00733E6D" w:rsidRPr="00826BBF" w:rsidRDefault="009E4D55">
      <w:pPr>
        <w:pStyle w:val="ListParagraph"/>
        <w:numPr>
          <w:ilvl w:val="1"/>
          <w:numId w:val="3"/>
        </w:numPr>
        <w:tabs>
          <w:tab w:val="left" w:pos="1001"/>
        </w:tabs>
        <w:spacing w:before="119"/>
        <w:ind w:right="214"/>
        <w:rPr>
          <w:lang w:val="es-ES_tradnl"/>
        </w:rPr>
      </w:pPr>
      <w:r w:rsidRPr="00826BBF">
        <w:rPr>
          <w:lang w:val="es-ES_tradnl"/>
        </w:rPr>
        <w:t>Los indicadores a los que se dará seguimiento como parte de la verificación del cumplimiento de las acciones del programa son los contenidos en la Matriz de Políticas, que se incluye en la Propuesta de</w:t>
      </w:r>
      <w:r w:rsidRPr="00826BBF">
        <w:rPr>
          <w:spacing w:val="-8"/>
          <w:lang w:val="es-ES_tradnl"/>
        </w:rPr>
        <w:t xml:space="preserve"> </w:t>
      </w:r>
      <w:r w:rsidRPr="00826BBF">
        <w:rPr>
          <w:lang w:val="es-ES_tradnl"/>
        </w:rPr>
        <w:t>Préstamo.</w:t>
      </w:r>
    </w:p>
    <w:p w14:paraId="5B0A9E2E" w14:textId="77777777" w:rsidR="00733E6D" w:rsidRPr="00826BBF" w:rsidRDefault="009E4D55">
      <w:pPr>
        <w:pStyle w:val="ListParagraph"/>
        <w:numPr>
          <w:ilvl w:val="1"/>
          <w:numId w:val="3"/>
        </w:numPr>
        <w:tabs>
          <w:tab w:val="left" w:pos="1001"/>
        </w:tabs>
        <w:spacing w:before="119"/>
        <w:ind w:right="214"/>
        <w:rPr>
          <w:lang w:val="es-ES_tradnl"/>
        </w:rPr>
      </w:pPr>
      <w:r w:rsidRPr="00826BBF">
        <w:rPr>
          <w:lang w:val="es-ES_tradnl"/>
        </w:rPr>
        <w:t>El cumplimiento de dichos indicadores será comprobado mediante la información contenida en la Matriz de Medios de Verificación que hace parte de la matriz de políticas. Dicha Matriz especifica todas las acciones a ser implementadas en el programa, las entidades responsables por llevar a cabo cada una de dichas acciones, y la información específica que permitirá al Banco verificar su cumplimiento.</w:t>
      </w:r>
    </w:p>
    <w:p w14:paraId="4163431F" w14:textId="77777777" w:rsidR="00733E6D" w:rsidRPr="00826BBF" w:rsidRDefault="009E4D55">
      <w:pPr>
        <w:pStyle w:val="ListParagraph"/>
        <w:numPr>
          <w:ilvl w:val="1"/>
          <w:numId w:val="3"/>
        </w:numPr>
        <w:tabs>
          <w:tab w:val="left" w:pos="1001"/>
        </w:tabs>
        <w:spacing w:before="122"/>
        <w:ind w:right="214"/>
        <w:rPr>
          <w:lang w:val="es-ES_tradnl"/>
        </w:rPr>
      </w:pPr>
      <w:r w:rsidRPr="00826BBF">
        <w:rPr>
          <w:lang w:val="es-ES_tradnl"/>
        </w:rPr>
        <w:t>El seguimiento de los resultados del préstamo programático será ejecutado por el Banco en coordinación con la Secretaría del Trabajo y Previsión Social (STPS). El Banco solicitará anualmente a la STPS la entrega de los datos señalados en la matriz de</w:t>
      </w:r>
      <w:r w:rsidRPr="00826BBF">
        <w:rPr>
          <w:spacing w:val="-2"/>
          <w:lang w:val="es-ES_tradnl"/>
        </w:rPr>
        <w:t xml:space="preserve"> </w:t>
      </w:r>
      <w:r w:rsidRPr="00826BBF">
        <w:rPr>
          <w:lang w:val="es-ES_tradnl"/>
        </w:rPr>
        <w:t>resultados.</w:t>
      </w:r>
    </w:p>
    <w:p w14:paraId="1812D222" w14:textId="77777777" w:rsidR="00733E6D" w:rsidRPr="00826BBF" w:rsidRDefault="009E4D55" w:rsidP="00383910">
      <w:pPr>
        <w:pStyle w:val="Heading1"/>
        <w:numPr>
          <w:ilvl w:val="0"/>
          <w:numId w:val="4"/>
        </w:numPr>
        <w:tabs>
          <w:tab w:val="left" w:pos="1000"/>
          <w:tab w:val="left" w:pos="1001"/>
        </w:tabs>
        <w:spacing w:before="119"/>
        <w:jc w:val="left"/>
        <w:rPr>
          <w:lang w:val="es-ES_tradnl"/>
        </w:rPr>
      </w:pPr>
      <w:r w:rsidRPr="00826BBF">
        <w:rPr>
          <w:lang w:val="es-ES_tradnl"/>
        </w:rPr>
        <w:t>Recopilación de datos e</w:t>
      </w:r>
      <w:r w:rsidRPr="00826BBF">
        <w:rPr>
          <w:spacing w:val="-11"/>
          <w:lang w:val="es-ES_tradnl"/>
        </w:rPr>
        <w:t xml:space="preserve"> </w:t>
      </w:r>
      <w:r w:rsidRPr="00826BBF">
        <w:rPr>
          <w:lang w:val="es-ES_tradnl"/>
        </w:rPr>
        <w:t>instrumentos</w:t>
      </w:r>
    </w:p>
    <w:p w14:paraId="25141BF9" w14:textId="77777777" w:rsidR="00733E6D" w:rsidRPr="00826BBF" w:rsidRDefault="009E4D55">
      <w:pPr>
        <w:pStyle w:val="ListParagraph"/>
        <w:numPr>
          <w:ilvl w:val="1"/>
          <w:numId w:val="3"/>
        </w:numPr>
        <w:tabs>
          <w:tab w:val="left" w:pos="1001"/>
        </w:tabs>
        <w:ind w:right="214"/>
        <w:rPr>
          <w:lang w:val="es-ES_tradnl"/>
        </w:rPr>
      </w:pPr>
      <w:r w:rsidRPr="00826BBF">
        <w:rPr>
          <w:lang w:val="es-ES_tradnl"/>
        </w:rPr>
        <w:t>Las fuentes de información que se usarán para el seguimiento de cada indicador se detallan en la Matriz de Medios de Verificación, y STPS será la entidad encargada de la recopilación de la información requerida para la supervisión del programa. La implementación de los distintos compromisos está a cargo STPS, según se especifica en la Matriz de Políticas y de Medios de</w:t>
      </w:r>
      <w:r w:rsidRPr="00826BBF">
        <w:rPr>
          <w:spacing w:val="-15"/>
          <w:lang w:val="es-ES_tradnl"/>
        </w:rPr>
        <w:t xml:space="preserve"> </w:t>
      </w:r>
      <w:r w:rsidRPr="00826BBF">
        <w:rPr>
          <w:lang w:val="es-ES_tradnl"/>
        </w:rPr>
        <w:t>Verificación.</w:t>
      </w:r>
    </w:p>
    <w:p w14:paraId="0F81ED16" w14:textId="77777777" w:rsidR="00733E6D" w:rsidRPr="00826BBF" w:rsidRDefault="00733E6D">
      <w:pPr>
        <w:jc w:val="both"/>
        <w:rPr>
          <w:lang w:val="es-ES_tradnl"/>
        </w:rPr>
        <w:sectPr w:rsidR="00733E6D" w:rsidRPr="00826BBF">
          <w:pgSz w:w="12240" w:h="15840"/>
          <w:pgMar w:top="1120" w:right="1580" w:bottom="280" w:left="1520" w:header="725" w:footer="0" w:gutter="0"/>
          <w:cols w:space="720"/>
        </w:sectPr>
      </w:pPr>
    </w:p>
    <w:p w14:paraId="06711F5D" w14:textId="77777777" w:rsidR="00733E6D" w:rsidRPr="00826BBF" w:rsidRDefault="00733E6D">
      <w:pPr>
        <w:pStyle w:val="BodyText"/>
        <w:spacing w:before="6"/>
        <w:rPr>
          <w:sz w:val="18"/>
          <w:lang w:val="es-ES_tradnl"/>
        </w:rPr>
      </w:pPr>
    </w:p>
    <w:p w14:paraId="3CCCF95E" w14:textId="77777777" w:rsidR="00733E6D" w:rsidRPr="00826BBF" w:rsidRDefault="009E4D55">
      <w:pPr>
        <w:pStyle w:val="ListParagraph"/>
        <w:numPr>
          <w:ilvl w:val="1"/>
          <w:numId w:val="3"/>
        </w:numPr>
        <w:tabs>
          <w:tab w:val="left" w:pos="1001"/>
        </w:tabs>
        <w:spacing w:before="94"/>
        <w:ind w:right="214"/>
        <w:rPr>
          <w:lang w:val="es-ES_tradnl"/>
        </w:rPr>
      </w:pPr>
      <w:r w:rsidRPr="00826BBF">
        <w:rPr>
          <w:lang w:val="es-ES_tradnl"/>
        </w:rPr>
        <w:t>En el caso de los indicadores de productos al final de la serie programática, la Matriz de Resultados especifica los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w:t>
      </w:r>
      <w:r w:rsidRPr="00826BBF">
        <w:rPr>
          <w:spacing w:val="-17"/>
          <w:lang w:val="es-ES_tradnl"/>
        </w:rPr>
        <w:t xml:space="preserve"> </w:t>
      </w:r>
      <w:r w:rsidRPr="00826BBF">
        <w:rPr>
          <w:lang w:val="es-ES_tradnl"/>
        </w:rPr>
        <w:t>definido.</w:t>
      </w:r>
    </w:p>
    <w:p w14:paraId="1E876909" w14:textId="77777777" w:rsidR="00733E6D" w:rsidRPr="00826BBF" w:rsidRDefault="009E4D55">
      <w:pPr>
        <w:pStyle w:val="ListParagraph"/>
        <w:numPr>
          <w:ilvl w:val="1"/>
          <w:numId w:val="3"/>
        </w:numPr>
        <w:tabs>
          <w:tab w:val="left" w:pos="1001"/>
        </w:tabs>
        <w:ind w:right="217"/>
        <w:rPr>
          <w:lang w:val="es-ES_tradnl"/>
        </w:rPr>
      </w:pPr>
      <w:r w:rsidRPr="00826BBF">
        <w:rPr>
          <w:lang w:val="es-ES_tradnl"/>
        </w:rPr>
        <w:t>Del mismo modo, en la Matriz de Resultados se especifica los indicadores de resultados e impactos de mediano plazo que se espera alcanzar después de finalizada de la serie programática, con las fuentes de información que permitirán medir dichos resultados e</w:t>
      </w:r>
      <w:r w:rsidRPr="00826BBF">
        <w:rPr>
          <w:spacing w:val="-9"/>
          <w:lang w:val="es-ES_tradnl"/>
        </w:rPr>
        <w:t xml:space="preserve"> </w:t>
      </w:r>
      <w:r w:rsidRPr="00826BBF">
        <w:rPr>
          <w:lang w:val="es-ES_tradnl"/>
        </w:rPr>
        <w:t>impactos.</w:t>
      </w:r>
    </w:p>
    <w:p w14:paraId="4BD54899" w14:textId="73A0E990" w:rsidR="00733E6D" w:rsidRPr="00826BBF" w:rsidRDefault="009E4D55">
      <w:pPr>
        <w:pStyle w:val="ListParagraph"/>
        <w:numPr>
          <w:ilvl w:val="1"/>
          <w:numId w:val="3"/>
        </w:numPr>
        <w:tabs>
          <w:tab w:val="left" w:pos="1001"/>
        </w:tabs>
        <w:spacing w:before="118"/>
        <w:ind w:right="211"/>
        <w:rPr>
          <w:lang w:val="es-ES_tradnl"/>
        </w:rPr>
      </w:pPr>
      <w:r w:rsidRPr="00826BBF">
        <w:rPr>
          <w:lang w:val="es-ES_tradnl"/>
        </w:rPr>
        <w:t>En su carácter de organismo ejecutor, la STPS designará un funcionario como responsable de, entre otras tareas: (i)</w:t>
      </w:r>
      <w:r w:rsidR="00096A30">
        <w:rPr>
          <w:lang w:val="es-ES_tradnl"/>
        </w:rPr>
        <w:t> </w:t>
      </w:r>
      <w:r w:rsidRPr="00826BBF">
        <w:rPr>
          <w:lang w:val="es-ES_tradnl"/>
        </w:rPr>
        <w:t>mantener la comunicación oficial con el Banco y entregar informes y evidencia del cumplimiento de las condiciones de la operación, y todo otro informe que el Banco pueda requerir en los plazos y condiciones acordadas; (ii)</w:t>
      </w:r>
      <w:r w:rsidR="00096A30">
        <w:rPr>
          <w:lang w:val="es-ES_tradnl"/>
        </w:rPr>
        <w:t> </w:t>
      </w:r>
      <w:r w:rsidRPr="00826BBF">
        <w:rPr>
          <w:lang w:val="es-ES_tradnl"/>
        </w:rPr>
        <w:t>impulsar las acciones tendientes al logro de los objetivos de política definidos en el programa, y en particular aquellas incluidas como mecanismos activadores para la segunda; y (iii)</w:t>
      </w:r>
      <w:r w:rsidR="00096A30">
        <w:rPr>
          <w:lang w:val="es-ES_tradnl"/>
        </w:rPr>
        <w:t> </w:t>
      </w:r>
      <w:r w:rsidRPr="00826BBF">
        <w:rPr>
          <w:lang w:val="es-ES_tradnl"/>
        </w:rPr>
        <w:t>reunir, archivar y entregar al Banco toda la información, indicadores y parámetros que contribuyan a que el Banco pueda dar seguimiento, medir y evaluar los resultados del</w:t>
      </w:r>
      <w:r w:rsidRPr="00826BBF">
        <w:rPr>
          <w:spacing w:val="-12"/>
          <w:lang w:val="es-ES_tradnl"/>
        </w:rPr>
        <w:t xml:space="preserve"> </w:t>
      </w:r>
      <w:r w:rsidRPr="00826BBF">
        <w:rPr>
          <w:lang w:val="es-ES_tradnl"/>
        </w:rPr>
        <w:t>programa.</w:t>
      </w:r>
    </w:p>
    <w:p w14:paraId="504EF69D" w14:textId="77777777" w:rsidR="00733E6D" w:rsidRPr="00826BBF" w:rsidRDefault="009E4D55">
      <w:pPr>
        <w:pStyle w:val="ListParagraph"/>
        <w:numPr>
          <w:ilvl w:val="1"/>
          <w:numId w:val="3"/>
        </w:numPr>
        <w:tabs>
          <w:tab w:val="left" w:pos="1001"/>
        </w:tabs>
        <w:spacing w:before="122"/>
        <w:ind w:right="210"/>
        <w:rPr>
          <w:lang w:val="es-ES_tradnl"/>
        </w:rPr>
      </w:pPr>
      <w:r w:rsidRPr="00826BBF">
        <w:rPr>
          <w:lang w:val="es-ES_tradnl"/>
        </w:rPr>
        <w:t>La Tabla II.A resume el monitoreo de condiciones, y para cada condición provee de información sobre las fuentes de información y medios de</w:t>
      </w:r>
      <w:r w:rsidRPr="00826BBF">
        <w:rPr>
          <w:spacing w:val="-13"/>
          <w:lang w:val="es-ES_tradnl"/>
        </w:rPr>
        <w:t xml:space="preserve"> </w:t>
      </w:r>
      <w:r w:rsidRPr="00826BBF">
        <w:rPr>
          <w:lang w:val="es-ES_tradnl"/>
        </w:rPr>
        <w:t>verificación.</w:t>
      </w:r>
    </w:p>
    <w:p w14:paraId="0057C77F" w14:textId="77777777" w:rsidR="00733E6D" w:rsidRPr="00826BBF" w:rsidRDefault="009E4D55">
      <w:pPr>
        <w:pStyle w:val="ListParagraph"/>
        <w:numPr>
          <w:ilvl w:val="1"/>
          <w:numId w:val="3"/>
        </w:numPr>
        <w:tabs>
          <w:tab w:val="left" w:pos="1001"/>
        </w:tabs>
        <w:spacing w:before="120"/>
        <w:ind w:right="215"/>
        <w:rPr>
          <w:lang w:val="es-ES_tradnl"/>
        </w:rPr>
      </w:pPr>
      <w:r w:rsidRPr="00826BBF">
        <w:rPr>
          <w:lang w:val="es-ES_tradnl"/>
        </w:rPr>
        <w:t>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w:t>
      </w:r>
      <w:r w:rsidRPr="00826BBF">
        <w:rPr>
          <w:spacing w:val="-11"/>
          <w:lang w:val="es-ES_tradnl"/>
        </w:rPr>
        <w:t xml:space="preserve"> </w:t>
      </w:r>
      <w:r w:rsidRPr="00826BBF">
        <w:rPr>
          <w:lang w:val="es-ES_tradnl"/>
        </w:rPr>
        <w:t>operación.</w:t>
      </w:r>
    </w:p>
    <w:p w14:paraId="428CFA2D" w14:textId="6C32ADD1" w:rsidR="00733E6D" w:rsidRPr="00826BBF" w:rsidRDefault="009E4D55">
      <w:pPr>
        <w:pStyle w:val="ListParagraph"/>
        <w:numPr>
          <w:ilvl w:val="1"/>
          <w:numId w:val="3"/>
        </w:numPr>
        <w:tabs>
          <w:tab w:val="left" w:pos="1001"/>
        </w:tabs>
        <w:spacing w:before="122"/>
        <w:ind w:right="213"/>
        <w:rPr>
          <w:lang w:val="es-ES_tradnl"/>
        </w:rPr>
      </w:pPr>
      <w:r w:rsidRPr="00826BBF">
        <w:rPr>
          <w:lang w:val="es-ES_tradnl"/>
        </w:rPr>
        <w:t>Por parte del BID, el equipo de SCL/LMK dará seguimiento mediante un plan que incluye: (i)</w:t>
      </w:r>
      <w:r w:rsidR="004F1E66">
        <w:rPr>
          <w:lang w:val="es-ES_tradnl"/>
        </w:rPr>
        <w:t> </w:t>
      </w:r>
      <w:r w:rsidRPr="00826BBF">
        <w:rPr>
          <w:lang w:val="es-ES_tradnl"/>
        </w:rPr>
        <w:t>monitoreo del cumplimiento de los compromisos; (ii)</w:t>
      </w:r>
      <w:r w:rsidR="004F1E66">
        <w:rPr>
          <w:lang w:val="es-ES_tradnl"/>
        </w:rPr>
        <w:t> </w:t>
      </w:r>
      <w:r w:rsidRPr="00826BBF">
        <w:rPr>
          <w:lang w:val="es-ES_tradnl"/>
        </w:rPr>
        <w:t>misión de monitoreo y de potencial determinación planes alternativos que permitan garantizar el cumplimiento de los compromisos. El cronograma de estas actividades con su respectivo costo y financiamiento se detallan en la Tabla</w:t>
      </w:r>
      <w:r w:rsidRPr="00826BBF">
        <w:rPr>
          <w:spacing w:val="-19"/>
          <w:lang w:val="es-ES_tradnl"/>
        </w:rPr>
        <w:t xml:space="preserve"> </w:t>
      </w:r>
      <w:r w:rsidRPr="00826BBF">
        <w:rPr>
          <w:lang w:val="es-ES_tradnl"/>
        </w:rPr>
        <w:t>II.B.</w:t>
      </w:r>
    </w:p>
    <w:p w14:paraId="35665C2D" w14:textId="77777777" w:rsidR="00733E6D" w:rsidRPr="00826BBF" w:rsidRDefault="00733E6D">
      <w:pPr>
        <w:jc w:val="both"/>
        <w:rPr>
          <w:lang w:val="es-ES_tradnl"/>
        </w:rPr>
        <w:sectPr w:rsidR="00733E6D" w:rsidRPr="00826BBF">
          <w:pgSz w:w="12240" w:h="15840"/>
          <w:pgMar w:top="1120" w:right="1580" w:bottom="280" w:left="1520" w:header="725" w:footer="0" w:gutter="0"/>
          <w:cols w:space="720"/>
        </w:sectPr>
      </w:pPr>
    </w:p>
    <w:p w14:paraId="32EB0BAE" w14:textId="77777777" w:rsidR="00733E6D" w:rsidRPr="00826BBF" w:rsidRDefault="00733E6D">
      <w:pPr>
        <w:pStyle w:val="BodyText"/>
        <w:spacing w:before="7" w:after="1"/>
        <w:rPr>
          <w:rFonts w:ascii="Times New Roman"/>
          <w:sz w:val="19"/>
          <w:lang w:val="es-ES_tradnl"/>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9"/>
        <w:gridCol w:w="900"/>
        <w:gridCol w:w="900"/>
        <w:gridCol w:w="6572"/>
      </w:tblGrid>
      <w:tr w:rsidR="00733E6D" w:rsidRPr="00390A0B" w14:paraId="75C3A3A0" w14:textId="77777777" w:rsidTr="155EE47B">
        <w:trPr>
          <w:trHeight w:val="582"/>
        </w:trPr>
        <w:tc>
          <w:tcPr>
            <w:tcW w:w="12981" w:type="dxa"/>
            <w:gridSpan w:val="4"/>
          </w:tcPr>
          <w:p w14:paraId="7E2BEA2C" w14:textId="77777777" w:rsidR="00733E6D" w:rsidRPr="00826BBF" w:rsidRDefault="009E4D55">
            <w:pPr>
              <w:pStyle w:val="TableParagraph"/>
              <w:spacing w:before="146"/>
              <w:ind w:left="3052"/>
              <w:rPr>
                <w:b/>
                <w:lang w:val="es-ES_tradnl"/>
              </w:rPr>
            </w:pPr>
            <w:r w:rsidRPr="00826BBF">
              <w:rPr>
                <w:b/>
                <w:lang w:val="es-ES_tradnl"/>
              </w:rPr>
              <w:t>Tabla II.A Resumen monitoreo de condiciones, primera operación</w:t>
            </w:r>
          </w:p>
        </w:tc>
      </w:tr>
      <w:tr w:rsidR="00733E6D" w:rsidRPr="00826BBF" w14:paraId="05BBDE7F" w14:textId="77777777" w:rsidTr="155EE47B">
        <w:trPr>
          <w:trHeight w:val="717"/>
        </w:trPr>
        <w:tc>
          <w:tcPr>
            <w:tcW w:w="4609" w:type="dxa"/>
            <w:shd w:val="clear" w:color="auto" w:fill="8DB3E1"/>
          </w:tcPr>
          <w:p w14:paraId="6D6924E3" w14:textId="77777777" w:rsidR="00733E6D" w:rsidRPr="00826BBF" w:rsidRDefault="00733E6D">
            <w:pPr>
              <w:pStyle w:val="TableParagraph"/>
              <w:spacing w:before="2"/>
              <w:rPr>
                <w:rFonts w:ascii="Times New Roman"/>
                <w:lang w:val="es-ES_tradnl"/>
              </w:rPr>
            </w:pPr>
          </w:p>
          <w:p w14:paraId="75B90ABA" w14:textId="77777777" w:rsidR="00733E6D" w:rsidRPr="00826BBF" w:rsidRDefault="009E4D55">
            <w:pPr>
              <w:pStyle w:val="TableParagraph"/>
              <w:ind w:left="1247"/>
              <w:rPr>
                <w:b/>
                <w:sz w:val="18"/>
                <w:lang w:val="es-ES_tradnl"/>
              </w:rPr>
            </w:pPr>
            <w:r w:rsidRPr="00826BBF">
              <w:rPr>
                <w:b/>
                <w:sz w:val="18"/>
                <w:lang w:val="es-ES_tradnl"/>
              </w:rPr>
              <w:t>Indicadores de Producto</w:t>
            </w:r>
          </w:p>
        </w:tc>
        <w:tc>
          <w:tcPr>
            <w:tcW w:w="900" w:type="dxa"/>
            <w:shd w:val="clear" w:color="auto" w:fill="8DB3E1"/>
          </w:tcPr>
          <w:p w14:paraId="56DD81EC" w14:textId="77777777" w:rsidR="00733E6D" w:rsidRPr="00826BBF" w:rsidRDefault="00733E6D">
            <w:pPr>
              <w:pStyle w:val="TableParagraph"/>
              <w:spacing w:before="8"/>
              <w:rPr>
                <w:rFonts w:ascii="Times New Roman"/>
                <w:sz w:val="20"/>
                <w:lang w:val="es-ES_tradnl"/>
              </w:rPr>
            </w:pPr>
          </w:p>
          <w:p w14:paraId="0ACE1A6C" w14:textId="77777777" w:rsidR="00733E6D" w:rsidRPr="00826BBF" w:rsidRDefault="009E4D55">
            <w:pPr>
              <w:pStyle w:val="TableParagraph"/>
              <w:spacing w:before="1"/>
              <w:ind w:left="214" w:right="204"/>
              <w:jc w:val="center"/>
              <w:rPr>
                <w:b/>
                <w:sz w:val="18"/>
                <w:lang w:val="es-ES_tradnl"/>
              </w:rPr>
            </w:pPr>
            <w:r w:rsidRPr="00826BBF">
              <w:rPr>
                <w:b/>
                <w:sz w:val="18"/>
                <w:lang w:val="es-ES_tradnl"/>
              </w:rPr>
              <w:t>Base</w:t>
            </w:r>
          </w:p>
        </w:tc>
        <w:tc>
          <w:tcPr>
            <w:tcW w:w="900" w:type="dxa"/>
            <w:shd w:val="clear" w:color="auto" w:fill="8DB3E1"/>
          </w:tcPr>
          <w:p w14:paraId="1FD852FD" w14:textId="77777777" w:rsidR="00733E6D" w:rsidRPr="00826BBF" w:rsidRDefault="009E4D55">
            <w:pPr>
              <w:pStyle w:val="TableParagraph"/>
              <w:spacing w:before="121" w:line="276" w:lineRule="auto"/>
              <w:ind w:left="188" w:right="161" w:firstLine="52"/>
              <w:rPr>
                <w:b/>
                <w:sz w:val="18"/>
                <w:lang w:val="es-ES_tradnl"/>
              </w:rPr>
            </w:pPr>
            <w:r w:rsidRPr="00826BBF">
              <w:rPr>
                <w:b/>
                <w:sz w:val="18"/>
                <w:lang w:val="es-ES_tradnl"/>
              </w:rPr>
              <w:t>Meta (2020)</w:t>
            </w:r>
          </w:p>
        </w:tc>
        <w:tc>
          <w:tcPr>
            <w:tcW w:w="6572" w:type="dxa"/>
            <w:shd w:val="clear" w:color="auto" w:fill="8DB3E1"/>
          </w:tcPr>
          <w:p w14:paraId="48F47EC3" w14:textId="77777777" w:rsidR="00733E6D" w:rsidRPr="00826BBF" w:rsidRDefault="00733E6D">
            <w:pPr>
              <w:pStyle w:val="TableParagraph"/>
              <w:spacing w:before="8"/>
              <w:rPr>
                <w:rFonts w:ascii="Times New Roman"/>
                <w:sz w:val="20"/>
                <w:lang w:val="es-ES_tradnl"/>
              </w:rPr>
            </w:pPr>
          </w:p>
          <w:p w14:paraId="66AFEA49" w14:textId="77777777" w:rsidR="00733E6D" w:rsidRPr="00826BBF" w:rsidRDefault="009E4D55">
            <w:pPr>
              <w:pStyle w:val="TableParagraph"/>
              <w:spacing w:before="1"/>
              <w:ind w:left="1598"/>
              <w:rPr>
                <w:b/>
                <w:sz w:val="18"/>
                <w:lang w:val="es-ES_tradnl"/>
              </w:rPr>
            </w:pPr>
            <w:r w:rsidRPr="00826BBF">
              <w:rPr>
                <w:b/>
                <w:sz w:val="18"/>
                <w:lang w:val="es-ES_tradnl"/>
              </w:rPr>
              <w:t>Observaciones / Medios de verificación</w:t>
            </w:r>
          </w:p>
        </w:tc>
      </w:tr>
      <w:tr w:rsidR="00733E6D" w:rsidRPr="00EE2A1D" w14:paraId="024845DF" w14:textId="77777777" w:rsidTr="155EE47B">
        <w:trPr>
          <w:trHeight w:val="484"/>
        </w:trPr>
        <w:tc>
          <w:tcPr>
            <w:tcW w:w="12981" w:type="dxa"/>
            <w:gridSpan w:val="4"/>
            <w:shd w:val="clear" w:color="auto" w:fill="D9D9D9" w:themeFill="background1" w:themeFillShade="D9"/>
          </w:tcPr>
          <w:p w14:paraId="1F2FA7E2" w14:textId="29EEFC70" w:rsidR="00733E6D" w:rsidRPr="00826BBF" w:rsidRDefault="009E4D55" w:rsidP="1CA3B711">
            <w:pPr>
              <w:pStyle w:val="TableParagraph"/>
              <w:spacing w:before="138"/>
              <w:ind w:left="107"/>
              <w:rPr>
                <w:b/>
                <w:bCs/>
                <w:sz w:val="18"/>
                <w:szCs w:val="18"/>
                <w:lang w:val="es-ES"/>
              </w:rPr>
            </w:pPr>
            <w:r w:rsidRPr="1CA3B711">
              <w:rPr>
                <w:b/>
                <w:bCs/>
                <w:sz w:val="18"/>
                <w:szCs w:val="18"/>
                <w:lang w:val="es-ES"/>
              </w:rPr>
              <w:t xml:space="preserve">Componente </w:t>
            </w:r>
            <w:r w:rsidR="4FE05382" w:rsidRPr="1CA3B711">
              <w:rPr>
                <w:b/>
                <w:bCs/>
                <w:sz w:val="18"/>
                <w:szCs w:val="18"/>
                <w:lang w:val="es-ES"/>
              </w:rPr>
              <w:t>2</w:t>
            </w:r>
            <w:r w:rsidRPr="1CA3B711">
              <w:rPr>
                <w:b/>
                <w:bCs/>
                <w:sz w:val="18"/>
                <w:szCs w:val="18"/>
                <w:lang w:val="es-ES"/>
              </w:rPr>
              <w:t>. Marco normativo para mejorar la calidad de los empleos</w:t>
            </w:r>
          </w:p>
        </w:tc>
      </w:tr>
      <w:tr w:rsidR="00733E6D" w:rsidRPr="00EE2A1D" w14:paraId="7FD4DDFD" w14:textId="77777777" w:rsidTr="155EE47B">
        <w:trPr>
          <w:trHeight w:val="990"/>
        </w:trPr>
        <w:tc>
          <w:tcPr>
            <w:tcW w:w="4609" w:type="dxa"/>
          </w:tcPr>
          <w:p w14:paraId="29AD3B67" w14:textId="77777777" w:rsidR="00733E6D" w:rsidRPr="00826BBF" w:rsidRDefault="009E4D55">
            <w:pPr>
              <w:pStyle w:val="TableParagraph"/>
              <w:ind w:left="107" w:right="139"/>
              <w:rPr>
                <w:sz w:val="18"/>
                <w:lang w:val="es-ES_tradnl"/>
              </w:rPr>
            </w:pPr>
            <w:r w:rsidRPr="00826BBF">
              <w:rPr>
                <w:sz w:val="18"/>
                <w:lang w:val="es-ES_tradnl"/>
              </w:rPr>
              <w:t>2.1 Reforma a la Ley Federal del Trabajo que dé lugar a Tribunales Laborales del Poder Judicial de la Federación para la resolución de las diferencias o los conflictos entre trabajadores y patrones.</w:t>
            </w:r>
          </w:p>
        </w:tc>
        <w:tc>
          <w:tcPr>
            <w:tcW w:w="900" w:type="dxa"/>
          </w:tcPr>
          <w:p w14:paraId="75CCAB85"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0</w:t>
            </w:r>
          </w:p>
        </w:tc>
        <w:tc>
          <w:tcPr>
            <w:tcW w:w="900" w:type="dxa"/>
          </w:tcPr>
          <w:p w14:paraId="47DCFAA3"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1</w:t>
            </w:r>
          </w:p>
        </w:tc>
        <w:tc>
          <w:tcPr>
            <w:tcW w:w="6572" w:type="dxa"/>
          </w:tcPr>
          <w:p w14:paraId="038819A8" w14:textId="77777777" w:rsidR="00733E6D" w:rsidRPr="00826BBF" w:rsidRDefault="009E4D55">
            <w:pPr>
              <w:pStyle w:val="TableParagraph"/>
              <w:ind w:left="107" w:right="521"/>
              <w:rPr>
                <w:sz w:val="18"/>
                <w:lang w:val="es-ES_tradnl"/>
              </w:rPr>
            </w:pPr>
            <w:r w:rsidRPr="00826BBF">
              <w:rPr>
                <w:sz w:val="18"/>
                <w:lang w:val="es-ES_tradnl"/>
              </w:rPr>
              <w:t>Proyecto de ley de reforma a la Ley Federal del Trabajo al Congreso de la Unión para su discusión y eventual aprobación.</w:t>
            </w:r>
          </w:p>
          <w:p w14:paraId="174CFEBA" w14:textId="7919091E" w:rsidR="00733E6D" w:rsidRPr="00826BBF" w:rsidRDefault="009E4D55">
            <w:pPr>
              <w:pStyle w:val="TableParagraph"/>
              <w:ind w:left="107" w:right="91"/>
              <w:rPr>
                <w:sz w:val="18"/>
                <w:lang w:val="es-ES_tradnl"/>
              </w:rPr>
            </w:pPr>
            <w:r w:rsidRPr="00826BBF">
              <w:rPr>
                <w:sz w:val="18"/>
                <w:lang w:val="es-ES_tradnl"/>
              </w:rPr>
              <w:t xml:space="preserve">Medio de verificación: Publicación de la reforma a la Ley </w:t>
            </w:r>
            <w:r w:rsidR="00A969BA">
              <w:rPr>
                <w:sz w:val="18"/>
                <w:lang w:val="es-ES_tradnl"/>
              </w:rPr>
              <w:t>F</w:t>
            </w:r>
            <w:r w:rsidRPr="00826BBF">
              <w:rPr>
                <w:sz w:val="18"/>
                <w:lang w:val="es-ES_tradnl"/>
              </w:rPr>
              <w:t>ederal del Trabajo en el Diario Oficial de la Federación (DOF).</w:t>
            </w:r>
          </w:p>
        </w:tc>
      </w:tr>
      <w:tr w:rsidR="00733E6D" w:rsidRPr="000C7F87" w14:paraId="2BB6A293" w14:textId="77777777" w:rsidTr="155EE47B">
        <w:trPr>
          <w:trHeight w:val="1034"/>
        </w:trPr>
        <w:tc>
          <w:tcPr>
            <w:tcW w:w="4609" w:type="dxa"/>
          </w:tcPr>
          <w:p w14:paraId="724C2014" w14:textId="0A1F53BA" w:rsidR="00733E6D" w:rsidRPr="00826BBF" w:rsidRDefault="009E4D55" w:rsidP="001115C7">
            <w:pPr>
              <w:pStyle w:val="TableParagraph"/>
              <w:ind w:left="107" w:right="489"/>
              <w:rPr>
                <w:sz w:val="18"/>
                <w:lang w:val="es-ES_tradnl"/>
              </w:rPr>
            </w:pPr>
            <w:r w:rsidRPr="00826BBF">
              <w:rPr>
                <w:sz w:val="18"/>
                <w:lang w:val="es-ES_tradnl"/>
              </w:rPr>
              <w:t>2.2 Reforma a la Ley Federal del Trabajo, y presentación de la nueva Ley del Centro Nacional Federal de Conciliación y Registro Laboral, que instituya un proceso de conciliación prejudicial d</w:t>
            </w:r>
            <w:r w:rsidR="001115C7" w:rsidRPr="00826BBF">
              <w:rPr>
                <w:sz w:val="18"/>
                <w:lang w:val="es-ES_tradnl"/>
              </w:rPr>
              <w:t xml:space="preserve">e </w:t>
            </w:r>
            <w:r w:rsidRPr="00826BBF">
              <w:rPr>
                <w:sz w:val="18"/>
                <w:lang w:val="es-ES_tradnl"/>
              </w:rPr>
              <w:t>disputas laborales.</w:t>
            </w:r>
          </w:p>
        </w:tc>
        <w:tc>
          <w:tcPr>
            <w:tcW w:w="900" w:type="dxa"/>
          </w:tcPr>
          <w:p w14:paraId="6D778637"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0</w:t>
            </w:r>
          </w:p>
        </w:tc>
        <w:tc>
          <w:tcPr>
            <w:tcW w:w="900" w:type="dxa"/>
          </w:tcPr>
          <w:p w14:paraId="1D64DC00"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1</w:t>
            </w:r>
          </w:p>
        </w:tc>
        <w:tc>
          <w:tcPr>
            <w:tcW w:w="6572" w:type="dxa"/>
          </w:tcPr>
          <w:p w14:paraId="4158B4C1" w14:textId="77777777" w:rsidR="00733E6D" w:rsidRPr="00826BBF" w:rsidRDefault="009E4D55">
            <w:pPr>
              <w:pStyle w:val="TableParagraph"/>
              <w:ind w:left="107"/>
              <w:rPr>
                <w:sz w:val="18"/>
                <w:lang w:val="es-ES_tradnl"/>
              </w:rPr>
            </w:pPr>
            <w:r w:rsidRPr="00826BBF">
              <w:rPr>
                <w:sz w:val="18"/>
                <w:lang w:val="es-ES_tradnl"/>
              </w:rPr>
              <w:t>Se iniciará un proceso de conciliación que facilite la resolución de conflictos laborales.</w:t>
            </w:r>
          </w:p>
          <w:p w14:paraId="464A4E9C" w14:textId="2C543A26" w:rsidR="00733E6D" w:rsidRPr="00826BBF" w:rsidRDefault="009E4D55">
            <w:pPr>
              <w:pStyle w:val="TableParagraph"/>
              <w:spacing w:line="187" w:lineRule="exact"/>
              <w:ind w:left="107"/>
              <w:rPr>
                <w:sz w:val="18"/>
                <w:lang w:val="es-ES_tradnl"/>
              </w:rPr>
            </w:pPr>
            <w:r w:rsidRPr="00826BBF">
              <w:rPr>
                <w:sz w:val="18"/>
                <w:lang w:val="es-ES_tradnl"/>
              </w:rPr>
              <w:t>Medio de verificación: Publicación de la reforma a la Ley Federal del Trabajo y a publicación de la Ley Orgánica del Centro Federal de Conciliación y Registro</w:t>
            </w:r>
            <w:r w:rsidR="00613F2F">
              <w:rPr>
                <w:sz w:val="18"/>
                <w:lang w:val="es-ES_tradnl"/>
              </w:rPr>
              <w:t xml:space="preserve"> </w:t>
            </w:r>
            <w:r w:rsidRPr="00826BBF">
              <w:rPr>
                <w:sz w:val="18"/>
                <w:lang w:val="es-ES_tradnl"/>
              </w:rPr>
              <w:t>Laboral en el DOF.</w:t>
            </w:r>
          </w:p>
        </w:tc>
      </w:tr>
      <w:tr w:rsidR="00733E6D" w:rsidRPr="000C7F87" w14:paraId="7EB13516" w14:textId="77777777" w:rsidTr="155EE47B">
        <w:trPr>
          <w:trHeight w:val="971"/>
        </w:trPr>
        <w:tc>
          <w:tcPr>
            <w:tcW w:w="4609" w:type="dxa"/>
          </w:tcPr>
          <w:p w14:paraId="18879B1A" w14:textId="36477DBA" w:rsidR="00733E6D" w:rsidRPr="00826BBF" w:rsidRDefault="009E4D55">
            <w:pPr>
              <w:pStyle w:val="TableParagraph"/>
              <w:ind w:left="107" w:right="149"/>
              <w:rPr>
                <w:sz w:val="18"/>
                <w:lang w:val="es-ES_tradnl"/>
              </w:rPr>
            </w:pPr>
            <w:r w:rsidRPr="00826BBF">
              <w:rPr>
                <w:sz w:val="18"/>
                <w:lang w:val="es-ES_tradnl"/>
              </w:rPr>
              <w:t>2.3 Reforma a la Ley Federal del Trabajo en donde se establezca como requisito la paridad de género en la conformación de las directivas sindicales</w:t>
            </w:r>
            <w:r w:rsidR="00613F2F">
              <w:rPr>
                <w:sz w:val="18"/>
                <w:lang w:val="es-ES_tradnl"/>
              </w:rPr>
              <w:t>.</w:t>
            </w:r>
          </w:p>
        </w:tc>
        <w:tc>
          <w:tcPr>
            <w:tcW w:w="900" w:type="dxa"/>
          </w:tcPr>
          <w:p w14:paraId="2555E2AE"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0</w:t>
            </w:r>
          </w:p>
        </w:tc>
        <w:tc>
          <w:tcPr>
            <w:tcW w:w="900" w:type="dxa"/>
          </w:tcPr>
          <w:p w14:paraId="6AE5E375" w14:textId="77777777" w:rsidR="00733E6D" w:rsidRPr="00826BBF" w:rsidRDefault="009E4D55">
            <w:pPr>
              <w:pStyle w:val="TableParagraph"/>
              <w:spacing w:line="206" w:lineRule="exact"/>
              <w:ind w:left="5"/>
              <w:jc w:val="center"/>
              <w:rPr>
                <w:sz w:val="18"/>
                <w:lang w:val="es-ES_tradnl"/>
              </w:rPr>
            </w:pPr>
            <w:r w:rsidRPr="00826BBF">
              <w:rPr>
                <w:w w:val="99"/>
                <w:sz w:val="18"/>
                <w:lang w:val="es-ES_tradnl"/>
              </w:rPr>
              <w:t>1</w:t>
            </w:r>
          </w:p>
        </w:tc>
        <w:tc>
          <w:tcPr>
            <w:tcW w:w="6572" w:type="dxa"/>
          </w:tcPr>
          <w:p w14:paraId="1053ECD4" w14:textId="06BDC186" w:rsidR="00733E6D" w:rsidRPr="00826BBF" w:rsidRDefault="009E4D55">
            <w:pPr>
              <w:pStyle w:val="TableParagraph"/>
              <w:ind w:left="107" w:right="91"/>
              <w:rPr>
                <w:sz w:val="18"/>
                <w:lang w:val="es-ES_tradnl"/>
              </w:rPr>
            </w:pPr>
            <w:r w:rsidRPr="00826BBF">
              <w:rPr>
                <w:sz w:val="18"/>
                <w:lang w:val="es-ES_tradnl"/>
              </w:rPr>
              <w:t xml:space="preserve">Proyecto de ley de reforma a la Ley Federal del Trabajo al Congreso de la Unión para su discusión y eventual aprobación que incluya esta condición. Medio de verificación: Publicación de la reforma a la Ley </w:t>
            </w:r>
            <w:r w:rsidR="00613F2F">
              <w:rPr>
                <w:sz w:val="18"/>
                <w:lang w:val="es-ES_tradnl"/>
              </w:rPr>
              <w:t>F</w:t>
            </w:r>
            <w:r w:rsidRPr="00826BBF">
              <w:rPr>
                <w:sz w:val="18"/>
                <w:lang w:val="es-ES_tradnl"/>
              </w:rPr>
              <w:t>ederal del Trabajo en el DOF.</w:t>
            </w:r>
          </w:p>
        </w:tc>
      </w:tr>
      <w:tr w:rsidR="00733E6D" w:rsidRPr="000C7F87" w14:paraId="34ED1914" w14:textId="77777777" w:rsidTr="155EE47B">
        <w:trPr>
          <w:trHeight w:val="412"/>
        </w:trPr>
        <w:tc>
          <w:tcPr>
            <w:tcW w:w="12981" w:type="dxa"/>
            <w:gridSpan w:val="4"/>
            <w:shd w:val="clear" w:color="auto" w:fill="D9D9D9" w:themeFill="background1" w:themeFillShade="D9"/>
          </w:tcPr>
          <w:p w14:paraId="6F4E9668" w14:textId="2F6C0D92" w:rsidR="00733E6D" w:rsidRPr="00826BBF" w:rsidRDefault="009E4D55" w:rsidP="1CA3B711">
            <w:pPr>
              <w:pStyle w:val="TableParagraph"/>
              <w:spacing w:before="102"/>
              <w:ind w:left="107"/>
              <w:rPr>
                <w:b/>
                <w:bCs/>
                <w:sz w:val="18"/>
                <w:szCs w:val="18"/>
                <w:lang w:val="es-ES"/>
              </w:rPr>
            </w:pPr>
            <w:r w:rsidRPr="1CA3B711">
              <w:rPr>
                <w:b/>
                <w:bCs/>
                <w:sz w:val="18"/>
                <w:szCs w:val="18"/>
                <w:lang w:val="es-ES"/>
              </w:rPr>
              <w:t xml:space="preserve">Componente </w:t>
            </w:r>
            <w:r w:rsidR="34DC461A" w:rsidRPr="1CA3B711">
              <w:rPr>
                <w:b/>
                <w:bCs/>
                <w:sz w:val="18"/>
                <w:szCs w:val="18"/>
                <w:lang w:val="es-ES"/>
              </w:rPr>
              <w:t>3</w:t>
            </w:r>
            <w:r w:rsidRPr="1CA3B711">
              <w:rPr>
                <w:b/>
                <w:bCs/>
                <w:sz w:val="18"/>
                <w:szCs w:val="18"/>
                <w:lang w:val="es-ES"/>
              </w:rPr>
              <w:t>. Marco normativo y uso de tecnología para mejorar la resolución de los conflictos laborales individuales</w:t>
            </w:r>
          </w:p>
        </w:tc>
      </w:tr>
      <w:tr w:rsidR="00733E6D" w:rsidRPr="000C7F87" w14:paraId="0C437D3A" w14:textId="77777777" w:rsidTr="155EE47B">
        <w:trPr>
          <w:trHeight w:val="1449"/>
        </w:trPr>
        <w:tc>
          <w:tcPr>
            <w:tcW w:w="4609" w:type="dxa"/>
          </w:tcPr>
          <w:p w14:paraId="06E7F381" w14:textId="77777777" w:rsidR="00733E6D" w:rsidRPr="00826BBF" w:rsidRDefault="009E4D55">
            <w:pPr>
              <w:pStyle w:val="TableParagraph"/>
              <w:spacing w:before="45" w:line="276" w:lineRule="auto"/>
              <w:ind w:left="91" w:right="99"/>
              <w:jc w:val="both"/>
              <w:rPr>
                <w:sz w:val="18"/>
                <w:lang w:val="es-ES_tradnl"/>
              </w:rPr>
            </w:pPr>
            <w:r w:rsidRPr="00826BBF">
              <w:rPr>
                <w:sz w:val="18"/>
                <w:lang w:val="es-ES_tradnl"/>
              </w:rPr>
              <w:t>3.1 Reforma a la Ley Federal del Trabajo que instituya los procesos democráticos de acreditación de la representatividad de los sindicatos y la aprobación y registro de los contratos colectivos.</w:t>
            </w:r>
          </w:p>
        </w:tc>
        <w:tc>
          <w:tcPr>
            <w:tcW w:w="900" w:type="dxa"/>
          </w:tcPr>
          <w:p w14:paraId="0B754A2C" w14:textId="77777777" w:rsidR="00733E6D" w:rsidRPr="00826BBF" w:rsidRDefault="00733E6D">
            <w:pPr>
              <w:pStyle w:val="TableParagraph"/>
              <w:rPr>
                <w:rFonts w:ascii="Times New Roman"/>
                <w:sz w:val="20"/>
                <w:lang w:val="es-ES_tradnl"/>
              </w:rPr>
            </w:pPr>
          </w:p>
          <w:p w14:paraId="2DAB3734" w14:textId="77777777" w:rsidR="00733E6D" w:rsidRPr="00826BBF" w:rsidRDefault="00733E6D">
            <w:pPr>
              <w:pStyle w:val="TableParagraph"/>
              <w:rPr>
                <w:rFonts w:ascii="Times New Roman"/>
                <w:sz w:val="20"/>
                <w:lang w:val="es-ES_tradnl"/>
              </w:rPr>
            </w:pPr>
          </w:p>
          <w:p w14:paraId="1C7188BB" w14:textId="77777777" w:rsidR="00733E6D" w:rsidRPr="00826BBF" w:rsidRDefault="009E4D55">
            <w:pPr>
              <w:pStyle w:val="TableParagraph"/>
              <w:spacing w:before="161"/>
              <w:ind w:left="5"/>
              <w:jc w:val="center"/>
              <w:rPr>
                <w:sz w:val="18"/>
                <w:lang w:val="es-ES_tradnl"/>
              </w:rPr>
            </w:pPr>
            <w:r w:rsidRPr="00826BBF">
              <w:rPr>
                <w:w w:val="99"/>
                <w:sz w:val="18"/>
                <w:lang w:val="es-ES_tradnl"/>
              </w:rPr>
              <w:t>0</w:t>
            </w:r>
          </w:p>
        </w:tc>
        <w:tc>
          <w:tcPr>
            <w:tcW w:w="900" w:type="dxa"/>
          </w:tcPr>
          <w:p w14:paraId="4A97224F" w14:textId="77777777" w:rsidR="00733E6D" w:rsidRPr="00826BBF" w:rsidRDefault="00733E6D">
            <w:pPr>
              <w:pStyle w:val="TableParagraph"/>
              <w:rPr>
                <w:rFonts w:ascii="Times New Roman"/>
                <w:sz w:val="20"/>
                <w:lang w:val="es-ES_tradnl"/>
              </w:rPr>
            </w:pPr>
          </w:p>
          <w:p w14:paraId="230C0944" w14:textId="77777777" w:rsidR="00733E6D" w:rsidRPr="00826BBF" w:rsidRDefault="00733E6D">
            <w:pPr>
              <w:pStyle w:val="TableParagraph"/>
              <w:rPr>
                <w:rFonts w:ascii="Times New Roman"/>
                <w:sz w:val="20"/>
                <w:lang w:val="es-ES_tradnl"/>
              </w:rPr>
            </w:pPr>
          </w:p>
          <w:p w14:paraId="1FCC4401" w14:textId="77777777" w:rsidR="00733E6D" w:rsidRPr="00826BBF" w:rsidRDefault="009E4D55">
            <w:pPr>
              <w:pStyle w:val="TableParagraph"/>
              <w:spacing w:before="161"/>
              <w:ind w:left="5"/>
              <w:jc w:val="center"/>
              <w:rPr>
                <w:sz w:val="18"/>
                <w:lang w:val="es-ES_tradnl"/>
              </w:rPr>
            </w:pPr>
            <w:r w:rsidRPr="00826BBF">
              <w:rPr>
                <w:w w:val="99"/>
                <w:sz w:val="18"/>
                <w:lang w:val="es-ES_tradnl"/>
              </w:rPr>
              <w:t>1</w:t>
            </w:r>
          </w:p>
        </w:tc>
        <w:tc>
          <w:tcPr>
            <w:tcW w:w="6572" w:type="dxa"/>
          </w:tcPr>
          <w:p w14:paraId="7A59AD15" w14:textId="77777777" w:rsidR="00733E6D" w:rsidRPr="00826BBF" w:rsidRDefault="009E4D55">
            <w:pPr>
              <w:pStyle w:val="TableParagraph"/>
              <w:ind w:left="107" w:right="91"/>
              <w:rPr>
                <w:sz w:val="18"/>
                <w:lang w:val="es-ES_tradnl"/>
              </w:rPr>
            </w:pPr>
            <w:r w:rsidRPr="00826BBF">
              <w:rPr>
                <w:sz w:val="18"/>
                <w:lang w:val="es-ES_tradnl"/>
              </w:rPr>
              <w:t>Proyecto de ley de reforma a la Ley Federal del Trabajo al Congreso de la Unión para su discusión y eventual aprobación que incluya como requisito verificación de la elección de representatividad sindical, así como de registro público de los contratos colectivos.</w:t>
            </w:r>
          </w:p>
          <w:p w14:paraId="2AF8222A" w14:textId="7D744E1B" w:rsidR="00733E6D" w:rsidRPr="00826BBF" w:rsidRDefault="009E4D55">
            <w:pPr>
              <w:pStyle w:val="TableParagraph"/>
              <w:spacing w:before="1" w:line="187" w:lineRule="exact"/>
              <w:ind w:left="107"/>
              <w:rPr>
                <w:sz w:val="18"/>
                <w:lang w:val="es-ES_tradnl"/>
              </w:rPr>
            </w:pPr>
            <w:r w:rsidRPr="00826BBF">
              <w:rPr>
                <w:sz w:val="18"/>
                <w:lang w:val="es-ES_tradnl"/>
              </w:rPr>
              <w:t>Medio de verificación: Publicación de la reforma a la Ley Federal del Trabajo y publicación del Protocolo para la Legitimación de Contrato</w:t>
            </w:r>
            <w:r w:rsidR="00E17DB7">
              <w:rPr>
                <w:sz w:val="18"/>
                <w:lang w:val="es-ES_tradnl"/>
              </w:rPr>
              <w:t>s</w:t>
            </w:r>
            <w:r w:rsidRPr="00826BBF">
              <w:rPr>
                <w:sz w:val="18"/>
                <w:lang w:val="es-ES_tradnl"/>
              </w:rPr>
              <w:t xml:space="preserve"> Colectivos</w:t>
            </w:r>
            <w:r w:rsidR="00E17DB7">
              <w:rPr>
                <w:sz w:val="18"/>
                <w:lang w:val="es-ES_tradnl"/>
              </w:rPr>
              <w:t xml:space="preserve"> e</w:t>
            </w:r>
            <w:r w:rsidRPr="00826BBF">
              <w:rPr>
                <w:sz w:val="18"/>
                <w:lang w:val="es-ES_tradnl"/>
              </w:rPr>
              <w:t>xistentes en el DOF.</w:t>
            </w:r>
          </w:p>
        </w:tc>
      </w:tr>
      <w:tr w:rsidR="00733E6D" w:rsidRPr="000C7F87" w14:paraId="576F753C" w14:textId="77777777" w:rsidTr="155EE47B">
        <w:trPr>
          <w:trHeight w:val="412"/>
        </w:trPr>
        <w:tc>
          <w:tcPr>
            <w:tcW w:w="12981" w:type="dxa"/>
            <w:gridSpan w:val="4"/>
            <w:shd w:val="clear" w:color="auto" w:fill="D9D9D9" w:themeFill="background1" w:themeFillShade="D9"/>
          </w:tcPr>
          <w:p w14:paraId="1427D6FD" w14:textId="5F5160FF" w:rsidR="00733E6D" w:rsidRPr="00826BBF" w:rsidRDefault="009E4D55" w:rsidP="155EE47B">
            <w:pPr>
              <w:pStyle w:val="TableParagraph"/>
              <w:spacing w:before="90"/>
              <w:ind w:left="107"/>
              <w:rPr>
                <w:b/>
                <w:bCs/>
                <w:sz w:val="20"/>
                <w:szCs w:val="20"/>
                <w:lang w:val="es-ES"/>
              </w:rPr>
            </w:pPr>
            <w:r w:rsidRPr="155EE47B">
              <w:rPr>
                <w:b/>
                <w:bCs/>
                <w:sz w:val="18"/>
                <w:szCs w:val="18"/>
                <w:lang w:val="es-ES"/>
              </w:rPr>
              <w:t xml:space="preserve">Componente </w:t>
            </w:r>
            <w:r w:rsidR="26EA38F6" w:rsidRPr="155EE47B">
              <w:rPr>
                <w:b/>
                <w:bCs/>
                <w:sz w:val="18"/>
                <w:szCs w:val="18"/>
                <w:lang w:val="es-ES"/>
              </w:rPr>
              <w:t>4</w:t>
            </w:r>
            <w:r w:rsidRPr="155EE47B">
              <w:rPr>
                <w:b/>
                <w:bCs/>
                <w:sz w:val="18"/>
                <w:szCs w:val="18"/>
                <w:lang w:val="es-ES"/>
              </w:rPr>
              <w:t xml:space="preserve">. </w:t>
            </w:r>
            <w:r w:rsidRPr="155EE47B">
              <w:rPr>
                <w:b/>
                <w:bCs/>
                <w:sz w:val="20"/>
                <w:szCs w:val="20"/>
                <w:lang w:val="es-ES"/>
              </w:rPr>
              <w:t>Marco normativo para mejorar la calidad de la seguridad social</w:t>
            </w:r>
          </w:p>
        </w:tc>
      </w:tr>
      <w:tr w:rsidR="00733E6D" w:rsidRPr="000C7F87" w14:paraId="0C84B5A1" w14:textId="77777777" w:rsidTr="155EE47B">
        <w:trPr>
          <w:trHeight w:val="1151"/>
        </w:trPr>
        <w:tc>
          <w:tcPr>
            <w:tcW w:w="4609" w:type="dxa"/>
          </w:tcPr>
          <w:p w14:paraId="69F16A04" w14:textId="14D8C5DF" w:rsidR="00733E6D" w:rsidRPr="00826BBF" w:rsidRDefault="009E4D55">
            <w:pPr>
              <w:pStyle w:val="TableParagraph"/>
              <w:spacing w:line="278" w:lineRule="auto"/>
              <w:ind w:left="107" w:right="269"/>
              <w:rPr>
                <w:sz w:val="18"/>
                <w:lang w:val="es-ES_tradnl"/>
              </w:rPr>
            </w:pPr>
            <w:r w:rsidRPr="00826BBF">
              <w:rPr>
                <w:sz w:val="18"/>
                <w:lang w:val="es-ES_tradnl"/>
              </w:rPr>
              <w:t xml:space="preserve">4.1 </w:t>
            </w:r>
            <w:r w:rsidR="00BE1885" w:rsidRPr="00940646">
              <w:rPr>
                <w:sz w:val="18"/>
                <w:szCs w:val="18"/>
                <w:lang w:val="es-MX"/>
              </w:rPr>
              <w:t>Reforma a la Ley Federal del Trabajo que incluya disposiciones que desconozcan el efecto legal de estipulaciones que impidan o limiten el goce y ejercicio de los derechos laborales, incluyendo seguridad social y menores salarios.</w:t>
            </w:r>
          </w:p>
        </w:tc>
        <w:tc>
          <w:tcPr>
            <w:tcW w:w="900" w:type="dxa"/>
          </w:tcPr>
          <w:p w14:paraId="6D7D18E1" w14:textId="77777777" w:rsidR="00733E6D" w:rsidRPr="00826BBF" w:rsidRDefault="00733E6D">
            <w:pPr>
              <w:pStyle w:val="TableParagraph"/>
              <w:rPr>
                <w:rFonts w:ascii="Times New Roman"/>
                <w:sz w:val="20"/>
                <w:lang w:val="es-ES_tradnl"/>
              </w:rPr>
            </w:pPr>
          </w:p>
          <w:p w14:paraId="7330727C" w14:textId="77777777" w:rsidR="00733E6D" w:rsidRPr="00826BBF" w:rsidRDefault="00733E6D">
            <w:pPr>
              <w:pStyle w:val="TableParagraph"/>
              <w:rPr>
                <w:rFonts w:ascii="Times New Roman"/>
                <w:sz w:val="21"/>
                <w:lang w:val="es-ES_tradnl"/>
              </w:rPr>
            </w:pPr>
          </w:p>
          <w:p w14:paraId="24A4FDE7" w14:textId="77777777" w:rsidR="00733E6D" w:rsidRPr="00826BBF" w:rsidRDefault="009E4D55">
            <w:pPr>
              <w:pStyle w:val="TableParagraph"/>
              <w:ind w:left="5"/>
              <w:jc w:val="center"/>
              <w:rPr>
                <w:sz w:val="18"/>
                <w:lang w:val="es-ES_tradnl"/>
              </w:rPr>
            </w:pPr>
            <w:r w:rsidRPr="00826BBF">
              <w:rPr>
                <w:w w:val="99"/>
                <w:sz w:val="18"/>
                <w:lang w:val="es-ES_tradnl"/>
              </w:rPr>
              <w:t>0</w:t>
            </w:r>
          </w:p>
        </w:tc>
        <w:tc>
          <w:tcPr>
            <w:tcW w:w="900" w:type="dxa"/>
          </w:tcPr>
          <w:p w14:paraId="68AD4E53" w14:textId="77777777" w:rsidR="00733E6D" w:rsidRPr="00826BBF" w:rsidRDefault="00733E6D">
            <w:pPr>
              <w:pStyle w:val="TableParagraph"/>
              <w:rPr>
                <w:rFonts w:ascii="Times New Roman"/>
                <w:sz w:val="20"/>
                <w:lang w:val="es-ES_tradnl"/>
              </w:rPr>
            </w:pPr>
          </w:p>
          <w:p w14:paraId="5BA2A3F6" w14:textId="77777777" w:rsidR="00733E6D" w:rsidRPr="00826BBF" w:rsidRDefault="00733E6D">
            <w:pPr>
              <w:pStyle w:val="TableParagraph"/>
              <w:rPr>
                <w:rFonts w:ascii="Times New Roman"/>
                <w:sz w:val="21"/>
                <w:lang w:val="es-ES_tradnl"/>
              </w:rPr>
            </w:pPr>
          </w:p>
          <w:p w14:paraId="0978FE18" w14:textId="77777777" w:rsidR="00733E6D" w:rsidRPr="00826BBF" w:rsidRDefault="009E4D55">
            <w:pPr>
              <w:pStyle w:val="TableParagraph"/>
              <w:ind w:left="5"/>
              <w:jc w:val="center"/>
              <w:rPr>
                <w:sz w:val="18"/>
                <w:lang w:val="es-ES_tradnl"/>
              </w:rPr>
            </w:pPr>
            <w:r w:rsidRPr="00826BBF">
              <w:rPr>
                <w:w w:val="99"/>
                <w:sz w:val="18"/>
                <w:lang w:val="es-ES_tradnl"/>
              </w:rPr>
              <w:t>1</w:t>
            </w:r>
          </w:p>
        </w:tc>
        <w:tc>
          <w:tcPr>
            <w:tcW w:w="6572" w:type="dxa"/>
          </w:tcPr>
          <w:p w14:paraId="227F664F" w14:textId="6BB8BC7C" w:rsidR="00733E6D" w:rsidRPr="00826BBF" w:rsidRDefault="008F0FE9">
            <w:pPr>
              <w:pStyle w:val="TableParagraph"/>
              <w:ind w:left="107" w:right="521"/>
              <w:rPr>
                <w:sz w:val="18"/>
                <w:lang w:val="es-ES_tradnl"/>
              </w:rPr>
            </w:pPr>
            <w:r w:rsidRPr="00940646">
              <w:rPr>
                <w:sz w:val="18"/>
                <w:szCs w:val="18"/>
                <w:lang w:val="es-MX"/>
              </w:rPr>
              <w:t>Publicación de la reforma a la Ley Federal del Trabajo en el Diario Oficial de la Federación (DOF)</w:t>
            </w:r>
            <w:r w:rsidR="00EF0491">
              <w:rPr>
                <w:sz w:val="18"/>
                <w:szCs w:val="18"/>
                <w:lang w:val="es-MX"/>
              </w:rPr>
              <w:t>.</w:t>
            </w:r>
          </w:p>
        </w:tc>
      </w:tr>
    </w:tbl>
    <w:p w14:paraId="5A388C32" w14:textId="77777777" w:rsidR="00733E6D" w:rsidRPr="00826BBF" w:rsidRDefault="00733E6D">
      <w:pPr>
        <w:rPr>
          <w:sz w:val="18"/>
          <w:lang w:val="es-ES_tradnl"/>
        </w:rPr>
        <w:sectPr w:rsidR="00733E6D" w:rsidRPr="00826BBF">
          <w:headerReference w:type="default" r:id="rId13"/>
          <w:pgSz w:w="15840" w:h="12240" w:orient="landscape"/>
          <w:pgMar w:top="1200" w:right="1040" w:bottom="280" w:left="1580" w:header="725" w:footer="0" w:gutter="0"/>
          <w:pgNumType w:start="5"/>
          <w:cols w:space="720"/>
        </w:sectPr>
      </w:pPr>
    </w:p>
    <w:p w14:paraId="46674889" w14:textId="77777777" w:rsidR="00733E6D" w:rsidRPr="00826BBF" w:rsidRDefault="00733E6D">
      <w:pPr>
        <w:pStyle w:val="BodyText"/>
        <w:spacing w:before="7" w:after="1"/>
        <w:rPr>
          <w:rFonts w:ascii="Times New Roman"/>
          <w:sz w:val="19"/>
          <w:lang w:val="es-ES_tradnl"/>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9"/>
        <w:gridCol w:w="900"/>
        <w:gridCol w:w="900"/>
        <w:gridCol w:w="6572"/>
      </w:tblGrid>
      <w:tr w:rsidR="00733E6D" w:rsidRPr="000C7F87" w14:paraId="275D74B4" w14:textId="77777777">
        <w:trPr>
          <w:trHeight w:val="582"/>
        </w:trPr>
        <w:tc>
          <w:tcPr>
            <w:tcW w:w="12981" w:type="dxa"/>
            <w:gridSpan w:val="4"/>
          </w:tcPr>
          <w:p w14:paraId="0356789B" w14:textId="77777777" w:rsidR="00733E6D" w:rsidRPr="00826BBF" w:rsidRDefault="009E4D55">
            <w:pPr>
              <w:pStyle w:val="TableParagraph"/>
              <w:spacing w:before="146"/>
              <w:ind w:left="3052"/>
              <w:rPr>
                <w:b/>
                <w:lang w:val="es-ES_tradnl"/>
              </w:rPr>
            </w:pPr>
            <w:r w:rsidRPr="00826BBF">
              <w:rPr>
                <w:b/>
                <w:lang w:val="es-ES_tradnl"/>
              </w:rPr>
              <w:t>Tabla II.A Resumen monitoreo de condiciones, primera operación</w:t>
            </w:r>
          </w:p>
        </w:tc>
      </w:tr>
      <w:tr w:rsidR="00733E6D" w:rsidRPr="00826BBF" w14:paraId="31776FE5" w14:textId="77777777">
        <w:trPr>
          <w:trHeight w:val="717"/>
        </w:trPr>
        <w:tc>
          <w:tcPr>
            <w:tcW w:w="4609" w:type="dxa"/>
            <w:shd w:val="clear" w:color="auto" w:fill="8DB3E1"/>
          </w:tcPr>
          <w:p w14:paraId="4752DF2D" w14:textId="77777777" w:rsidR="00733E6D" w:rsidRPr="00826BBF" w:rsidRDefault="00733E6D">
            <w:pPr>
              <w:pStyle w:val="TableParagraph"/>
              <w:spacing w:before="2"/>
              <w:rPr>
                <w:rFonts w:ascii="Times New Roman"/>
                <w:lang w:val="es-ES_tradnl"/>
              </w:rPr>
            </w:pPr>
          </w:p>
          <w:p w14:paraId="5148AD9E" w14:textId="77777777" w:rsidR="00733E6D" w:rsidRPr="00826BBF" w:rsidRDefault="009E4D55">
            <w:pPr>
              <w:pStyle w:val="TableParagraph"/>
              <w:ind w:left="1247"/>
              <w:rPr>
                <w:b/>
                <w:sz w:val="18"/>
                <w:lang w:val="es-ES_tradnl"/>
              </w:rPr>
            </w:pPr>
            <w:r w:rsidRPr="00826BBF">
              <w:rPr>
                <w:b/>
                <w:sz w:val="18"/>
                <w:lang w:val="es-ES_tradnl"/>
              </w:rPr>
              <w:t>Indicadores de Producto</w:t>
            </w:r>
          </w:p>
        </w:tc>
        <w:tc>
          <w:tcPr>
            <w:tcW w:w="900" w:type="dxa"/>
            <w:shd w:val="clear" w:color="auto" w:fill="8DB3E1"/>
          </w:tcPr>
          <w:p w14:paraId="6C39724B" w14:textId="77777777" w:rsidR="00733E6D" w:rsidRPr="00826BBF" w:rsidRDefault="00733E6D">
            <w:pPr>
              <w:pStyle w:val="TableParagraph"/>
              <w:spacing w:before="8"/>
              <w:rPr>
                <w:rFonts w:ascii="Times New Roman"/>
                <w:sz w:val="20"/>
                <w:lang w:val="es-ES_tradnl"/>
              </w:rPr>
            </w:pPr>
          </w:p>
          <w:p w14:paraId="72E296A9" w14:textId="77777777" w:rsidR="00733E6D" w:rsidRPr="00826BBF" w:rsidRDefault="009E4D55">
            <w:pPr>
              <w:pStyle w:val="TableParagraph"/>
              <w:spacing w:before="1"/>
              <w:ind w:left="214" w:right="204"/>
              <w:jc w:val="center"/>
              <w:rPr>
                <w:b/>
                <w:sz w:val="18"/>
                <w:lang w:val="es-ES_tradnl"/>
              </w:rPr>
            </w:pPr>
            <w:r w:rsidRPr="00826BBF">
              <w:rPr>
                <w:b/>
                <w:sz w:val="18"/>
                <w:lang w:val="es-ES_tradnl"/>
              </w:rPr>
              <w:t>Base</w:t>
            </w:r>
          </w:p>
        </w:tc>
        <w:tc>
          <w:tcPr>
            <w:tcW w:w="900" w:type="dxa"/>
            <w:shd w:val="clear" w:color="auto" w:fill="8DB3E1"/>
          </w:tcPr>
          <w:p w14:paraId="79BAD57D" w14:textId="77777777" w:rsidR="00733E6D" w:rsidRPr="00826BBF" w:rsidRDefault="009E4D55">
            <w:pPr>
              <w:pStyle w:val="TableParagraph"/>
              <w:spacing w:before="121" w:line="276" w:lineRule="auto"/>
              <w:ind w:left="188" w:right="161" w:firstLine="52"/>
              <w:rPr>
                <w:b/>
                <w:sz w:val="18"/>
                <w:lang w:val="es-ES_tradnl"/>
              </w:rPr>
            </w:pPr>
            <w:r w:rsidRPr="00826BBF">
              <w:rPr>
                <w:b/>
                <w:sz w:val="18"/>
                <w:lang w:val="es-ES_tradnl"/>
              </w:rPr>
              <w:t>Meta (2020)</w:t>
            </w:r>
          </w:p>
        </w:tc>
        <w:tc>
          <w:tcPr>
            <w:tcW w:w="6572" w:type="dxa"/>
            <w:shd w:val="clear" w:color="auto" w:fill="8DB3E1"/>
          </w:tcPr>
          <w:p w14:paraId="0F9D259B" w14:textId="77777777" w:rsidR="00733E6D" w:rsidRPr="00826BBF" w:rsidRDefault="00733E6D">
            <w:pPr>
              <w:pStyle w:val="TableParagraph"/>
              <w:spacing w:before="8"/>
              <w:rPr>
                <w:rFonts w:ascii="Times New Roman"/>
                <w:sz w:val="20"/>
                <w:lang w:val="es-ES_tradnl"/>
              </w:rPr>
            </w:pPr>
          </w:p>
          <w:p w14:paraId="1AB87544" w14:textId="77777777" w:rsidR="00733E6D" w:rsidRPr="00826BBF" w:rsidRDefault="009E4D55">
            <w:pPr>
              <w:pStyle w:val="TableParagraph"/>
              <w:spacing w:before="1"/>
              <w:ind w:left="1598"/>
              <w:rPr>
                <w:b/>
                <w:sz w:val="18"/>
                <w:lang w:val="es-ES_tradnl"/>
              </w:rPr>
            </w:pPr>
            <w:r w:rsidRPr="00826BBF">
              <w:rPr>
                <w:b/>
                <w:sz w:val="18"/>
                <w:lang w:val="es-ES_tradnl"/>
              </w:rPr>
              <w:t>Observaciones / Medios de verificación</w:t>
            </w:r>
          </w:p>
        </w:tc>
      </w:tr>
      <w:tr w:rsidR="00733E6D" w:rsidRPr="000C7F87" w14:paraId="28FB33ED" w14:textId="77777777" w:rsidTr="00FA4A91">
        <w:trPr>
          <w:trHeight w:val="914"/>
        </w:trPr>
        <w:tc>
          <w:tcPr>
            <w:tcW w:w="4609" w:type="dxa"/>
          </w:tcPr>
          <w:p w14:paraId="4E0C74E3" w14:textId="6E6F6BF5" w:rsidR="00733E6D" w:rsidRPr="00826BBF" w:rsidRDefault="009E4D55">
            <w:pPr>
              <w:pStyle w:val="TableParagraph"/>
              <w:spacing w:line="278" w:lineRule="auto"/>
              <w:ind w:left="107" w:right="189"/>
              <w:rPr>
                <w:sz w:val="18"/>
                <w:lang w:val="es-ES_tradnl"/>
              </w:rPr>
            </w:pPr>
            <w:r w:rsidRPr="00826BBF">
              <w:rPr>
                <w:sz w:val="18"/>
                <w:lang w:val="es-ES_tradnl"/>
              </w:rPr>
              <w:t>4.2</w:t>
            </w:r>
            <w:r w:rsidR="00F40629" w:rsidRPr="00006103">
              <w:rPr>
                <w:sz w:val="18"/>
                <w:szCs w:val="18"/>
                <w:lang w:val="es-MX"/>
              </w:rPr>
              <w:t xml:space="preserve"> Reforma a la Ley Federal del Trabajo que regule el trabajo del hogar</w:t>
            </w:r>
            <w:r w:rsidR="00EF0491">
              <w:rPr>
                <w:sz w:val="18"/>
                <w:szCs w:val="18"/>
                <w:lang w:val="es-MX"/>
              </w:rPr>
              <w:t>.</w:t>
            </w:r>
          </w:p>
        </w:tc>
        <w:tc>
          <w:tcPr>
            <w:tcW w:w="900" w:type="dxa"/>
          </w:tcPr>
          <w:p w14:paraId="7918F27E" w14:textId="77777777" w:rsidR="00733E6D" w:rsidRPr="00826BBF" w:rsidRDefault="009E4D55" w:rsidP="00FA4A91">
            <w:pPr>
              <w:pStyle w:val="TableParagraph"/>
              <w:spacing w:before="124"/>
              <w:ind w:left="5"/>
              <w:jc w:val="center"/>
              <w:rPr>
                <w:sz w:val="18"/>
                <w:lang w:val="es-ES_tradnl"/>
              </w:rPr>
            </w:pPr>
            <w:r w:rsidRPr="00826BBF">
              <w:rPr>
                <w:w w:val="99"/>
                <w:sz w:val="18"/>
                <w:lang w:val="es-ES_tradnl"/>
              </w:rPr>
              <w:t>0</w:t>
            </w:r>
          </w:p>
        </w:tc>
        <w:tc>
          <w:tcPr>
            <w:tcW w:w="900" w:type="dxa"/>
          </w:tcPr>
          <w:p w14:paraId="3B95C85D" w14:textId="77777777" w:rsidR="00733E6D" w:rsidRPr="00826BBF" w:rsidRDefault="009E4D55" w:rsidP="00FA4A91">
            <w:pPr>
              <w:pStyle w:val="TableParagraph"/>
              <w:spacing w:before="124"/>
              <w:ind w:left="5"/>
              <w:jc w:val="center"/>
              <w:rPr>
                <w:sz w:val="18"/>
                <w:lang w:val="es-ES_tradnl"/>
              </w:rPr>
            </w:pPr>
            <w:r w:rsidRPr="00826BBF">
              <w:rPr>
                <w:w w:val="99"/>
                <w:sz w:val="18"/>
                <w:lang w:val="es-ES_tradnl"/>
              </w:rPr>
              <w:t>1</w:t>
            </w:r>
          </w:p>
        </w:tc>
        <w:tc>
          <w:tcPr>
            <w:tcW w:w="6572" w:type="dxa"/>
          </w:tcPr>
          <w:p w14:paraId="004317F8" w14:textId="2AECFDAD" w:rsidR="00733E6D" w:rsidRPr="00826BBF" w:rsidRDefault="00086B40">
            <w:pPr>
              <w:pStyle w:val="TableParagraph"/>
              <w:spacing w:line="242" w:lineRule="auto"/>
              <w:ind w:left="107" w:right="221"/>
              <w:rPr>
                <w:sz w:val="18"/>
                <w:lang w:val="es-ES_tradnl"/>
              </w:rPr>
            </w:pPr>
            <w:r w:rsidRPr="00006103">
              <w:rPr>
                <w:sz w:val="18"/>
                <w:szCs w:val="18"/>
                <w:lang w:val="es-MX"/>
              </w:rPr>
              <w:t>Publicación de la reforma a la Ley Federal del Trabajo en el Diario Oficial de la Federación (DOF).</w:t>
            </w:r>
          </w:p>
        </w:tc>
      </w:tr>
      <w:tr w:rsidR="00733E6D" w:rsidRPr="00826BBF" w14:paraId="06E72C31" w14:textId="77777777" w:rsidTr="00FA4A91">
        <w:trPr>
          <w:trHeight w:val="981"/>
        </w:trPr>
        <w:tc>
          <w:tcPr>
            <w:tcW w:w="4609" w:type="dxa"/>
          </w:tcPr>
          <w:p w14:paraId="4803D2BB" w14:textId="6E568267" w:rsidR="00733E6D" w:rsidRPr="003E5CCB" w:rsidRDefault="009E4D55">
            <w:pPr>
              <w:pStyle w:val="TableParagraph"/>
              <w:ind w:left="107" w:right="129"/>
              <w:rPr>
                <w:sz w:val="18"/>
                <w:lang w:val="es-MX"/>
              </w:rPr>
            </w:pPr>
            <w:r w:rsidRPr="00826BBF">
              <w:rPr>
                <w:sz w:val="18"/>
                <w:lang w:val="es-ES_tradnl"/>
              </w:rPr>
              <w:t xml:space="preserve">4.3 </w:t>
            </w:r>
            <w:r w:rsidR="003E5CCB" w:rsidRPr="003E5CCB">
              <w:rPr>
                <w:sz w:val="18"/>
                <w:szCs w:val="18"/>
                <w:lang w:val="es-MX"/>
              </w:rPr>
              <w:t>Acuerdo que define el mecanismo para reducir las comisiones de las Administradoras de Fondos para el Retiro (AFORE) a niveles competitivos internacionalmente en el periodo 2020 a 2024</w:t>
            </w:r>
          </w:p>
        </w:tc>
        <w:tc>
          <w:tcPr>
            <w:tcW w:w="900" w:type="dxa"/>
          </w:tcPr>
          <w:p w14:paraId="1549E10D" w14:textId="77777777" w:rsidR="00733E6D" w:rsidRPr="00826BBF" w:rsidRDefault="009E4D55" w:rsidP="00FA4A91">
            <w:pPr>
              <w:pStyle w:val="TableParagraph"/>
              <w:spacing w:before="155"/>
              <w:ind w:left="5"/>
              <w:jc w:val="center"/>
              <w:rPr>
                <w:sz w:val="18"/>
                <w:lang w:val="es-ES_tradnl"/>
              </w:rPr>
            </w:pPr>
            <w:r w:rsidRPr="00826BBF">
              <w:rPr>
                <w:w w:val="99"/>
                <w:sz w:val="18"/>
                <w:lang w:val="es-ES_tradnl"/>
              </w:rPr>
              <w:t>0</w:t>
            </w:r>
          </w:p>
        </w:tc>
        <w:tc>
          <w:tcPr>
            <w:tcW w:w="900" w:type="dxa"/>
          </w:tcPr>
          <w:p w14:paraId="412E7EE7" w14:textId="77777777" w:rsidR="00733E6D" w:rsidRPr="00826BBF" w:rsidRDefault="009E4D55" w:rsidP="00FA4A91">
            <w:pPr>
              <w:pStyle w:val="TableParagraph"/>
              <w:spacing w:before="155"/>
              <w:ind w:left="5"/>
              <w:jc w:val="center"/>
              <w:rPr>
                <w:sz w:val="18"/>
                <w:lang w:val="es-ES_tradnl"/>
              </w:rPr>
            </w:pPr>
            <w:r w:rsidRPr="00826BBF">
              <w:rPr>
                <w:w w:val="99"/>
                <w:sz w:val="18"/>
                <w:lang w:val="es-ES_tradnl"/>
              </w:rPr>
              <w:t>1</w:t>
            </w:r>
          </w:p>
        </w:tc>
        <w:tc>
          <w:tcPr>
            <w:tcW w:w="6572" w:type="dxa"/>
          </w:tcPr>
          <w:p w14:paraId="2FC72BC7" w14:textId="77777777" w:rsidR="00733E6D" w:rsidRPr="00826BBF" w:rsidRDefault="009E4D55">
            <w:pPr>
              <w:pStyle w:val="TableParagraph"/>
              <w:ind w:left="107" w:right="201"/>
              <w:rPr>
                <w:sz w:val="18"/>
                <w:lang w:val="es-ES_tradnl"/>
              </w:rPr>
            </w:pPr>
            <w:r w:rsidRPr="00826BBF">
              <w:rPr>
                <w:sz w:val="18"/>
                <w:lang w:val="es-ES_tradnl"/>
              </w:rPr>
              <w:t>Los niveles de comisiones por administración de pensiones en México son los más altos de América Latina. Con esta reforma se pretende reducir estas diferencias que redunden en mejores pensiones para los trabajadores al momento de su retiro. Medio de verificación: Acuerdo publicado en el DOF.</w:t>
            </w:r>
          </w:p>
        </w:tc>
      </w:tr>
    </w:tbl>
    <w:p w14:paraId="6D96FE6F" w14:textId="77777777" w:rsidR="00733E6D" w:rsidRPr="00826BBF" w:rsidRDefault="00733E6D">
      <w:pPr>
        <w:rPr>
          <w:sz w:val="18"/>
          <w:lang w:val="es-ES_tradnl"/>
        </w:rPr>
        <w:sectPr w:rsidR="00733E6D" w:rsidRPr="00826BBF">
          <w:pgSz w:w="15840" w:h="12240" w:orient="landscape"/>
          <w:pgMar w:top="1200" w:right="1040" w:bottom="280" w:left="1580" w:header="725" w:footer="0" w:gutter="0"/>
          <w:cols w:space="720"/>
        </w:sectPr>
      </w:pPr>
    </w:p>
    <w:sdt>
      <w:sdtPr>
        <w:id w:val="46041318"/>
        <w:docPartObj>
          <w:docPartGallery w:val="Page Numbers (Top of Page)"/>
          <w:docPartUnique/>
        </w:docPartObj>
      </w:sdtPr>
      <w:sdtEndPr/>
      <w:sdtContent>
        <w:p w14:paraId="26CC7B47" w14:textId="77777777" w:rsidR="00006103" w:rsidRPr="00F949E9" w:rsidRDefault="00006103" w:rsidP="00006103">
          <w:pPr>
            <w:pStyle w:val="Header"/>
            <w:jc w:val="right"/>
            <w:rPr>
              <w:lang w:val="es-ES_tradnl"/>
            </w:rPr>
          </w:pPr>
          <w:r w:rsidRPr="00F949E9">
            <w:rPr>
              <w:lang w:val="es-ES_tradnl"/>
            </w:rPr>
            <w:t>EER#3 ME-L</w:t>
          </w:r>
          <w:r>
            <w:rPr>
              <w:lang w:val="es-ES_tradnl"/>
            </w:rPr>
            <w:t>1289</w:t>
          </w:r>
        </w:p>
        <w:p w14:paraId="0DA2133C" w14:textId="6EBBA0B3" w:rsidR="00006103" w:rsidRPr="00F949E9" w:rsidRDefault="00006103" w:rsidP="00006103">
          <w:pPr>
            <w:pStyle w:val="Header"/>
            <w:jc w:val="right"/>
            <w:rPr>
              <w:lang w:val="es-ES_tradnl"/>
            </w:rPr>
          </w:pPr>
          <w:r w:rsidRPr="00F949E9">
            <w:rPr>
              <w:lang w:val="es-ES_tradnl"/>
            </w:rPr>
            <w:t xml:space="preserve">Página </w:t>
          </w:r>
          <w:r>
            <w:rPr>
              <w:b/>
              <w:bCs/>
              <w:sz w:val="24"/>
              <w:szCs w:val="24"/>
            </w:rPr>
            <w:t>7</w:t>
          </w:r>
          <w:r w:rsidRPr="00F949E9">
            <w:rPr>
              <w:lang w:val="es-ES_tradnl"/>
            </w:rPr>
            <w:t xml:space="preserve"> de </w:t>
          </w:r>
          <w:r>
            <w:rPr>
              <w:b/>
              <w:bCs/>
              <w:sz w:val="24"/>
              <w:szCs w:val="24"/>
            </w:rPr>
            <w:fldChar w:fldCharType="begin"/>
          </w:r>
          <w:r w:rsidRPr="00F949E9">
            <w:rPr>
              <w:b/>
              <w:bCs/>
              <w:lang w:val="es-ES_tradnl"/>
            </w:rPr>
            <w:instrText xml:space="preserve"> NUMPAGES  </w:instrText>
          </w:r>
          <w:r>
            <w:rPr>
              <w:b/>
              <w:bCs/>
              <w:sz w:val="24"/>
              <w:szCs w:val="24"/>
            </w:rPr>
            <w:fldChar w:fldCharType="separate"/>
          </w:r>
          <w:r>
            <w:rPr>
              <w:b/>
              <w:bCs/>
              <w:sz w:val="24"/>
              <w:szCs w:val="24"/>
            </w:rPr>
            <w:t>16</w:t>
          </w:r>
          <w:r>
            <w:rPr>
              <w:b/>
              <w:bCs/>
              <w:sz w:val="24"/>
              <w:szCs w:val="24"/>
            </w:rPr>
            <w:fldChar w:fldCharType="end"/>
          </w:r>
        </w:p>
      </w:sdtContent>
    </w:sdt>
    <w:p w14:paraId="4627E00F" w14:textId="047EF6D8" w:rsidR="00733E6D" w:rsidRPr="00826BBF" w:rsidRDefault="00006103">
      <w:pPr>
        <w:pStyle w:val="BodyText"/>
        <w:spacing w:before="8"/>
        <w:rPr>
          <w:sz w:val="26"/>
          <w:lang w:val="es-ES_tradnl"/>
        </w:rPr>
      </w:pPr>
      <w:r w:rsidRPr="00826BBF" w:rsidDel="00006103">
        <w:rPr>
          <w:sz w:val="18"/>
          <w:lang w:val="es-ES_tradnl"/>
        </w:rPr>
        <w:t xml:space="preserve"> </w:t>
      </w:r>
    </w:p>
    <w:p w14:paraId="02CB8B20" w14:textId="77777777" w:rsidR="00733E6D" w:rsidRPr="00826BBF" w:rsidRDefault="009E4D55">
      <w:pPr>
        <w:pStyle w:val="Heading1"/>
        <w:spacing w:line="253" w:lineRule="exact"/>
        <w:ind w:left="1601" w:right="1561"/>
        <w:rPr>
          <w:lang w:val="es-ES_tradnl"/>
        </w:rPr>
      </w:pPr>
      <w:r w:rsidRPr="00826BBF">
        <w:rPr>
          <w:lang w:val="es-ES_tradnl"/>
        </w:rPr>
        <w:t>Tabla II.B</w:t>
      </w:r>
    </w:p>
    <w:p w14:paraId="55A4FEC6" w14:textId="77777777" w:rsidR="00733E6D" w:rsidRPr="00826BBF" w:rsidRDefault="009E4D55">
      <w:pPr>
        <w:spacing w:after="40" w:line="253" w:lineRule="exact"/>
        <w:ind w:left="1604" w:right="1561"/>
        <w:jc w:val="center"/>
        <w:rPr>
          <w:b/>
          <w:lang w:val="es-ES_tradnl"/>
        </w:rPr>
      </w:pPr>
      <w:r w:rsidRPr="00826BBF">
        <w:rPr>
          <w:b/>
          <w:lang w:val="es-ES_tradnl"/>
        </w:rPr>
        <w:t>Plan de Trabajo y Costo del Seguimiento del Programa</w:t>
      </w:r>
    </w:p>
    <w:tbl>
      <w:tblPr>
        <w:tblW w:w="9531"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1"/>
        <w:gridCol w:w="387"/>
        <w:gridCol w:w="435"/>
        <w:gridCol w:w="361"/>
        <w:gridCol w:w="1494"/>
        <w:gridCol w:w="747"/>
        <w:gridCol w:w="2426"/>
      </w:tblGrid>
      <w:tr w:rsidR="00675B84" w:rsidRPr="00826BBF" w14:paraId="1CBD7049" w14:textId="77777777" w:rsidTr="00123E7C">
        <w:trPr>
          <w:trHeight w:val="875"/>
        </w:trPr>
        <w:tc>
          <w:tcPr>
            <w:tcW w:w="3681" w:type="dxa"/>
            <w:vMerge w:val="restart"/>
            <w:shd w:val="clear" w:color="auto" w:fill="548DD4" w:themeFill="text2" w:themeFillTint="99"/>
            <w:vAlign w:val="center"/>
          </w:tcPr>
          <w:p w14:paraId="3179CC3B" w14:textId="77777777" w:rsidR="00675B84" w:rsidRPr="00826BBF" w:rsidRDefault="00675B84" w:rsidP="00675B84">
            <w:pPr>
              <w:pStyle w:val="TableParagraph"/>
              <w:spacing w:before="1"/>
              <w:ind w:left="1126" w:right="1125"/>
              <w:jc w:val="center"/>
              <w:rPr>
                <w:b/>
                <w:sz w:val="18"/>
                <w:lang w:val="es-ES_tradnl"/>
              </w:rPr>
            </w:pPr>
            <w:r w:rsidRPr="00826BBF">
              <w:rPr>
                <w:b/>
                <w:sz w:val="18"/>
                <w:lang w:val="es-ES_tradnl"/>
              </w:rPr>
              <w:t>Actividades</w:t>
            </w:r>
          </w:p>
        </w:tc>
        <w:tc>
          <w:tcPr>
            <w:tcW w:w="1183" w:type="dxa"/>
            <w:gridSpan w:val="3"/>
            <w:shd w:val="clear" w:color="auto" w:fill="548DD4" w:themeFill="text2" w:themeFillTint="99"/>
            <w:vAlign w:val="center"/>
          </w:tcPr>
          <w:p w14:paraId="19840076" w14:textId="77777777" w:rsidR="00675B84" w:rsidRPr="00826BBF" w:rsidRDefault="00675B84" w:rsidP="00675B84">
            <w:pPr>
              <w:pStyle w:val="TableParagraph"/>
              <w:ind w:left="112"/>
              <w:jc w:val="center"/>
              <w:rPr>
                <w:b/>
                <w:sz w:val="18"/>
                <w:lang w:val="es-ES_tradnl"/>
              </w:rPr>
            </w:pPr>
            <w:r w:rsidRPr="00826BBF">
              <w:rPr>
                <w:b/>
                <w:sz w:val="18"/>
                <w:lang w:val="es-ES_tradnl"/>
              </w:rPr>
              <w:t>2023 / 2024</w:t>
            </w:r>
          </w:p>
        </w:tc>
        <w:tc>
          <w:tcPr>
            <w:tcW w:w="1494" w:type="dxa"/>
            <w:vMerge w:val="restart"/>
            <w:shd w:val="clear" w:color="auto" w:fill="548DD4" w:themeFill="text2" w:themeFillTint="99"/>
            <w:vAlign w:val="center"/>
          </w:tcPr>
          <w:p w14:paraId="05B2671F" w14:textId="77777777" w:rsidR="00675B84" w:rsidRPr="00826BBF" w:rsidRDefault="00675B84" w:rsidP="00675B84">
            <w:pPr>
              <w:pStyle w:val="TableParagraph"/>
              <w:spacing w:before="1"/>
              <w:ind w:left="182"/>
              <w:jc w:val="center"/>
              <w:rPr>
                <w:b/>
                <w:sz w:val="18"/>
                <w:lang w:val="es-ES_tradnl"/>
              </w:rPr>
            </w:pPr>
            <w:r w:rsidRPr="00826BBF">
              <w:rPr>
                <w:b/>
                <w:sz w:val="18"/>
                <w:lang w:val="es-ES_tradnl"/>
              </w:rPr>
              <w:t>Responsable</w:t>
            </w:r>
          </w:p>
        </w:tc>
        <w:tc>
          <w:tcPr>
            <w:tcW w:w="747" w:type="dxa"/>
            <w:vMerge w:val="restart"/>
            <w:shd w:val="clear" w:color="auto" w:fill="548DD4" w:themeFill="text2" w:themeFillTint="99"/>
            <w:vAlign w:val="center"/>
          </w:tcPr>
          <w:p w14:paraId="2ED4A955" w14:textId="42414563" w:rsidR="00675B84" w:rsidRPr="00826BBF" w:rsidRDefault="00675B84" w:rsidP="00675B84">
            <w:pPr>
              <w:pStyle w:val="TableParagraph"/>
              <w:ind w:left="138"/>
              <w:jc w:val="center"/>
              <w:rPr>
                <w:b/>
                <w:sz w:val="18"/>
                <w:lang w:val="es-ES_tradnl"/>
              </w:rPr>
            </w:pPr>
            <w:r w:rsidRPr="00826BBF">
              <w:rPr>
                <w:b/>
                <w:sz w:val="18"/>
                <w:lang w:val="es-ES_tradnl"/>
              </w:rPr>
              <w:t>Costo</w:t>
            </w:r>
            <w:r w:rsidR="0073507B">
              <w:rPr>
                <w:b/>
                <w:sz w:val="18"/>
                <w:lang w:val="es-ES_tradnl"/>
              </w:rPr>
              <w:t xml:space="preserve"> </w:t>
            </w:r>
            <w:r w:rsidRPr="00826BBF">
              <w:rPr>
                <w:b/>
                <w:sz w:val="18"/>
                <w:lang w:val="es-ES_tradnl"/>
              </w:rPr>
              <w:t>(US$)</w:t>
            </w:r>
          </w:p>
        </w:tc>
        <w:tc>
          <w:tcPr>
            <w:tcW w:w="2426" w:type="dxa"/>
            <w:vMerge w:val="restart"/>
            <w:shd w:val="clear" w:color="auto" w:fill="548DD4" w:themeFill="text2" w:themeFillTint="99"/>
            <w:vAlign w:val="center"/>
          </w:tcPr>
          <w:p w14:paraId="2F70FD98" w14:textId="77777777" w:rsidR="00675B84" w:rsidRPr="00826BBF" w:rsidRDefault="00675B84" w:rsidP="00675B84">
            <w:pPr>
              <w:pStyle w:val="TableParagraph"/>
              <w:spacing w:before="97" w:line="280" w:lineRule="auto"/>
              <w:ind w:left="248" w:right="202" w:firstLine="235"/>
              <w:jc w:val="center"/>
              <w:rPr>
                <w:b/>
                <w:sz w:val="18"/>
                <w:lang w:val="es-ES_tradnl"/>
              </w:rPr>
            </w:pPr>
            <w:r w:rsidRPr="00826BBF">
              <w:rPr>
                <w:b/>
                <w:sz w:val="18"/>
                <w:lang w:val="es-ES_tradnl"/>
              </w:rPr>
              <w:t>Fuente de Financiamiento</w:t>
            </w:r>
          </w:p>
        </w:tc>
      </w:tr>
      <w:tr w:rsidR="00675B84" w:rsidRPr="00826BBF" w14:paraId="011D7569" w14:textId="77777777" w:rsidTr="00123E7C">
        <w:trPr>
          <w:trHeight w:val="558"/>
        </w:trPr>
        <w:tc>
          <w:tcPr>
            <w:tcW w:w="3681" w:type="dxa"/>
            <w:vMerge/>
            <w:tcBorders>
              <w:top w:val="nil"/>
            </w:tcBorders>
            <w:shd w:val="clear" w:color="auto" w:fill="548DD4" w:themeFill="text2" w:themeFillTint="99"/>
          </w:tcPr>
          <w:p w14:paraId="2A895F9C" w14:textId="77777777" w:rsidR="00675B84" w:rsidRPr="00826BBF" w:rsidRDefault="00675B84">
            <w:pPr>
              <w:rPr>
                <w:sz w:val="2"/>
                <w:szCs w:val="2"/>
                <w:lang w:val="es-ES_tradnl"/>
              </w:rPr>
            </w:pPr>
          </w:p>
        </w:tc>
        <w:tc>
          <w:tcPr>
            <w:tcW w:w="387" w:type="dxa"/>
            <w:shd w:val="clear" w:color="auto" w:fill="548DD4" w:themeFill="text2" w:themeFillTint="99"/>
          </w:tcPr>
          <w:p w14:paraId="7325BB43" w14:textId="77777777" w:rsidR="00675B84" w:rsidRPr="00B50F16" w:rsidRDefault="00675B84">
            <w:pPr>
              <w:pStyle w:val="TableParagraph"/>
              <w:spacing w:before="61"/>
              <w:ind w:left="104"/>
              <w:rPr>
                <w:b/>
                <w:bCs/>
                <w:sz w:val="18"/>
                <w:lang w:val="es-ES_tradnl"/>
              </w:rPr>
            </w:pPr>
            <w:r w:rsidRPr="00B50F16">
              <w:rPr>
                <w:b/>
                <w:bCs/>
                <w:sz w:val="18"/>
                <w:lang w:val="es-ES_tradnl"/>
              </w:rPr>
              <w:t>III</w:t>
            </w:r>
          </w:p>
        </w:tc>
        <w:tc>
          <w:tcPr>
            <w:tcW w:w="435" w:type="dxa"/>
            <w:shd w:val="clear" w:color="auto" w:fill="548DD4" w:themeFill="text2" w:themeFillTint="99"/>
          </w:tcPr>
          <w:p w14:paraId="098DE025" w14:textId="77777777" w:rsidR="00675B84" w:rsidRPr="00B50F16" w:rsidRDefault="00675B84">
            <w:pPr>
              <w:pStyle w:val="TableParagraph"/>
              <w:spacing w:before="61"/>
              <w:ind w:left="107"/>
              <w:rPr>
                <w:b/>
                <w:bCs/>
                <w:sz w:val="18"/>
                <w:lang w:val="es-ES_tradnl"/>
              </w:rPr>
            </w:pPr>
            <w:r w:rsidRPr="00B50F16">
              <w:rPr>
                <w:b/>
                <w:bCs/>
                <w:sz w:val="18"/>
                <w:lang w:val="es-ES_tradnl"/>
              </w:rPr>
              <w:t>IV</w:t>
            </w:r>
          </w:p>
        </w:tc>
        <w:tc>
          <w:tcPr>
            <w:tcW w:w="361" w:type="dxa"/>
            <w:shd w:val="clear" w:color="auto" w:fill="548DD4" w:themeFill="text2" w:themeFillTint="99"/>
          </w:tcPr>
          <w:p w14:paraId="22DCA703" w14:textId="77777777" w:rsidR="00675B84" w:rsidRPr="00B50F16" w:rsidRDefault="00675B84">
            <w:pPr>
              <w:pStyle w:val="TableParagraph"/>
              <w:spacing w:before="61"/>
              <w:ind w:left="106"/>
              <w:rPr>
                <w:b/>
                <w:bCs/>
                <w:sz w:val="18"/>
                <w:lang w:val="es-ES_tradnl"/>
              </w:rPr>
            </w:pPr>
            <w:r w:rsidRPr="00B50F16">
              <w:rPr>
                <w:b/>
                <w:bCs/>
                <w:sz w:val="18"/>
                <w:lang w:val="es-ES_tradnl"/>
              </w:rPr>
              <w:t>I</w:t>
            </w:r>
          </w:p>
        </w:tc>
        <w:tc>
          <w:tcPr>
            <w:tcW w:w="1494" w:type="dxa"/>
            <w:vMerge/>
            <w:tcBorders>
              <w:top w:val="nil"/>
            </w:tcBorders>
            <w:shd w:val="clear" w:color="auto" w:fill="548DD4" w:themeFill="text2" w:themeFillTint="99"/>
          </w:tcPr>
          <w:p w14:paraId="05FFE114" w14:textId="77777777" w:rsidR="00675B84" w:rsidRPr="00826BBF" w:rsidRDefault="00675B84">
            <w:pPr>
              <w:rPr>
                <w:sz w:val="2"/>
                <w:szCs w:val="2"/>
                <w:lang w:val="es-ES_tradnl"/>
              </w:rPr>
            </w:pPr>
          </w:p>
        </w:tc>
        <w:tc>
          <w:tcPr>
            <w:tcW w:w="747" w:type="dxa"/>
            <w:vMerge/>
            <w:shd w:val="clear" w:color="auto" w:fill="548DD4" w:themeFill="text2" w:themeFillTint="99"/>
          </w:tcPr>
          <w:p w14:paraId="446A7E94" w14:textId="77777777" w:rsidR="00675B84" w:rsidRPr="00826BBF" w:rsidRDefault="00675B84">
            <w:pPr>
              <w:pStyle w:val="TableParagraph"/>
              <w:rPr>
                <w:rFonts w:ascii="Times New Roman"/>
                <w:sz w:val="18"/>
                <w:lang w:val="es-ES_tradnl"/>
              </w:rPr>
            </w:pPr>
          </w:p>
        </w:tc>
        <w:tc>
          <w:tcPr>
            <w:tcW w:w="2426" w:type="dxa"/>
            <w:vMerge/>
            <w:shd w:val="clear" w:color="auto" w:fill="548DD4" w:themeFill="text2" w:themeFillTint="99"/>
          </w:tcPr>
          <w:p w14:paraId="4486C417" w14:textId="77777777" w:rsidR="00675B84" w:rsidRPr="00826BBF" w:rsidRDefault="00675B84">
            <w:pPr>
              <w:pStyle w:val="TableParagraph"/>
              <w:rPr>
                <w:rFonts w:ascii="Times New Roman"/>
                <w:sz w:val="18"/>
                <w:lang w:val="es-ES_tradnl"/>
              </w:rPr>
            </w:pPr>
          </w:p>
        </w:tc>
      </w:tr>
      <w:tr w:rsidR="00733E6D" w:rsidRPr="000C7F87" w14:paraId="2447B7B6" w14:textId="77777777" w:rsidTr="00123E7C">
        <w:tc>
          <w:tcPr>
            <w:tcW w:w="3681" w:type="dxa"/>
          </w:tcPr>
          <w:p w14:paraId="622DE275" w14:textId="77777777" w:rsidR="00733E6D" w:rsidRPr="00826BBF" w:rsidRDefault="009E4D55" w:rsidP="00B50F16">
            <w:pPr>
              <w:pStyle w:val="TableParagraph"/>
              <w:spacing w:before="40" w:after="40" w:line="278" w:lineRule="auto"/>
              <w:ind w:left="105" w:right="736"/>
              <w:rPr>
                <w:sz w:val="18"/>
                <w:lang w:val="es-ES_tradnl"/>
              </w:rPr>
            </w:pPr>
            <w:r w:rsidRPr="00826BBF">
              <w:rPr>
                <w:sz w:val="18"/>
                <w:lang w:val="es-ES_tradnl"/>
              </w:rPr>
              <w:t>Misión(es) de coordinación y monitoreo cumplimiento de los compromisos</w:t>
            </w:r>
          </w:p>
        </w:tc>
        <w:tc>
          <w:tcPr>
            <w:tcW w:w="387" w:type="dxa"/>
            <w:shd w:val="clear" w:color="auto" w:fill="00AF50"/>
          </w:tcPr>
          <w:p w14:paraId="15558DE1" w14:textId="77777777" w:rsidR="00733E6D" w:rsidRPr="00826BBF" w:rsidRDefault="00733E6D" w:rsidP="00B50F16">
            <w:pPr>
              <w:pStyle w:val="TableParagraph"/>
              <w:spacing w:before="40" w:after="40"/>
              <w:rPr>
                <w:rFonts w:ascii="Times New Roman"/>
                <w:sz w:val="18"/>
                <w:lang w:val="es-ES_tradnl"/>
              </w:rPr>
            </w:pPr>
          </w:p>
        </w:tc>
        <w:tc>
          <w:tcPr>
            <w:tcW w:w="435" w:type="dxa"/>
          </w:tcPr>
          <w:p w14:paraId="0E30BAD9" w14:textId="77777777" w:rsidR="00733E6D" w:rsidRPr="00826BBF" w:rsidRDefault="00733E6D" w:rsidP="00B50F16">
            <w:pPr>
              <w:pStyle w:val="TableParagraph"/>
              <w:spacing w:before="40" w:after="40"/>
              <w:rPr>
                <w:rFonts w:ascii="Times New Roman"/>
                <w:sz w:val="18"/>
                <w:lang w:val="es-ES_tradnl"/>
              </w:rPr>
            </w:pPr>
          </w:p>
        </w:tc>
        <w:tc>
          <w:tcPr>
            <w:tcW w:w="361" w:type="dxa"/>
          </w:tcPr>
          <w:p w14:paraId="7E7CBC98" w14:textId="77777777" w:rsidR="00733E6D" w:rsidRPr="00826BBF" w:rsidRDefault="00733E6D" w:rsidP="00B50F16">
            <w:pPr>
              <w:pStyle w:val="TableParagraph"/>
              <w:spacing w:before="40" w:after="40"/>
              <w:rPr>
                <w:rFonts w:ascii="Times New Roman"/>
                <w:sz w:val="18"/>
                <w:lang w:val="es-ES_tradnl"/>
              </w:rPr>
            </w:pPr>
          </w:p>
        </w:tc>
        <w:tc>
          <w:tcPr>
            <w:tcW w:w="1494" w:type="dxa"/>
          </w:tcPr>
          <w:p w14:paraId="125C020A" w14:textId="77777777" w:rsidR="00733E6D" w:rsidRPr="00826BBF" w:rsidRDefault="009E4D55" w:rsidP="00B50F16">
            <w:pPr>
              <w:pStyle w:val="TableParagraph"/>
              <w:spacing w:before="40" w:after="40"/>
              <w:ind w:left="572" w:right="571"/>
              <w:jc w:val="center"/>
              <w:rPr>
                <w:sz w:val="18"/>
                <w:lang w:val="es-ES_tradnl"/>
              </w:rPr>
            </w:pPr>
            <w:r w:rsidRPr="00826BBF">
              <w:rPr>
                <w:sz w:val="18"/>
                <w:lang w:val="es-ES_tradnl"/>
              </w:rPr>
              <w:t>BID</w:t>
            </w:r>
          </w:p>
        </w:tc>
        <w:tc>
          <w:tcPr>
            <w:tcW w:w="747" w:type="dxa"/>
          </w:tcPr>
          <w:p w14:paraId="6EC705FB" w14:textId="77777777" w:rsidR="00733E6D" w:rsidRPr="00826BBF" w:rsidRDefault="009E4D55" w:rsidP="00B50F16">
            <w:pPr>
              <w:pStyle w:val="TableParagraph"/>
              <w:spacing w:before="40" w:after="40"/>
              <w:ind w:left="124" w:right="122"/>
              <w:jc w:val="center"/>
              <w:rPr>
                <w:sz w:val="18"/>
                <w:lang w:val="es-ES_tradnl"/>
              </w:rPr>
            </w:pPr>
            <w:r w:rsidRPr="00826BBF">
              <w:rPr>
                <w:sz w:val="18"/>
                <w:lang w:val="es-ES_tradnl"/>
              </w:rPr>
              <w:t>8.000</w:t>
            </w:r>
          </w:p>
        </w:tc>
        <w:tc>
          <w:tcPr>
            <w:tcW w:w="2426" w:type="dxa"/>
          </w:tcPr>
          <w:p w14:paraId="643D71E8" w14:textId="77777777" w:rsidR="00733E6D" w:rsidRPr="00826BBF" w:rsidRDefault="009E4D55" w:rsidP="00B50F16">
            <w:pPr>
              <w:pStyle w:val="TableParagraph"/>
              <w:spacing w:before="40" w:after="40" w:line="278" w:lineRule="auto"/>
              <w:ind w:left="101" w:right="119"/>
              <w:rPr>
                <w:sz w:val="18"/>
                <w:lang w:val="es-ES_tradnl"/>
              </w:rPr>
            </w:pPr>
            <w:r w:rsidRPr="00826BBF">
              <w:rPr>
                <w:sz w:val="18"/>
                <w:lang w:val="es-ES_tradnl"/>
              </w:rPr>
              <w:t>Presupuesto administrativo y plan de supervisión del Banco</w:t>
            </w:r>
          </w:p>
        </w:tc>
      </w:tr>
      <w:tr w:rsidR="00733E6D" w:rsidRPr="000C7F87" w14:paraId="3BA39BDD" w14:textId="77777777" w:rsidTr="00123E7C">
        <w:tc>
          <w:tcPr>
            <w:tcW w:w="3681" w:type="dxa"/>
          </w:tcPr>
          <w:p w14:paraId="6E5F8034" w14:textId="77777777" w:rsidR="00733E6D" w:rsidRPr="00826BBF" w:rsidRDefault="009E4D55" w:rsidP="00B50F16">
            <w:pPr>
              <w:pStyle w:val="TableParagraph"/>
              <w:spacing w:before="40" w:after="40" w:line="276" w:lineRule="auto"/>
              <w:ind w:left="105" w:right="136"/>
              <w:rPr>
                <w:sz w:val="18"/>
                <w:lang w:val="es-ES_tradnl"/>
              </w:rPr>
            </w:pPr>
            <w:r w:rsidRPr="00826BBF">
              <w:rPr>
                <w:sz w:val="18"/>
                <w:lang w:val="es-ES_tradnl"/>
              </w:rPr>
              <w:t>Misión de monitoreo y potencial determinación de planes alternativos para garantizar el cumplimiento de los compromisos establecidos</w:t>
            </w:r>
          </w:p>
        </w:tc>
        <w:tc>
          <w:tcPr>
            <w:tcW w:w="387" w:type="dxa"/>
          </w:tcPr>
          <w:p w14:paraId="60C648D8" w14:textId="77777777" w:rsidR="00733E6D" w:rsidRPr="00826BBF" w:rsidRDefault="00733E6D" w:rsidP="00B50F16">
            <w:pPr>
              <w:pStyle w:val="TableParagraph"/>
              <w:spacing w:before="40" w:after="40"/>
              <w:rPr>
                <w:rFonts w:ascii="Times New Roman"/>
                <w:sz w:val="18"/>
                <w:lang w:val="es-ES_tradnl"/>
              </w:rPr>
            </w:pPr>
          </w:p>
        </w:tc>
        <w:tc>
          <w:tcPr>
            <w:tcW w:w="435" w:type="dxa"/>
            <w:shd w:val="clear" w:color="auto" w:fill="00AF50"/>
          </w:tcPr>
          <w:p w14:paraId="31E56D59" w14:textId="77777777" w:rsidR="00733E6D" w:rsidRPr="00826BBF" w:rsidRDefault="00733E6D" w:rsidP="00B50F16">
            <w:pPr>
              <w:pStyle w:val="TableParagraph"/>
              <w:spacing w:before="40" w:after="40"/>
              <w:rPr>
                <w:rFonts w:ascii="Times New Roman"/>
                <w:sz w:val="18"/>
                <w:lang w:val="es-ES_tradnl"/>
              </w:rPr>
            </w:pPr>
          </w:p>
        </w:tc>
        <w:tc>
          <w:tcPr>
            <w:tcW w:w="361" w:type="dxa"/>
            <w:shd w:val="clear" w:color="auto" w:fill="00AF50"/>
          </w:tcPr>
          <w:p w14:paraId="49A0B1DE" w14:textId="77777777" w:rsidR="00733E6D" w:rsidRPr="00826BBF" w:rsidRDefault="00733E6D" w:rsidP="00B50F16">
            <w:pPr>
              <w:pStyle w:val="TableParagraph"/>
              <w:spacing w:before="40" w:after="40"/>
              <w:rPr>
                <w:rFonts w:ascii="Times New Roman"/>
                <w:sz w:val="18"/>
                <w:lang w:val="es-ES_tradnl"/>
              </w:rPr>
            </w:pPr>
          </w:p>
        </w:tc>
        <w:tc>
          <w:tcPr>
            <w:tcW w:w="1494" w:type="dxa"/>
          </w:tcPr>
          <w:p w14:paraId="34D476E1" w14:textId="77777777" w:rsidR="00733E6D" w:rsidRPr="00826BBF" w:rsidRDefault="009E4D55" w:rsidP="00B50F16">
            <w:pPr>
              <w:pStyle w:val="TableParagraph"/>
              <w:spacing w:before="40" w:after="40"/>
              <w:ind w:left="572" w:right="571"/>
              <w:jc w:val="center"/>
              <w:rPr>
                <w:sz w:val="18"/>
                <w:lang w:val="es-ES_tradnl"/>
              </w:rPr>
            </w:pPr>
            <w:r w:rsidRPr="00826BBF">
              <w:rPr>
                <w:sz w:val="18"/>
                <w:lang w:val="es-ES_tradnl"/>
              </w:rPr>
              <w:t>BID</w:t>
            </w:r>
          </w:p>
        </w:tc>
        <w:tc>
          <w:tcPr>
            <w:tcW w:w="747" w:type="dxa"/>
          </w:tcPr>
          <w:p w14:paraId="55E1586C" w14:textId="77777777" w:rsidR="00733E6D" w:rsidRPr="00826BBF" w:rsidRDefault="009E4D55" w:rsidP="00B50F16">
            <w:pPr>
              <w:pStyle w:val="TableParagraph"/>
              <w:spacing w:before="40" w:after="40"/>
              <w:ind w:left="124" w:right="122"/>
              <w:jc w:val="center"/>
              <w:rPr>
                <w:sz w:val="18"/>
                <w:lang w:val="es-ES_tradnl"/>
              </w:rPr>
            </w:pPr>
            <w:r w:rsidRPr="00826BBF">
              <w:rPr>
                <w:sz w:val="18"/>
                <w:lang w:val="es-ES_tradnl"/>
              </w:rPr>
              <w:t>8.000</w:t>
            </w:r>
          </w:p>
        </w:tc>
        <w:tc>
          <w:tcPr>
            <w:tcW w:w="2426" w:type="dxa"/>
          </w:tcPr>
          <w:p w14:paraId="410A1A66" w14:textId="77777777" w:rsidR="00733E6D" w:rsidRPr="00826BBF" w:rsidRDefault="009E4D55" w:rsidP="00B50F16">
            <w:pPr>
              <w:pStyle w:val="TableParagraph"/>
              <w:spacing w:before="40" w:after="40" w:line="276" w:lineRule="auto"/>
              <w:ind w:left="101" w:right="469"/>
              <w:rPr>
                <w:sz w:val="18"/>
                <w:lang w:val="es-ES_tradnl"/>
              </w:rPr>
            </w:pPr>
            <w:r w:rsidRPr="00826BBF">
              <w:rPr>
                <w:sz w:val="18"/>
                <w:lang w:val="es-ES_tradnl"/>
              </w:rPr>
              <w:t>Presupuesto administrativo, planes de supervisión del Banco</w:t>
            </w:r>
          </w:p>
        </w:tc>
      </w:tr>
      <w:tr w:rsidR="00733E6D" w:rsidRPr="000C7F87" w14:paraId="4DE91BB7" w14:textId="77777777" w:rsidTr="00123E7C">
        <w:tc>
          <w:tcPr>
            <w:tcW w:w="3681" w:type="dxa"/>
          </w:tcPr>
          <w:p w14:paraId="0E9F3AD7" w14:textId="77777777" w:rsidR="00733E6D" w:rsidRPr="00826BBF" w:rsidRDefault="009E4D55" w:rsidP="00B50F16">
            <w:pPr>
              <w:pStyle w:val="TableParagraph"/>
              <w:spacing w:before="40" w:after="40" w:line="278" w:lineRule="auto"/>
              <w:ind w:left="105" w:right="196"/>
              <w:rPr>
                <w:sz w:val="18"/>
                <w:lang w:val="es-ES_tradnl"/>
              </w:rPr>
            </w:pPr>
            <w:r w:rsidRPr="00826BBF">
              <w:rPr>
                <w:sz w:val="18"/>
                <w:lang w:val="es-ES_tradnl"/>
              </w:rPr>
              <w:t>Reuniones y seguimiento por el equipo de LMK/CME para monitorear cumplimiento de medios de verificación</w:t>
            </w:r>
          </w:p>
        </w:tc>
        <w:tc>
          <w:tcPr>
            <w:tcW w:w="387" w:type="dxa"/>
            <w:shd w:val="clear" w:color="auto" w:fill="00AF50"/>
          </w:tcPr>
          <w:p w14:paraId="0DA0FD82" w14:textId="77777777" w:rsidR="00733E6D" w:rsidRPr="00826BBF" w:rsidRDefault="00733E6D" w:rsidP="00B50F16">
            <w:pPr>
              <w:pStyle w:val="TableParagraph"/>
              <w:spacing w:before="40" w:after="40"/>
              <w:rPr>
                <w:rFonts w:ascii="Times New Roman"/>
                <w:sz w:val="18"/>
                <w:lang w:val="es-ES_tradnl"/>
              </w:rPr>
            </w:pPr>
          </w:p>
        </w:tc>
        <w:tc>
          <w:tcPr>
            <w:tcW w:w="435" w:type="dxa"/>
            <w:shd w:val="clear" w:color="auto" w:fill="00AF50"/>
          </w:tcPr>
          <w:p w14:paraId="742A2EED" w14:textId="77777777" w:rsidR="00733E6D" w:rsidRPr="00826BBF" w:rsidRDefault="00733E6D" w:rsidP="00B50F16">
            <w:pPr>
              <w:pStyle w:val="TableParagraph"/>
              <w:spacing w:before="40" w:after="40"/>
              <w:rPr>
                <w:rFonts w:ascii="Times New Roman"/>
                <w:sz w:val="18"/>
                <w:lang w:val="es-ES_tradnl"/>
              </w:rPr>
            </w:pPr>
          </w:p>
        </w:tc>
        <w:tc>
          <w:tcPr>
            <w:tcW w:w="361" w:type="dxa"/>
            <w:shd w:val="clear" w:color="auto" w:fill="00AF50"/>
          </w:tcPr>
          <w:p w14:paraId="11573DFA" w14:textId="77777777" w:rsidR="00733E6D" w:rsidRPr="00826BBF" w:rsidRDefault="00733E6D" w:rsidP="00B50F16">
            <w:pPr>
              <w:pStyle w:val="TableParagraph"/>
              <w:spacing w:before="40" w:after="40"/>
              <w:rPr>
                <w:rFonts w:ascii="Times New Roman"/>
                <w:sz w:val="18"/>
                <w:lang w:val="es-ES_tradnl"/>
              </w:rPr>
            </w:pPr>
          </w:p>
        </w:tc>
        <w:tc>
          <w:tcPr>
            <w:tcW w:w="1494" w:type="dxa"/>
          </w:tcPr>
          <w:p w14:paraId="5AF1474E" w14:textId="77777777" w:rsidR="00733E6D" w:rsidRPr="00826BBF" w:rsidRDefault="009E4D55" w:rsidP="00B50F16">
            <w:pPr>
              <w:pStyle w:val="TableParagraph"/>
              <w:spacing w:before="40" w:after="40"/>
              <w:ind w:left="572" w:right="571"/>
              <w:jc w:val="center"/>
              <w:rPr>
                <w:sz w:val="18"/>
                <w:lang w:val="es-ES_tradnl"/>
              </w:rPr>
            </w:pPr>
            <w:r w:rsidRPr="00826BBF">
              <w:rPr>
                <w:sz w:val="18"/>
                <w:lang w:val="es-ES_tradnl"/>
              </w:rPr>
              <w:t>BID</w:t>
            </w:r>
          </w:p>
        </w:tc>
        <w:tc>
          <w:tcPr>
            <w:tcW w:w="747" w:type="dxa"/>
          </w:tcPr>
          <w:p w14:paraId="754970F8" w14:textId="77777777" w:rsidR="00733E6D" w:rsidRPr="00826BBF" w:rsidRDefault="009E4D55" w:rsidP="00B50F16">
            <w:pPr>
              <w:pStyle w:val="TableParagraph"/>
              <w:spacing w:before="40" w:after="40"/>
              <w:ind w:left="3"/>
              <w:jc w:val="center"/>
              <w:rPr>
                <w:sz w:val="18"/>
                <w:lang w:val="es-ES_tradnl"/>
              </w:rPr>
            </w:pPr>
            <w:r w:rsidRPr="00826BBF">
              <w:rPr>
                <w:w w:val="99"/>
                <w:sz w:val="18"/>
                <w:lang w:val="es-ES_tradnl"/>
              </w:rPr>
              <w:t>-</w:t>
            </w:r>
          </w:p>
        </w:tc>
        <w:tc>
          <w:tcPr>
            <w:tcW w:w="2426" w:type="dxa"/>
          </w:tcPr>
          <w:p w14:paraId="1D7FE10B" w14:textId="77777777" w:rsidR="00733E6D" w:rsidRPr="00826BBF" w:rsidRDefault="009E4D55" w:rsidP="00B50F16">
            <w:pPr>
              <w:pStyle w:val="TableParagraph"/>
              <w:spacing w:before="40" w:after="40" w:line="276" w:lineRule="auto"/>
              <w:ind w:left="101" w:right="189"/>
              <w:rPr>
                <w:sz w:val="18"/>
                <w:lang w:val="es-ES_tradnl"/>
              </w:rPr>
            </w:pPr>
            <w:r w:rsidRPr="00826BBF">
              <w:rPr>
                <w:sz w:val="18"/>
                <w:lang w:val="es-ES_tradnl"/>
              </w:rPr>
              <w:t>Cubierto por gasto operativo regular del Banco</w:t>
            </w:r>
          </w:p>
        </w:tc>
      </w:tr>
    </w:tbl>
    <w:p w14:paraId="02D92895" w14:textId="77777777" w:rsidR="00733E6D" w:rsidRPr="00826BBF" w:rsidRDefault="00733E6D">
      <w:pPr>
        <w:pStyle w:val="BodyText"/>
        <w:rPr>
          <w:b/>
          <w:sz w:val="24"/>
          <w:lang w:val="es-ES_tradnl"/>
        </w:rPr>
      </w:pPr>
    </w:p>
    <w:p w14:paraId="5FF67B39" w14:textId="77777777" w:rsidR="00733E6D" w:rsidRPr="00826BBF" w:rsidRDefault="00733E6D">
      <w:pPr>
        <w:pStyle w:val="BodyText"/>
        <w:rPr>
          <w:b/>
          <w:sz w:val="20"/>
          <w:lang w:val="es-ES_tradnl"/>
        </w:rPr>
      </w:pPr>
    </w:p>
    <w:p w14:paraId="0DE2222A" w14:textId="77777777" w:rsidR="00733E6D" w:rsidRPr="00826BBF" w:rsidRDefault="009E4D55">
      <w:pPr>
        <w:pStyle w:val="ListParagraph"/>
        <w:numPr>
          <w:ilvl w:val="0"/>
          <w:numId w:val="6"/>
        </w:numPr>
        <w:tabs>
          <w:tab w:val="left" w:pos="4115"/>
          <w:tab w:val="left" w:pos="4116"/>
        </w:tabs>
        <w:spacing w:before="0"/>
        <w:ind w:left="4115" w:hanging="482"/>
        <w:jc w:val="left"/>
        <w:rPr>
          <w:b/>
          <w:sz w:val="18"/>
          <w:lang w:val="es-ES_tradnl"/>
        </w:rPr>
      </w:pPr>
      <w:r w:rsidRPr="00826BBF">
        <w:rPr>
          <w:b/>
          <w:lang w:val="es-ES_tradnl"/>
        </w:rPr>
        <w:t>E</w:t>
      </w:r>
      <w:r w:rsidRPr="00826BBF">
        <w:rPr>
          <w:b/>
          <w:sz w:val="18"/>
          <w:lang w:val="es-ES_tradnl"/>
        </w:rPr>
        <w:t>VALUACIÓN</w:t>
      </w:r>
    </w:p>
    <w:p w14:paraId="37455151" w14:textId="77777777" w:rsidR="00733E6D" w:rsidRPr="00826BBF" w:rsidRDefault="00733E6D">
      <w:pPr>
        <w:pStyle w:val="BodyText"/>
        <w:rPr>
          <w:b/>
          <w:sz w:val="21"/>
          <w:lang w:val="es-ES_tradnl"/>
        </w:rPr>
      </w:pPr>
    </w:p>
    <w:p w14:paraId="28D3114F" w14:textId="19F39DF6" w:rsidR="00733E6D" w:rsidRPr="00826BBF" w:rsidRDefault="009E4D55" w:rsidP="003C6BDF">
      <w:pPr>
        <w:pStyle w:val="ListParagraph"/>
        <w:numPr>
          <w:ilvl w:val="1"/>
          <w:numId w:val="2"/>
        </w:numPr>
        <w:tabs>
          <w:tab w:val="left" w:pos="801"/>
        </w:tabs>
        <w:spacing w:before="83"/>
        <w:ind w:right="111"/>
        <w:rPr>
          <w:bCs/>
          <w:lang w:val="es-ES_tradnl"/>
        </w:rPr>
      </w:pPr>
      <w:r w:rsidRPr="00826BBF">
        <w:rPr>
          <w:b/>
          <w:lang w:val="es-ES_tradnl"/>
        </w:rPr>
        <w:t xml:space="preserve">La evaluación del programa tiene dos componentes. </w:t>
      </w:r>
      <w:r w:rsidR="00CF56F2" w:rsidRPr="00826BBF">
        <w:rPr>
          <w:bCs/>
          <w:lang w:val="es-ES_tradnl"/>
        </w:rPr>
        <w:t>S</w:t>
      </w:r>
      <w:r w:rsidRPr="00826BBF">
        <w:rPr>
          <w:bCs/>
          <w:lang w:val="es-ES_tradnl"/>
        </w:rPr>
        <w:t xml:space="preserve">e dará seguimiento a los indicadores de la matriz de resultados. Para tal efecto, la </w:t>
      </w:r>
      <w:r w:rsidR="00383910">
        <w:rPr>
          <w:bCs/>
          <w:lang w:val="es-ES_tradnl"/>
        </w:rPr>
        <w:t>T</w:t>
      </w:r>
      <w:r w:rsidRPr="00826BBF">
        <w:rPr>
          <w:bCs/>
          <w:lang w:val="es-ES_tradnl"/>
        </w:rPr>
        <w:t>abla</w:t>
      </w:r>
      <w:r w:rsidR="003C6BDF" w:rsidRPr="00826BBF">
        <w:rPr>
          <w:bCs/>
          <w:lang w:val="es-ES_tradnl"/>
        </w:rPr>
        <w:t xml:space="preserve"> </w:t>
      </w:r>
      <w:r w:rsidRPr="00826BBF">
        <w:rPr>
          <w:bCs/>
          <w:lang w:val="es-ES_tradnl"/>
        </w:rPr>
        <w:t>III.A presenta el indicador de impacto y resultados de la Matriz de Resultados del programa. En dicha tabla se presentan las fuentes que se utilizarán para calcular los indicadores, que en general se basan en información de la STPS e información pública.</w:t>
      </w:r>
    </w:p>
    <w:p w14:paraId="4BFC245E" w14:textId="230C1200" w:rsidR="00E60319" w:rsidRPr="00826BBF" w:rsidRDefault="00E60319">
      <w:pPr>
        <w:pStyle w:val="BodyText"/>
        <w:ind w:left="800" w:right="213"/>
        <w:jc w:val="both"/>
        <w:rPr>
          <w:lang w:val="es-ES_tradnl"/>
        </w:rPr>
      </w:pPr>
    </w:p>
    <w:p w14:paraId="211B5A66" w14:textId="77777777" w:rsidR="00E60319" w:rsidRPr="00826BBF" w:rsidRDefault="00E60319">
      <w:pPr>
        <w:pStyle w:val="BodyText"/>
        <w:ind w:left="800" w:right="213"/>
        <w:jc w:val="both"/>
        <w:rPr>
          <w:lang w:val="es-ES_tradnl"/>
        </w:rPr>
      </w:pPr>
    </w:p>
    <w:p w14:paraId="444BD359" w14:textId="77777777" w:rsidR="00733E6D" w:rsidRPr="00826BBF" w:rsidRDefault="00733E6D">
      <w:pPr>
        <w:jc w:val="both"/>
        <w:rPr>
          <w:lang w:val="es-ES_tradnl"/>
        </w:rPr>
        <w:sectPr w:rsidR="00733E6D" w:rsidRPr="00826BBF" w:rsidSect="00006103">
          <w:headerReference w:type="default" r:id="rId14"/>
          <w:pgSz w:w="12240" w:h="15840"/>
          <w:pgMar w:top="640" w:right="1580" w:bottom="280" w:left="1720" w:header="0" w:footer="0" w:gutter="0"/>
          <w:pgNumType w:start="6"/>
          <w:cols w:space="720"/>
        </w:sectPr>
      </w:pPr>
    </w:p>
    <w:p w14:paraId="2BF7DA65" w14:textId="291B8AEB" w:rsidR="00733E6D" w:rsidRPr="00826BBF" w:rsidRDefault="00FA4A91" w:rsidP="00FA4A91">
      <w:pPr>
        <w:pStyle w:val="BodyText"/>
        <w:tabs>
          <w:tab w:val="left" w:pos="10680"/>
        </w:tabs>
        <w:rPr>
          <w:sz w:val="20"/>
          <w:lang w:val="es-ES_tradnl"/>
        </w:rPr>
      </w:pPr>
      <w:r>
        <w:rPr>
          <w:sz w:val="20"/>
          <w:lang w:val="es-ES_tradnl"/>
        </w:rPr>
        <w:lastRenderedPageBreak/>
        <w:tab/>
      </w:r>
    </w:p>
    <w:p w14:paraId="5E821F18" w14:textId="77777777" w:rsidR="00733E6D" w:rsidRPr="00826BBF" w:rsidRDefault="00733E6D">
      <w:pPr>
        <w:pStyle w:val="BodyText"/>
        <w:spacing w:before="9"/>
        <w:rPr>
          <w:lang w:val="es-ES_tradnl"/>
        </w:rPr>
      </w:pPr>
    </w:p>
    <w:p w14:paraId="40EFC3B8" w14:textId="77777777" w:rsidR="00733E6D" w:rsidRPr="00826BBF" w:rsidRDefault="009E4D55">
      <w:pPr>
        <w:pStyle w:val="Heading1"/>
        <w:spacing w:before="94"/>
        <w:ind w:left="480"/>
        <w:jc w:val="left"/>
        <w:rPr>
          <w:lang w:val="es-ES_tradnl"/>
        </w:rPr>
      </w:pPr>
      <w:r w:rsidRPr="00826BBF">
        <w:rPr>
          <w:lang w:val="es-ES_tradnl"/>
        </w:rPr>
        <w:t>Tabla III.A Indicadores de Impacto y de Resultados</w:t>
      </w:r>
    </w:p>
    <w:p w14:paraId="4934482E" w14:textId="77777777" w:rsidR="00733E6D" w:rsidRPr="00826BBF" w:rsidRDefault="00733E6D">
      <w:pPr>
        <w:pStyle w:val="BodyText"/>
        <w:spacing w:before="8"/>
        <w:rPr>
          <w:b/>
          <w:sz w:val="13"/>
          <w:lang w:val="es-ES_tradnl"/>
        </w:rPr>
      </w:pPr>
    </w:p>
    <w:tbl>
      <w:tblPr>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05"/>
        <w:gridCol w:w="991"/>
        <w:gridCol w:w="1080"/>
        <w:gridCol w:w="7201"/>
      </w:tblGrid>
      <w:tr w:rsidR="00733E6D" w:rsidRPr="00826BBF" w14:paraId="78EA1A83" w14:textId="77777777" w:rsidTr="00573431">
        <w:trPr>
          <w:trHeight w:val="477"/>
        </w:trPr>
        <w:tc>
          <w:tcPr>
            <w:tcW w:w="4405" w:type="dxa"/>
            <w:shd w:val="clear" w:color="auto" w:fill="8DB3E1"/>
          </w:tcPr>
          <w:p w14:paraId="75C1DA7C" w14:textId="77777777" w:rsidR="00733E6D" w:rsidRPr="00826BBF" w:rsidRDefault="009E4D55">
            <w:pPr>
              <w:pStyle w:val="TableParagraph"/>
              <w:spacing w:before="119"/>
              <w:ind w:left="1195"/>
              <w:rPr>
                <w:b/>
                <w:sz w:val="18"/>
                <w:lang w:val="es-ES_tradnl"/>
              </w:rPr>
            </w:pPr>
            <w:r w:rsidRPr="00826BBF">
              <w:rPr>
                <w:b/>
                <w:sz w:val="18"/>
                <w:lang w:val="es-ES_tradnl"/>
              </w:rPr>
              <w:t>Indicadores de impacto</w:t>
            </w:r>
          </w:p>
        </w:tc>
        <w:tc>
          <w:tcPr>
            <w:tcW w:w="991" w:type="dxa"/>
            <w:shd w:val="clear" w:color="auto" w:fill="8DB3E1"/>
          </w:tcPr>
          <w:p w14:paraId="28E7B5B8" w14:textId="77777777" w:rsidR="00733E6D" w:rsidRPr="00826BBF" w:rsidRDefault="009E4D55">
            <w:pPr>
              <w:pStyle w:val="TableParagraph"/>
              <w:spacing w:line="206" w:lineRule="exact"/>
              <w:ind w:left="278"/>
              <w:rPr>
                <w:b/>
                <w:sz w:val="18"/>
                <w:lang w:val="es-ES_tradnl"/>
              </w:rPr>
            </w:pPr>
            <w:r w:rsidRPr="00826BBF">
              <w:rPr>
                <w:b/>
                <w:sz w:val="18"/>
                <w:lang w:val="es-ES_tradnl"/>
              </w:rPr>
              <w:t>Base</w:t>
            </w:r>
          </w:p>
          <w:p w14:paraId="5C331242" w14:textId="77777777" w:rsidR="00733E6D" w:rsidRPr="00826BBF" w:rsidRDefault="009E4D55">
            <w:pPr>
              <w:pStyle w:val="TableParagraph"/>
              <w:spacing w:before="33"/>
              <w:ind w:left="232"/>
              <w:rPr>
                <w:b/>
                <w:sz w:val="18"/>
                <w:lang w:val="es-ES_tradnl"/>
              </w:rPr>
            </w:pPr>
            <w:r w:rsidRPr="00826BBF">
              <w:rPr>
                <w:b/>
                <w:sz w:val="18"/>
                <w:lang w:val="es-ES_tradnl"/>
              </w:rPr>
              <w:t>(2018)</w:t>
            </w:r>
          </w:p>
        </w:tc>
        <w:tc>
          <w:tcPr>
            <w:tcW w:w="1080" w:type="dxa"/>
            <w:shd w:val="clear" w:color="auto" w:fill="8DB3E1"/>
          </w:tcPr>
          <w:p w14:paraId="2E505395" w14:textId="77777777" w:rsidR="00733E6D" w:rsidRPr="00826BBF" w:rsidRDefault="009E4D55">
            <w:pPr>
              <w:pStyle w:val="TableParagraph"/>
              <w:spacing w:line="206" w:lineRule="exact"/>
              <w:ind w:left="102" w:right="96"/>
              <w:jc w:val="center"/>
              <w:rPr>
                <w:b/>
                <w:sz w:val="18"/>
                <w:lang w:val="es-ES_tradnl"/>
              </w:rPr>
            </w:pPr>
            <w:r w:rsidRPr="00826BBF">
              <w:rPr>
                <w:b/>
                <w:sz w:val="18"/>
                <w:lang w:val="es-ES_tradnl"/>
              </w:rPr>
              <w:t>Meta final</w:t>
            </w:r>
          </w:p>
          <w:p w14:paraId="5AA33A4B" w14:textId="77777777" w:rsidR="00733E6D" w:rsidRPr="00826BBF" w:rsidRDefault="009E4D55">
            <w:pPr>
              <w:pStyle w:val="TableParagraph"/>
              <w:spacing w:before="33"/>
              <w:ind w:left="102" w:right="93"/>
              <w:jc w:val="center"/>
              <w:rPr>
                <w:b/>
                <w:sz w:val="18"/>
                <w:lang w:val="es-ES_tradnl"/>
              </w:rPr>
            </w:pPr>
            <w:r w:rsidRPr="00826BBF">
              <w:rPr>
                <w:b/>
                <w:sz w:val="18"/>
                <w:lang w:val="es-ES_tradnl"/>
              </w:rPr>
              <w:t>(2022)</w:t>
            </w:r>
          </w:p>
        </w:tc>
        <w:tc>
          <w:tcPr>
            <w:tcW w:w="7201" w:type="dxa"/>
            <w:shd w:val="clear" w:color="auto" w:fill="8DB3E1"/>
            <w:vAlign w:val="center"/>
          </w:tcPr>
          <w:p w14:paraId="43002DCE" w14:textId="30E2F1E5" w:rsidR="00733E6D" w:rsidRPr="00826BBF" w:rsidRDefault="009E4D55" w:rsidP="00573431">
            <w:pPr>
              <w:pStyle w:val="TableParagraph"/>
              <w:tabs>
                <w:tab w:val="center" w:pos="3600"/>
                <w:tab w:val="left" w:pos="5210"/>
              </w:tabs>
              <w:spacing w:before="119"/>
              <w:ind w:left="86" w:right="76"/>
              <w:jc w:val="center"/>
              <w:rPr>
                <w:b/>
                <w:sz w:val="18"/>
                <w:lang w:val="es-ES_tradnl"/>
              </w:rPr>
            </w:pPr>
            <w:r w:rsidRPr="00826BBF">
              <w:rPr>
                <w:b/>
                <w:sz w:val="18"/>
                <w:lang w:val="es-ES_tradnl"/>
              </w:rPr>
              <w:t>Observaciones</w:t>
            </w:r>
          </w:p>
        </w:tc>
      </w:tr>
      <w:tr w:rsidR="00733E6D" w:rsidRPr="00826BBF" w14:paraId="2BEA58EF" w14:textId="77777777">
        <w:trPr>
          <w:trHeight w:val="1428"/>
        </w:trPr>
        <w:tc>
          <w:tcPr>
            <w:tcW w:w="4405" w:type="dxa"/>
          </w:tcPr>
          <w:p w14:paraId="48081C42" w14:textId="77777777" w:rsidR="00733E6D" w:rsidRPr="00826BBF" w:rsidRDefault="009E4D55">
            <w:pPr>
              <w:pStyle w:val="TableParagraph"/>
              <w:spacing w:line="206" w:lineRule="exact"/>
              <w:ind w:left="107"/>
              <w:rPr>
                <w:sz w:val="18"/>
                <w:lang w:val="es-ES_tradnl"/>
              </w:rPr>
            </w:pPr>
            <w:r w:rsidRPr="00826BBF">
              <w:rPr>
                <w:sz w:val="18"/>
                <w:lang w:val="es-ES_tradnl"/>
              </w:rPr>
              <w:t>Lugar de México en el Índice de Mejores Trabajos</w:t>
            </w:r>
          </w:p>
        </w:tc>
        <w:tc>
          <w:tcPr>
            <w:tcW w:w="991" w:type="dxa"/>
          </w:tcPr>
          <w:p w14:paraId="7A30F5CD" w14:textId="77777777" w:rsidR="00733E6D" w:rsidRPr="00826BBF" w:rsidRDefault="009E4D55">
            <w:pPr>
              <w:pStyle w:val="TableParagraph"/>
              <w:spacing w:line="206" w:lineRule="exact"/>
              <w:ind w:left="266"/>
              <w:rPr>
                <w:sz w:val="18"/>
                <w:lang w:val="es-ES_tradnl"/>
              </w:rPr>
            </w:pPr>
            <w:r w:rsidRPr="00826BBF">
              <w:rPr>
                <w:sz w:val="18"/>
                <w:lang w:val="es-ES_tradnl"/>
              </w:rPr>
              <w:t>53,90</w:t>
            </w:r>
          </w:p>
          <w:p w14:paraId="4352B3E8" w14:textId="77777777" w:rsidR="00733E6D" w:rsidRPr="00826BBF" w:rsidRDefault="009E4D55">
            <w:pPr>
              <w:pStyle w:val="TableParagraph"/>
              <w:spacing w:before="30"/>
              <w:ind w:left="232"/>
              <w:rPr>
                <w:sz w:val="18"/>
                <w:lang w:val="es-ES_tradnl"/>
              </w:rPr>
            </w:pPr>
            <w:r w:rsidRPr="00826BBF">
              <w:rPr>
                <w:sz w:val="18"/>
                <w:lang w:val="es-ES_tradnl"/>
              </w:rPr>
              <w:t>(2018)</w:t>
            </w:r>
          </w:p>
        </w:tc>
        <w:tc>
          <w:tcPr>
            <w:tcW w:w="1080" w:type="dxa"/>
          </w:tcPr>
          <w:p w14:paraId="56CC9DA0" w14:textId="77777777" w:rsidR="00733E6D" w:rsidRPr="00826BBF" w:rsidRDefault="009E4D55">
            <w:pPr>
              <w:pStyle w:val="TableParagraph"/>
              <w:spacing w:line="206" w:lineRule="exact"/>
              <w:ind w:left="364"/>
              <w:rPr>
                <w:sz w:val="18"/>
                <w:lang w:val="es-ES_tradnl"/>
              </w:rPr>
            </w:pPr>
            <w:r w:rsidRPr="00826BBF">
              <w:rPr>
                <w:sz w:val="18"/>
                <w:lang w:val="es-ES_tradnl"/>
              </w:rPr>
              <w:t>55,0</w:t>
            </w:r>
          </w:p>
        </w:tc>
        <w:tc>
          <w:tcPr>
            <w:tcW w:w="7201" w:type="dxa"/>
          </w:tcPr>
          <w:p w14:paraId="4C09B826" w14:textId="5FAC4D4B" w:rsidR="00733E6D" w:rsidRPr="00826BBF" w:rsidRDefault="009E4D55" w:rsidP="002105B0">
            <w:pPr>
              <w:pStyle w:val="TableParagraph"/>
              <w:spacing w:line="276" w:lineRule="auto"/>
              <w:ind w:left="107" w:right="139"/>
              <w:rPr>
                <w:sz w:val="18"/>
                <w:lang w:val="es-ES_tradnl"/>
              </w:rPr>
            </w:pPr>
            <w:r w:rsidRPr="00826BBF">
              <w:rPr>
                <w:sz w:val="18"/>
                <w:lang w:val="es-ES_tradnl"/>
              </w:rPr>
              <w:t>Mide cómo son los empleos de los países a través de dos dimensiones: cantidad y calidad. La dimensión de cantidad está compuesta a su vez por dos indicadores: la tasa de participación laboral y la de ocupación. La de calidad, por su parte, se construye con las tasas de formalidad y de trabajos con salario suficiente para superar la pobreza. Así, el índice es la media ponderada de estos cuatro indicadores* y sus</w:t>
            </w:r>
            <w:r w:rsidR="002105B0" w:rsidRPr="00826BBF">
              <w:rPr>
                <w:sz w:val="18"/>
                <w:lang w:val="es-ES_tradnl"/>
              </w:rPr>
              <w:t xml:space="preserve"> </w:t>
            </w:r>
            <w:r w:rsidRPr="00826BBF">
              <w:rPr>
                <w:sz w:val="18"/>
                <w:lang w:val="es-ES_tradnl"/>
              </w:rPr>
              <w:t>puntuaciones van de 0 a 100. Índice publicado por el BID.</w:t>
            </w:r>
          </w:p>
        </w:tc>
      </w:tr>
      <w:tr w:rsidR="00733E6D" w:rsidRPr="000C7F87" w14:paraId="3970B98D" w14:textId="77777777">
        <w:trPr>
          <w:trHeight w:val="952"/>
        </w:trPr>
        <w:tc>
          <w:tcPr>
            <w:tcW w:w="4405" w:type="dxa"/>
          </w:tcPr>
          <w:p w14:paraId="58628C1C" w14:textId="77777777" w:rsidR="00733E6D" w:rsidRPr="00826BBF" w:rsidRDefault="009E4D55">
            <w:pPr>
              <w:pStyle w:val="TableParagraph"/>
              <w:spacing w:line="276" w:lineRule="auto"/>
              <w:ind w:left="107" w:right="575"/>
              <w:rPr>
                <w:sz w:val="18"/>
                <w:lang w:val="es-ES_tradnl"/>
              </w:rPr>
            </w:pPr>
            <w:r w:rsidRPr="00826BBF">
              <w:rPr>
                <w:sz w:val="18"/>
                <w:lang w:val="es-ES_tradnl"/>
              </w:rPr>
              <w:t>Porcentaje de la población con ingreso laboral inferior al costo de la canasta alimentaria</w:t>
            </w:r>
          </w:p>
        </w:tc>
        <w:tc>
          <w:tcPr>
            <w:tcW w:w="991" w:type="dxa"/>
          </w:tcPr>
          <w:p w14:paraId="57A5EC5B" w14:textId="77777777" w:rsidR="00733E6D" w:rsidRPr="00826BBF" w:rsidRDefault="009E4D55">
            <w:pPr>
              <w:pStyle w:val="TableParagraph"/>
              <w:spacing w:line="206" w:lineRule="exact"/>
              <w:ind w:left="318"/>
              <w:rPr>
                <w:sz w:val="18"/>
                <w:lang w:val="es-ES_tradnl"/>
              </w:rPr>
            </w:pPr>
            <w:r w:rsidRPr="00826BBF">
              <w:rPr>
                <w:sz w:val="18"/>
                <w:lang w:val="es-ES_tradnl"/>
              </w:rPr>
              <w:t>38,5</w:t>
            </w:r>
          </w:p>
        </w:tc>
        <w:tc>
          <w:tcPr>
            <w:tcW w:w="1080" w:type="dxa"/>
          </w:tcPr>
          <w:p w14:paraId="13694544" w14:textId="77777777" w:rsidR="00733E6D" w:rsidRPr="00826BBF" w:rsidRDefault="009E4D55">
            <w:pPr>
              <w:pStyle w:val="TableParagraph"/>
              <w:spacing w:line="206" w:lineRule="exact"/>
              <w:ind w:left="364"/>
              <w:rPr>
                <w:sz w:val="18"/>
                <w:lang w:val="es-ES_tradnl"/>
              </w:rPr>
            </w:pPr>
            <w:r w:rsidRPr="00826BBF">
              <w:rPr>
                <w:sz w:val="18"/>
                <w:lang w:val="es-ES_tradnl"/>
              </w:rPr>
              <w:t>35,0</w:t>
            </w:r>
          </w:p>
        </w:tc>
        <w:tc>
          <w:tcPr>
            <w:tcW w:w="7201" w:type="dxa"/>
          </w:tcPr>
          <w:p w14:paraId="4770476B" w14:textId="1954D091" w:rsidR="00733E6D" w:rsidRPr="00826BBF" w:rsidRDefault="009E4D55" w:rsidP="002105B0">
            <w:pPr>
              <w:pStyle w:val="TableParagraph"/>
              <w:spacing w:line="276" w:lineRule="auto"/>
              <w:ind w:left="107" w:right="330"/>
              <w:rPr>
                <w:sz w:val="18"/>
                <w:lang w:val="es-ES_tradnl"/>
              </w:rPr>
            </w:pPr>
            <w:r w:rsidRPr="00826BBF">
              <w:rPr>
                <w:sz w:val="18"/>
                <w:lang w:val="es-ES_tradnl"/>
              </w:rPr>
              <w:t>Mide el porcentaje de hogares que no generan ingresos laborales suficientes para rebasar la línea de pobreza alimentaria. Es publicado por CONEVAL, utilizando información de la Encuesta Nacional de Ocupación y Empleo (ENOE), que realiza el</w:t>
            </w:r>
            <w:r w:rsidR="002105B0" w:rsidRPr="00826BBF">
              <w:rPr>
                <w:sz w:val="18"/>
                <w:lang w:val="es-ES_tradnl"/>
              </w:rPr>
              <w:t xml:space="preserve"> </w:t>
            </w:r>
            <w:r w:rsidRPr="00826BBF">
              <w:rPr>
                <w:sz w:val="18"/>
                <w:lang w:val="es-ES_tradnl"/>
              </w:rPr>
              <w:t>Instituto Nacional de Estadística y Geografía (INEGI).</w:t>
            </w:r>
          </w:p>
        </w:tc>
      </w:tr>
      <w:tr w:rsidR="00733E6D" w:rsidRPr="00826BBF" w14:paraId="2A765130" w14:textId="77777777" w:rsidTr="00573431">
        <w:trPr>
          <w:trHeight w:val="475"/>
        </w:trPr>
        <w:tc>
          <w:tcPr>
            <w:tcW w:w="4405" w:type="dxa"/>
            <w:shd w:val="clear" w:color="auto" w:fill="8DB3E1"/>
            <w:vAlign w:val="center"/>
          </w:tcPr>
          <w:p w14:paraId="348B1C5B" w14:textId="77777777" w:rsidR="00733E6D" w:rsidRPr="00826BBF" w:rsidRDefault="009E4D55" w:rsidP="00573431">
            <w:pPr>
              <w:pStyle w:val="TableParagraph"/>
              <w:spacing w:before="119"/>
              <w:ind w:left="1135"/>
              <w:jc w:val="center"/>
              <w:rPr>
                <w:b/>
                <w:sz w:val="18"/>
                <w:lang w:val="es-ES_tradnl"/>
              </w:rPr>
            </w:pPr>
            <w:r w:rsidRPr="00826BBF">
              <w:rPr>
                <w:b/>
                <w:sz w:val="18"/>
                <w:lang w:val="es-ES_tradnl"/>
              </w:rPr>
              <w:t>Indicadores de resultado</w:t>
            </w:r>
          </w:p>
        </w:tc>
        <w:tc>
          <w:tcPr>
            <w:tcW w:w="991" w:type="dxa"/>
            <w:shd w:val="clear" w:color="auto" w:fill="8DB3E1"/>
            <w:vAlign w:val="center"/>
          </w:tcPr>
          <w:p w14:paraId="57CBA97F" w14:textId="77777777" w:rsidR="00733E6D" w:rsidRPr="00826BBF" w:rsidRDefault="009E4D55" w:rsidP="00573431">
            <w:pPr>
              <w:pStyle w:val="TableParagraph"/>
              <w:spacing w:line="206" w:lineRule="exact"/>
              <w:ind w:left="278"/>
              <w:jc w:val="center"/>
              <w:rPr>
                <w:b/>
                <w:sz w:val="18"/>
                <w:lang w:val="es-ES_tradnl"/>
              </w:rPr>
            </w:pPr>
            <w:r w:rsidRPr="00826BBF">
              <w:rPr>
                <w:b/>
                <w:sz w:val="18"/>
                <w:lang w:val="es-ES_tradnl"/>
              </w:rPr>
              <w:t>Base</w:t>
            </w:r>
          </w:p>
          <w:p w14:paraId="3B325031" w14:textId="77777777" w:rsidR="00733E6D" w:rsidRPr="00826BBF" w:rsidRDefault="009E4D55" w:rsidP="00573431">
            <w:pPr>
              <w:pStyle w:val="TableParagraph"/>
              <w:spacing w:before="30"/>
              <w:ind w:left="232"/>
              <w:jc w:val="center"/>
              <w:rPr>
                <w:b/>
                <w:sz w:val="18"/>
                <w:lang w:val="es-ES_tradnl"/>
              </w:rPr>
            </w:pPr>
            <w:r w:rsidRPr="00826BBF">
              <w:rPr>
                <w:b/>
                <w:sz w:val="18"/>
                <w:lang w:val="es-ES_tradnl"/>
              </w:rPr>
              <w:t>(2019)</w:t>
            </w:r>
          </w:p>
        </w:tc>
        <w:tc>
          <w:tcPr>
            <w:tcW w:w="1080" w:type="dxa"/>
            <w:shd w:val="clear" w:color="auto" w:fill="8DB3E1"/>
            <w:vAlign w:val="center"/>
          </w:tcPr>
          <w:p w14:paraId="143B4697" w14:textId="77777777" w:rsidR="00733E6D" w:rsidRPr="00826BBF" w:rsidRDefault="009E4D55" w:rsidP="00573431">
            <w:pPr>
              <w:pStyle w:val="TableParagraph"/>
              <w:spacing w:line="206" w:lineRule="exact"/>
              <w:ind w:left="102" w:right="96"/>
              <w:jc w:val="center"/>
              <w:rPr>
                <w:b/>
                <w:sz w:val="18"/>
                <w:lang w:val="es-ES_tradnl"/>
              </w:rPr>
            </w:pPr>
            <w:r w:rsidRPr="00826BBF">
              <w:rPr>
                <w:b/>
                <w:sz w:val="18"/>
                <w:lang w:val="es-ES_tradnl"/>
              </w:rPr>
              <w:t>Meta final</w:t>
            </w:r>
          </w:p>
          <w:p w14:paraId="410FB9B7" w14:textId="77777777" w:rsidR="00733E6D" w:rsidRPr="00826BBF" w:rsidRDefault="009E4D55" w:rsidP="00573431">
            <w:pPr>
              <w:pStyle w:val="TableParagraph"/>
              <w:spacing w:before="30"/>
              <w:ind w:left="102" w:right="93"/>
              <w:jc w:val="center"/>
              <w:rPr>
                <w:b/>
                <w:sz w:val="18"/>
                <w:lang w:val="es-ES_tradnl"/>
              </w:rPr>
            </w:pPr>
            <w:r w:rsidRPr="00826BBF">
              <w:rPr>
                <w:b/>
                <w:sz w:val="18"/>
                <w:lang w:val="es-ES_tradnl"/>
              </w:rPr>
              <w:t>(2022)</w:t>
            </w:r>
          </w:p>
        </w:tc>
        <w:tc>
          <w:tcPr>
            <w:tcW w:w="7201" w:type="dxa"/>
            <w:shd w:val="clear" w:color="auto" w:fill="8DB3E1"/>
            <w:vAlign w:val="center"/>
          </w:tcPr>
          <w:p w14:paraId="1354776D" w14:textId="77777777" w:rsidR="00733E6D" w:rsidRPr="00826BBF" w:rsidRDefault="009E4D55" w:rsidP="00573431">
            <w:pPr>
              <w:pStyle w:val="TableParagraph"/>
              <w:spacing w:before="20"/>
              <w:ind w:left="86" w:right="76"/>
              <w:jc w:val="center"/>
              <w:rPr>
                <w:b/>
                <w:sz w:val="18"/>
                <w:lang w:val="es-ES_tradnl"/>
              </w:rPr>
            </w:pPr>
            <w:r w:rsidRPr="00826BBF">
              <w:rPr>
                <w:b/>
                <w:sz w:val="18"/>
                <w:lang w:val="es-ES_tradnl"/>
              </w:rPr>
              <w:t>Observaciones</w:t>
            </w:r>
          </w:p>
        </w:tc>
      </w:tr>
      <w:tr w:rsidR="00733E6D" w:rsidRPr="000C7F87" w14:paraId="0DBD7922" w14:textId="77777777">
        <w:trPr>
          <w:trHeight w:val="714"/>
        </w:trPr>
        <w:tc>
          <w:tcPr>
            <w:tcW w:w="4405" w:type="dxa"/>
          </w:tcPr>
          <w:p w14:paraId="181567F2" w14:textId="77777777" w:rsidR="00733E6D" w:rsidRPr="00826BBF" w:rsidRDefault="009E4D55">
            <w:pPr>
              <w:pStyle w:val="TableParagraph"/>
              <w:spacing w:before="1" w:line="276" w:lineRule="auto"/>
              <w:ind w:left="107" w:right="205"/>
              <w:rPr>
                <w:sz w:val="18"/>
                <w:szCs w:val="18"/>
                <w:lang w:val="es-ES_tradnl"/>
              </w:rPr>
            </w:pPr>
            <w:r w:rsidRPr="00826BBF">
              <w:rPr>
                <w:sz w:val="18"/>
                <w:szCs w:val="18"/>
                <w:lang w:val="es-ES_tradnl"/>
              </w:rPr>
              <w:t>Índice Global de los Derechos de la Confederación Sindical Internacional</w:t>
            </w:r>
          </w:p>
        </w:tc>
        <w:tc>
          <w:tcPr>
            <w:tcW w:w="991" w:type="dxa"/>
          </w:tcPr>
          <w:p w14:paraId="084169A9" w14:textId="77777777" w:rsidR="00733E6D" w:rsidRPr="00826BBF" w:rsidRDefault="009E4D55">
            <w:pPr>
              <w:pStyle w:val="TableParagraph"/>
              <w:spacing w:before="1"/>
              <w:ind w:left="318"/>
              <w:rPr>
                <w:sz w:val="18"/>
                <w:szCs w:val="18"/>
                <w:lang w:val="es-ES_tradnl"/>
              </w:rPr>
            </w:pPr>
            <w:r w:rsidRPr="00826BBF">
              <w:rPr>
                <w:sz w:val="18"/>
                <w:szCs w:val="18"/>
                <w:lang w:val="es-ES_tradnl"/>
              </w:rPr>
              <w:t>56,7</w:t>
            </w:r>
          </w:p>
        </w:tc>
        <w:tc>
          <w:tcPr>
            <w:tcW w:w="1080" w:type="dxa"/>
          </w:tcPr>
          <w:p w14:paraId="507F3B74" w14:textId="77777777" w:rsidR="00733E6D" w:rsidRPr="00826BBF" w:rsidRDefault="009E4D55">
            <w:pPr>
              <w:pStyle w:val="TableParagraph"/>
              <w:spacing w:before="1"/>
              <w:ind w:left="364"/>
              <w:rPr>
                <w:sz w:val="18"/>
                <w:szCs w:val="18"/>
                <w:lang w:val="es-ES_tradnl"/>
              </w:rPr>
            </w:pPr>
            <w:r w:rsidRPr="00826BBF">
              <w:rPr>
                <w:sz w:val="18"/>
                <w:szCs w:val="18"/>
                <w:lang w:val="es-ES_tradnl"/>
              </w:rPr>
              <w:t>70,0</w:t>
            </w:r>
          </w:p>
        </w:tc>
        <w:tc>
          <w:tcPr>
            <w:tcW w:w="7201" w:type="dxa"/>
          </w:tcPr>
          <w:p w14:paraId="1CA8AB39" w14:textId="25F8C293" w:rsidR="00733E6D" w:rsidRPr="00826BBF" w:rsidRDefault="009E4D55">
            <w:pPr>
              <w:pStyle w:val="TableParagraph"/>
              <w:spacing w:line="206" w:lineRule="exact"/>
              <w:ind w:left="107"/>
              <w:rPr>
                <w:sz w:val="18"/>
                <w:szCs w:val="18"/>
                <w:lang w:val="es-ES_tradnl"/>
              </w:rPr>
            </w:pPr>
            <w:r w:rsidRPr="00826BBF">
              <w:rPr>
                <w:sz w:val="18"/>
                <w:szCs w:val="18"/>
                <w:lang w:val="es-ES_tradnl"/>
              </w:rPr>
              <w:t>Indica la protección de los derechos laborales colectivos que deben ser reconocidos por Gobiernos y empleadores. Los resultados de este Índice son reportados</w:t>
            </w:r>
            <w:r w:rsidR="003E3A83">
              <w:rPr>
                <w:sz w:val="18"/>
                <w:szCs w:val="18"/>
                <w:lang w:val="es-ES_tradnl"/>
              </w:rPr>
              <w:t xml:space="preserve"> </w:t>
            </w:r>
            <w:r w:rsidRPr="00826BBF">
              <w:rPr>
                <w:sz w:val="18"/>
                <w:szCs w:val="18"/>
                <w:lang w:val="es-ES_tradnl"/>
              </w:rPr>
              <w:t>anualmente en el Reporte de Competitividad Global del Foro Económico Mundial.</w:t>
            </w:r>
          </w:p>
        </w:tc>
      </w:tr>
      <w:tr w:rsidR="00733E6D" w:rsidRPr="00826BBF" w14:paraId="497ACF7B" w14:textId="77777777">
        <w:trPr>
          <w:trHeight w:val="1189"/>
        </w:trPr>
        <w:tc>
          <w:tcPr>
            <w:tcW w:w="4405" w:type="dxa"/>
          </w:tcPr>
          <w:p w14:paraId="38DCD582" w14:textId="77777777" w:rsidR="00733E6D" w:rsidRPr="00826BBF" w:rsidRDefault="009E4D55">
            <w:pPr>
              <w:pStyle w:val="TableParagraph"/>
              <w:spacing w:line="276" w:lineRule="auto"/>
              <w:ind w:left="107" w:right="150"/>
              <w:rPr>
                <w:sz w:val="18"/>
                <w:szCs w:val="18"/>
                <w:lang w:val="es-ES_tradnl"/>
              </w:rPr>
            </w:pPr>
            <w:r w:rsidRPr="00826BBF">
              <w:rPr>
                <w:sz w:val="18"/>
                <w:szCs w:val="18"/>
                <w:lang w:val="es-ES_tradnl"/>
              </w:rPr>
              <w:t>Incremento Salarial Contractual Real en la Jurisdicción Federal (promedio de últimos seis años)</w:t>
            </w:r>
          </w:p>
        </w:tc>
        <w:tc>
          <w:tcPr>
            <w:tcW w:w="991" w:type="dxa"/>
          </w:tcPr>
          <w:p w14:paraId="562517B4" w14:textId="77777777" w:rsidR="00733E6D" w:rsidRPr="00826BBF" w:rsidRDefault="009E4D55">
            <w:pPr>
              <w:pStyle w:val="TableParagraph"/>
              <w:ind w:right="229"/>
              <w:jc w:val="right"/>
              <w:rPr>
                <w:sz w:val="18"/>
                <w:szCs w:val="18"/>
                <w:lang w:val="es-ES_tradnl"/>
              </w:rPr>
            </w:pPr>
            <w:r w:rsidRPr="00826BBF">
              <w:rPr>
                <w:w w:val="95"/>
                <w:sz w:val="18"/>
                <w:szCs w:val="18"/>
                <w:lang w:val="es-ES_tradnl"/>
              </w:rPr>
              <w:t>0,26%</w:t>
            </w:r>
          </w:p>
        </w:tc>
        <w:tc>
          <w:tcPr>
            <w:tcW w:w="1080" w:type="dxa"/>
          </w:tcPr>
          <w:p w14:paraId="66914794" w14:textId="77777777" w:rsidR="00733E6D" w:rsidRPr="00826BBF" w:rsidRDefault="009E4D55">
            <w:pPr>
              <w:pStyle w:val="TableParagraph"/>
              <w:ind w:right="272"/>
              <w:jc w:val="right"/>
              <w:rPr>
                <w:sz w:val="18"/>
                <w:szCs w:val="18"/>
                <w:lang w:val="es-ES_tradnl"/>
              </w:rPr>
            </w:pPr>
            <w:r w:rsidRPr="00826BBF">
              <w:rPr>
                <w:w w:val="95"/>
                <w:sz w:val="18"/>
                <w:szCs w:val="18"/>
                <w:lang w:val="es-ES_tradnl"/>
              </w:rPr>
              <w:t>0,35%</w:t>
            </w:r>
          </w:p>
        </w:tc>
        <w:tc>
          <w:tcPr>
            <w:tcW w:w="7201" w:type="dxa"/>
          </w:tcPr>
          <w:p w14:paraId="6D6EA9F3" w14:textId="2DDC3937" w:rsidR="00733E6D" w:rsidRPr="00826BBF" w:rsidRDefault="009E4D55" w:rsidP="002105B0">
            <w:pPr>
              <w:pStyle w:val="TableParagraph"/>
              <w:spacing w:line="276" w:lineRule="auto"/>
              <w:ind w:left="107" w:right="410"/>
              <w:rPr>
                <w:sz w:val="18"/>
                <w:szCs w:val="18"/>
                <w:lang w:val="es-ES_tradnl"/>
              </w:rPr>
            </w:pPr>
            <w:r w:rsidRPr="00826BBF">
              <w:rPr>
                <w:sz w:val="18"/>
                <w:szCs w:val="18"/>
                <w:lang w:val="es-ES_tradnl"/>
              </w:rPr>
              <w:t>El incremento salarial contractual es un promedio ponderado por el número de trabajadores involucrados en las negociaciones salariales. Cifras mensuales deflactadas con la inflación mensual interanual correspondiente y las cifras anuales con la inflación promedio del año respectivo. La STPS publica este indicador</w:t>
            </w:r>
            <w:r w:rsidR="002105B0" w:rsidRPr="00826BBF">
              <w:rPr>
                <w:sz w:val="18"/>
                <w:szCs w:val="18"/>
                <w:lang w:val="es-ES_tradnl"/>
              </w:rPr>
              <w:t xml:space="preserve"> </w:t>
            </w:r>
            <w:r w:rsidR="00731C9B" w:rsidRPr="00826BBF">
              <w:rPr>
                <w:sz w:val="18"/>
                <w:szCs w:val="18"/>
                <w:lang w:val="es-ES_tradnl"/>
              </w:rPr>
              <w:t xml:space="preserve"> </w:t>
            </w:r>
            <w:r w:rsidRPr="00826BBF">
              <w:rPr>
                <w:sz w:val="18"/>
                <w:szCs w:val="18"/>
                <w:lang w:val="es-ES_tradnl"/>
              </w:rPr>
              <w:t>mensualmente.</w:t>
            </w:r>
          </w:p>
        </w:tc>
      </w:tr>
      <w:tr w:rsidR="00733E6D" w:rsidRPr="00826BBF" w14:paraId="5BA7353E" w14:textId="77777777">
        <w:trPr>
          <w:trHeight w:val="657"/>
        </w:trPr>
        <w:tc>
          <w:tcPr>
            <w:tcW w:w="4405" w:type="dxa"/>
          </w:tcPr>
          <w:p w14:paraId="0776736F" w14:textId="6D7C1730" w:rsidR="00733E6D" w:rsidRPr="00826BBF" w:rsidRDefault="009E4D55">
            <w:pPr>
              <w:pStyle w:val="TableParagraph"/>
              <w:spacing w:line="278" w:lineRule="auto"/>
              <w:ind w:left="107" w:right="825"/>
              <w:rPr>
                <w:sz w:val="18"/>
                <w:szCs w:val="18"/>
                <w:lang w:val="es-ES_tradnl"/>
              </w:rPr>
            </w:pPr>
            <w:r w:rsidRPr="00826BBF">
              <w:rPr>
                <w:sz w:val="18"/>
                <w:szCs w:val="18"/>
                <w:lang w:val="es-ES_tradnl"/>
              </w:rPr>
              <w:t>%</w:t>
            </w:r>
            <w:r w:rsidR="002503D0">
              <w:rPr>
                <w:sz w:val="18"/>
                <w:szCs w:val="18"/>
                <w:lang w:val="es-ES_tradnl"/>
              </w:rPr>
              <w:t xml:space="preserve"> </w:t>
            </w:r>
            <w:r w:rsidRPr="00826BBF">
              <w:rPr>
                <w:sz w:val="18"/>
                <w:szCs w:val="18"/>
                <w:lang w:val="es-ES_tradnl"/>
              </w:rPr>
              <w:t>de disputas laborales individuales que se resuelven a través de la conciliación</w:t>
            </w:r>
          </w:p>
        </w:tc>
        <w:tc>
          <w:tcPr>
            <w:tcW w:w="991" w:type="dxa"/>
          </w:tcPr>
          <w:p w14:paraId="66372351" w14:textId="77777777" w:rsidR="00733E6D" w:rsidRPr="00826BBF" w:rsidRDefault="009E4D55">
            <w:pPr>
              <w:pStyle w:val="TableParagraph"/>
              <w:spacing w:line="206" w:lineRule="exact"/>
              <w:ind w:right="228"/>
              <w:jc w:val="right"/>
              <w:rPr>
                <w:sz w:val="18"/>
                <w:szCs w:val="18"/>
                <w:lang w:val="es-ES_tradnl"/>
              </w:rPr>
            </w:pPr>
            <w:r w:rsidRPr="00826BBF">
              <w:rPr>
                <w:w w:val="95"/>
                <w:sz w:val="18"/>
                <w:szCs w:val="18"/>
                <w:lang w:val="es-ES_tradnl"/>
              </w:rPr>
              <w:t>78,0%</w:t>
            </w:r>
          </w:p>
        </w:tc>
        <w:tc>
          <w:tcPr>
            <w:tcW w:w="1080" w:type="dxa"/>
          </w:tcPr>
          <w:p w14:paraId="6C52CAE4" w14:textId="77777777" w:rsidR="00733E6D" w:rsidRPr="00826BBF" w:rsidRDefault="009E4D55">
            <w:pPr>
              <w:pStyle w:val="TableParagraph"/>
              <w:spacing w:line="206" w:lineRule="exact"/>
              <w:ind w:right="271"/>
              <w:jc w:val="right"/>
              <w:rPr>
                <w:sz w:val="18"/>
                <w:szCs w:val="18"/>
                <w:lang w:val="es-ES_tradnl"/>
              </w:rPr>
            </w:pPr>
            <w:r w:rsidRPr="00826BBF">
              <w:rPr>
                <w:sz w:val="18"/>
                <w:szCs w:val="18"/>
                <w:lang w:val="es-ES_tradnl"/>
              </w:rPr>
              <w:t>83,0%</w:t>
            </w:r>
          </w:p>
        </w:tc>
        <w:tc>
          <w:tcPr>
            <w:tcW w:w="7201" w:type="dxa"/>
          </w:tcPr>
          <w:p w14:paraId="3F3E7F52" w14:textId="77777777" w:rsidR="00733E6D" w:rsidRPr="00826BBF" w:rsidRDefault="009E4D55">
            <w:pPr>
              <w:pStyle w:val="TableParagraph"/>
              <w:spacing w:before="90" w:line="276" w:lineRule="auto"/>
              <w:ind w:left="107" w:right="139"/>
              <w:rPr>
                <w:sz w:val="18"/>
                <w:szCs w:val="18"/>
                <w:lang w:val="es-ES_tradnl"/>
              </w:rPr>
            </w:pPr>
            <w:r w:rsidRPr="00826BBF">
              <w:rPr>
                <w:sz w:val="18"/>
                <w:szCs w:val="18"/>
                <w:lang w:val="es-ES_tradnl"/>
              </w:rPr>
              <w:t>Indica cantidad de disputas laborales que son resueltas antes de llegar a un juicio laboral. Es publicado anualmente por la STPS.</w:t>
            </w:r>
          </w:p>
        </w:tc>
      </w:tr>
      <w:tr w:rsidR="00733E6D" w:rsidRPr="000C7F87" w14:paraId="7B629A48" w14:textId="77777777">
        <w:trPr>
          <w:trHeight w:val="712"/>
        </w:trPr>
        <w:tc>
          <w:tcPr>
            <w:tcW w:w="4405" w:type="dxa"/>
          </w:tcPr>
          <w:p w14:paraId="38B27E2A" w14:textId="77777777" w:rsidR="00733E6D" w:rsidRPr="00826BBF" w:rsidRDefault="009E4D55">
            <w:pPr>
              <w:pStyle w:val="TableParagraph"/>
              <w:spacing w:line="276" w:lineRule="auto"/>
              <w:ind w:left="107" w:right="105"/>
              <w:rPr>
                <w:sz w:val="18"/>
                <w:szCs w:val="18"/>
                <w:lang w:val="es-ES_tradnl"/>
              </w:rPr>
            </w:pPr>
            <w:r w:rsidRPr="00826BBF">
              <w:rPr>
                <w:sz w:val="18"/>
                <w:szCs w:val="18"/>
                <w:lang w:val="es-ES_tradnl"/>
              </w:rPr>
              <w:t>% de contratos colectivos registrados ante el Centro Federal de Conciliación y Registro Laborales</w:t>
            </w:r>
          </w:p>
        </w:tc>
        <w:tc>
          <w:tcPr>
            <w:tcW w:w="991" w:type="dxa"/>
          </w:tcPr>
          <w:p w14:paraId="329EE7A7" w14:textId="77777777" w:rsidR="00733E6D" w:rsidRPr="00826BBF" w:rsidRDefault="009E4D55">
            <w:pPr>
              <w:pStyle w:val="TableParagraph"/>
              <w:spacing w:line="206" w:lineRule="exact"/>
              <w:ind w:left="344" w:right="335"/>
              <w:jc w:val="center"/>
              <w:rPr>
                <w:sz w:val="18"/>
                <w:szCs w:val="18"/>
                <w:lang w:val="es-ES_tradnl"/>
              </w:rPr>
            </w:pPr>
            <w:r w:rsidRPr="00826BBF">
              <w:rPr>
                <w:sz w:val="18"/>
                <w:szCs w:val="18"/>
                <w:lang w:val="es-ES_tradnl"/>
              </w:rPr>
              <w:t>0%</w:t>
            </w:r>
          </w:p>
        </w:tc>
        <w:tc>
          <w:tcPr>
            <w:tcW w:w="1080" w:type="dxa"/>
          </w:tcPr>
          <w:p w14:paraId="1529B5B5" w14:textId="77777777" w:rsidR="00733E6D" w:rsidRPr="00826BBF" w:rsidRDefault="009E4D55">
            <w:pPr>
              <w:pStyle w:val="TableParagraph"/>
              <w:spacing w:line="206" w:lineRule="exact"/>
              <w:ind w:left="360"/>
              <w:rPr>
                <w:sz w:val="18"/>
                <w:szCs w:val="18"/>
                <w:lang w:val="es-ES_tradnl"/>
              </w:rPr>
            </w:pPr>
            <w:r w:rsidRPr="00826BBF">
              <w:rPr>
                <w:sz w:val="18"/>
                <w:szCs w:val="18"/>
                <w:lang w:val="es-ES_tradnl"/>
              </w:rPr>
              <w:t>30%</w:t>
            </w:r>
          </w:p>
        </w:tc>
        <w:tc>
          <w:tcPr>
            <w:tcW w:w="7201" w:type="dxa"/>
          </w:tcPr>
          <w:p w14:paraId="54D7F1C3" w14:textId="6A7D99BA" w:rsidR="00733E6D" w:rsidRPr="00826BBF" w:rsidRDefault="009E4D55">
            <w:pPr>
              <w:pStyle w:val="TableParagraph"/>
              <w:spacing w:line="206" w:lineRule="exact"/>
              <w:ind w:left="107"/>
              <w:rPr>
                <w:sz w:val="18"/>
                <w:szCs w:val="18"/>
                <w:lang w:val="es-ES_tradnl"/>
              </w:rPr>
            </w:pPr>
            <w:r w:rsidRPr="00826BBF">
              <w:rPr>
                <w:sz w:val="18"/>
                <w:szCs w:val="18"/>
                <w:lang w:val="es-ES_tradnl"/>
              </w:rPr>
              <w:t>Indica el porcentaje de contratos colectivos que serán registrados utilizando la nueva institucionalidad. Se espera que conforme se vayan revisando los contratos colectivos</w:t>
            </w:r>
            <w:r w:rsidR="002503D0">
              <w:rPr>
                <w:sz w:val="18"/>
                <w:szCs w:val="18"/>
                <w:lang w:val="es-ES_tradnl"/>
              </w:rPr>
              <w:t xml:space="preserve"> </w:t>
            </w:r>
            <w:r w:rsidRPr="00826BBF">
              <w:rPr>
                <w:sz w:val="18"/>
                <w:szCs w:val="18"/>
                <w:lang w:val="es-ES_tradnl"/>
              </w:rPr>
              <w:t>de trabajo se vaya sistematizando la información de todos los existentes.</w:t>
            </w:r>
          </w:p>
        </w:tc>
      </w:tr>
      <w:tr w:rsidR="00733E6D" w:rsidRPr="000C7F87" w14:paraId="6507603B" w14:textId="77777777">
        <w:trPr>
          <w:trHeight w:val="549"/>
        </w:trPr>
        <w:tc>
          <w:tcPr>
            <w:tcW w:w="4405" w:type="dxa"/>
          </w:tcPr>
          <w:p w14:paraId="10C5B133" w14:textId="77777777" w:rsidR="00733E6D" w:rsidRPr="00826BBF" w:rsidRDefault="009E4D55">
            <w:pPr>
              <w:pStyle w:val="TableParagraph"/>
              <w:spacing w:before="1" w:line="276" w:lineRule="auto"/>
              <w:ind w:left="107" w:right="125"/>
              <w:rPr>
                <w:sz w:val="18"/>
                <w:szCs w:val="18"/>
                <w:lang w:val="es-ES_tradnl"/>
              </w:rPr>
            </w:pPr>
            <w:r w:rsidRPr="00826BBF">
              <w:rPr>
                <w:sz w:val="18"/>
                <w:szCs w:val="18"/>
                <w:lang w:val="es-ES_tradnl"/>
              </w:rPr>
              <w:t># de personas trabajadoras del hogar inscritas en el IMSS</w:t>
            </w:r>
          </w:p>
        </w:tc>
        <w:tc>
          <w:tcPr>
            <w:tcW w:w="991" w:type="dxa"/>
          </w:tcPr>
          <w:p w14:paraId="0B2B9A84" w14:textId="77777777" w:rsidR="00733E6D" w:rsidRPr="00826BBF" w:rsidRDefault="009E4D55">
            <w:pPr>
              <w:pStyle w:val="TableParagraph"/>
              <w:spacing w:before="1"/>
              <w:ind w:right="209"/>
              <w:jc w:val="right"/>
              <w:rPr>
                <w:sz w:val="18"/>
                <w:szCs w:val="18"/>
                <w:lang w:val="es-ES_tradnl"/>
              </w:rPr>
            </w:pPr>
            <w:r w:rsidRPr="00826BBF">
              <w:rPr>
                <w:sz w:val="18"/>
                <w:szCs w:val="18"/>
                <w:lang w:val="es-ES_tradnl"/>
              </w:rPr>
              <w:t>17.213</w:t>
            </w:r>
          </w:p>
        </w:tc>
        <w:tc>
          <w:tcPr>
            <w:tcW w:w="1080" w:type="dxa"/>
          </w:tcPr>
          <w:p w14:paraId="22D37B25" w14:textId="77777777" w:rsidR="00733E6D" w:rsidRPr="00826BBF" w:rsidRDefault="009E4D55">
            <w:pPr>
              <w:pStyle w:val="TableParagraph"/>
              <w:spacing w:before="1"/>
              <w:ind w:right="252"/>
              <w:jc w:val="right"/>
              <w:rPr>
                <w:sz w:val="18"/>
                <w:szCs w:val="18"/>
                <w:lang w:val="es-ES_tradnl"/>
              </w:rPr>
            </w:pPr>
            <w:r w:rsidRPr="00826BBF">
              <w:rPr>
                <w:sz w:val="18"/>
                <w:szCs w:val="18"/>
                <w:lang w:val="es-ES_tradnl"/>
              </w:rPr>
              <w:t>50.000</w:t>
            </w:r>
          </w:p>
        </w:tc>
        <w:tc>
          <w:tcPr>
            <w:tcW w:w="7201" w:type="dxa"/>
          </w:tcPr>
          <w:p w14:paraId="2627EEF8" w14:textId="77777777" w:rsidR="00733E6D" w:rsidRPr="00826BBF" w:rsidRDefault="009E4D55">
            <w:pPr>
              <w:pStyle w:val="TableParagraph"/>
              <w:spacing w:before="56"/>
              <w:ind w:left="86" w:right="99"/>
              <w:jc w:val="center"/>
              <w:rPr>
                <w:sz w:val="18"/>
                <w:szCs w:val="18"/>
                <w:lang w:val="es-ES_tradnl"/>
              </w:rPr>
            </w:pPr>
            <w:r w:rsidRPr="00826BBF">
              <w:rPr>
                <w:sz w:val="18"/>
                <w:szCs w:val="18"/>
                <w:lang w:val="es-ES_tradnl"/>
              </w:rPr>
              <w:t>Indica el número total de trabajadoras del hogar que son registradas al final del periodo</w:t>
            </w:r>
          </w:p>
        </w:tc>
      </w:tr>
      <w:tr w:rsidR="00733E6D" w:rsidRPr="000C7F87" w14:paraId="7141B65B" w14:textId="77777777">
        <w:trPr>
          <w:trHeight w:val="914"/>
        </w:trPr>
        <w:tc>
          <w:tcPr>
            <w:tcW w:w="4405" w:type="dxa"/>
          </w:tcPr>
          <w:p w14:paraId="6703A3DA" w14:textId="77777777" w:rsidR="00733E6D" w:rsidRPr="00826BBF" w:rsidRDefault="009E4D55">
            <w:pPr>
              <w:pStyle w:val="TableParagraph"/>
              <w:spacing w:line="276" w:lineRule="auto"/>
              <w:ind w:left="107" w:right="216"/>
              <w:rPr>
                <w:sz w:val="18"/>
                <w:szCs w:val="18"/>
                <w:lang w:val="es-ES_tradnl"/>
              </w:rPr>
            </w:pPr>
            <w:r w:rsidRPr="00826BBF">
              <w:rPr>
                <w:sz w:val="18"/>
                <w:szCs w:val="18"/>
                <w:lang w:val="es-ES_tradnl"/>
              </w:rPr>
              <w:t>Comisión promedio sobre saldo por administración de fondos de pensiones cobrados por las Administradoras de Fondos para el Retiro (Afore)</w:t>
            </w:r>
          </w:p>
        </w:tc>
        <w:tc>
          <w:tcPr>
            <w:tcW w:w="991" w:type="dxa"/>
          </w:tcPr>
          <w:p w14:paraId="11B1DC08" w14:textId="77777777" w:rsidR="00733E6D" w:rsidRPr="00826BBF" w:rsidRDefault="009E4D55">
            <w:pPr>
              <w:pStyle w:val="TableParagraph"/>
              <w:spacing w:before="1"/>
              <w:ind w:right="259"/>
              <w:jc w:val="right"/>
              <w:rPr>
                <w:sz w:val="18"/>
                <w:szCs w:val="18"/>
                <w:lang w:val="es-ES_tradnl"/>
              </w:rPr>
            </w:pPr>
            <w:r w:rsidRPr="00826BBF">
              <w:rPr>
                <w:sz w:val="18"/>
                <w:szCs w:val="18"/>
                <w:lang w:val="es-ES_tradnl"/>
              </w:rPr>
              <w:t>0,976%</w:t>
            </w:r>
          </w:p>
        </w:tc>
        <w:tc>
          <w:tcPr>
            <w:tcW w:w="1080" w:type="dxa"/>
          </w:tcPr>
          <w:p w14:paraId="6F52DFB7" w14:textId="77777777" w:rsidR="00733E6D" w:rsidRPr="00826BBF" w:rsidRDefault="009E4D55">
            <w:pPr>
              <w:pStyle w:val="TableParagraph"/>
              <w:spacing w:before="1"/>
              <w:ind w:left="107"/>
              <w:rPr>
                <w:sz w:val="18"/>
                <w:szCs w:val="18"/>
                <w:lang w:val="es-ES_tradnl"/>
              </w:rPr>
            </w:pPr>
            <w:r w:rsidRPr="00826BBF">
              <w:rPr>
                <w:sz w:val="18"/>
                <w:szCs w:val="18"/>
                <w:lang w:val="es-ES_tradnl"/>
              </w:rPr>
              <w:t>0,85%</w:t>
            </w:r>
          </w:p>
        </w:tc>
        <w:tc>
          <w:tcPr>
            <w:tcW w:w="7201" w:type="dxa"/>
          </w:tcPr>
          <w:p w14:paraId="595D7441" w14:textId="77777777" w:rsidR="00733E6D" w:rsidRPr="00826BBF" w:rsidRDefault="009E4D55" w:rsidP="00006103">
            <w:pPr>
              <w:pStyle w:val="TableParagraph"/>
              <w:spacing w:line="278" w:lineRule="auto"/>
              <w:ind w:left="107" w:right="139"/>
              <w:rPr>
                <w:sz w:val="18"/>
                <w:szCs w:val="18"/>
                <w:lang w:val="es-ES_tradnl"/>
              </w:rPr>
            </w:pPr>
            <w:r w:rsidRPr="00826BBF">
              <w:rPr>
                <w:sz w:val="18"/>
                <w:szCs w:val="18"/>
                <w:lang w:val="es-ES_tradnl"/>
              </w:rPr>
              <w:t>Indica el promedio ponderado de las comisiones que son cobradas a los trabajadores en sus cuentas individuales donde se administran los recursos para su retiro.</w:t>
            </w:r>
          </w:p>
        </w:tc>
      </w:tr>
    </w:tbl>
    <w:p w14:paraId="00FDAB9C" w14:textId="77777777" w:rsidR="00733E6D" w:rsidRPr="00826BBF" w:rsidRDefault="00733E6D">
      <w:pPr>
        <w:spacing w:line="278" w:lineRule="auto"/>
        <w:rPr>
          <w:sz w:val="18"/>
          <w:lang w:val="es-ES_tradnl"/>
        </w:rPr>
        <w:sectPr w:rsidR="00733E6D" w:rsidRPr="00826BBF">
          <w:headerReference w:type="default" r:id="rId15"/>
          <w:pgSz w:w="15840" w:h="12240" w:orient="landscape"/>
          <w:pgMar w:top="1200" w:right="960" w:bottom="280" w:left="960" w:header="725" w:footer="0" w:gutter="0"/>
          <w:pgNumType w:start="8"/>
          <w:cols w:space="720"/>
        </w:sectPr>
      </w:pPr>
    </w:p>
    <w:p w14:paraId="1EAD3E8A" w14:textId="77777777" w:rsidR="00733E6D" w:rsidRPr="00826BBF" w:rsidRDefault="00733E6D">
      <w:pPr>
        <w:pStyle w:val="BodyText"/>
        <w:rPr>
          <w:rFonts w:ascii="Times New Roman"/>
          <w:sz w:val="20"/>
          <w:lang w:val="es-ES_tradnl"/>
        </w:rPr>
      </w:pPr>
    </w:p>
    <w:p w14:paraId="71CC08D4" w14:textId="77777777" w:rsidR="00733E6D" w:rsidRPr="00826BBF" w:rsidRDefault="00733E6D">
      <w:pPr>
        <w:pStyle w:val="BodyText"/>
        <w:spacing w:before="2"/>
        <w:rPr>
          <w:rFonts w:ascii="Times New Roman"/>
          <w:sz w:val="15"/>
          <w:lang w:val="es-ES_tradnl"/>
        </w:rPr>
      </w:pP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6"/>
        <w:gridCol w:w="1080"/>
        <w:gridCol w:w="1080"/>
        <w:gridCol w:w="6031"/>
      </w:tblGrid>
      <w:tr w:rsidR="00733E6D" w:rsidRPr="00826BBF" w14:paraId="7B3634F2" w14:textId="77777777" w:rsidTr="1E446BA6">
        <w:trPr>
          <w:trHeight w:val="477"/>
        </w:trPr>
        <w:tc>
          <w:tcPr>
            <w:tcW w:w="5216" w:type="dxa"/>
            <w:shd w:val="clear" w:color="auto" w:fill="8DB3E1"/>
          </w:tcPr>
          <w:p w14:paraId="3B7BA6ED" w14:textId="77777777" w:rsidR="00733E6D" w:rsidRPr="00826BBF" w:rsidRDefault="009E4D55">
            <w:pPr>
              <w:pStyle w:val="TableParagraph"/>
              <w:spacing w:before="119"/>
              <w:ind w:left="1552"/>
              <w:rPr>
                <w:b/>
                <w:sz w:val="18"/>
                <w:lang w:val="es-ES_tradnl"/>
              </w:rPr>
            </w:pPr>
            <w:r w:rsidRPr="00826BBF">
              <w:rPr>
                <w:b/>
                <w:sz w:val="18"/>
                <w:lang w:val="es-ES_tradnl"/>
              </w:rPr>
              <w:t>Indicadores de Producto</w:t>
            </w:r>
          </w:p>
        </w:tc>
        <w:tc>
          <w:tcPr>
            <w:tcW w:w="1080" w:type="dxa"/>
            <w:shd w:val="clear" w:color="auto" w:fill="8DB3E1"/>
          </w:tcPr>
          <w:p w14:paraId="11BF99F5" w14:textId="77777777" w:rsidR="00733E6D" w:rsidRPr="00826BBF" w:rsidRDefault="009E4D55">
            <w:pPr>
              <w:pStyle w:val="TableParagraph"/>
              <w:spacing w:before="119"/>
              <w:ind w:left="102" w:right="93"/>
              <w:jc w:val="center"/>
              <w:rPr>
                <w:b/>
                <w:sz w:val="18"/>
                <w:lang w:val="es-ES_tradnl"/>
              </w:rPr>
            </w:pPr>
            <w:r w:rsidRPr="00826BBF">
              <w:rPr>
                <w:b/>
                <w:sz w:val="18"/>
                <w:lang w:val="es-ES_tradnl"/>
              </w:rPr>
              <w:t>Base</w:t>
            </w:r>
          </w:p>
        </w:tc>
        <w:tc>
          <w:tcPr>
            <w:tcW w:w="1080" w:type="dxa"/>
            <w:shd w:val="clear" w:color="auto" w:fill="8DB3E1"/>
          </w:tcPr>
          <w:p w14:paraId="7E8206E5" w14:textId="77777777" w:rsidR="00733E6D" w:rsidRPr="00826BBF" w:rsidRDefault="009E4D55">
            <w:pPr>
              <w:pStyle w:val="TableParagraph"/>
              <w:spacing w:line="206" w:lineRule="exact"/>
              <w:ind w:left="333"/>
              <w:rPr>
                <w:b/>
                <w:sz w:val="18"/>
                <w:lang w:val="es-ES_tradnl"/>
              </w:rPr>
            </w:pPr>
            <w:r w:rsidRPr="00826BBF">
              <w:rPr>
                <w:b/>
                <w:sz w:val="18"/>
                <w:lang w:val="es-ES_tradnl"/>
              </w:rPr>
              <w:t>Meta</w:t>
            </w:r>
          </w:p>
          <w:p w14:paraId="5D4F768D" w14:textId="77777777" w:rsidR="00733E6D" w:rsidRPr="00826BBF" w:rsidRDefault="009E4D55">
            <w:pPr>
              <w:pStyle w:val="TableParagraph"/>
              <w:spacing w:before="30"/>
              <w:ind w:left="278"/>
              <w:rPr>
                <w:b/>
                <w:sz w:val="18"/>
                <w:lang w:val="es-ES_tradnl"/>
              </w:rPr>
            </w:pPr>
            <w:r w:rsidRPr="00826BBF">
              <w:rPr>
                <w:b/>
                <w:sz w:val="18"/>
                <w:lang w:val="es-ES_tradnl"/>
              </w:rPr>
              <w:t>(2020)</w:t>
            </w:r>
          </w:p>
        </w:tc>
        <w:tc>
          <w:tcPr>
            <w:tcW w:w="6031" w:type="dxa"/>
            <w:shd w:val="clear" w:color="auto" w:fill="8DB3E1"/>
          </w:tcPr>
          <w:p w14:paraId="4C83E6B3" w14:textId="77777777" w:rsidR="00733E6D" w:rsidRPr="00826BBF" w:rsidRDefault="009E4D55">
            <w:pPr>
              <w:pStyle w:val="TableParagraph"/>
              <w:spacing w:before="119"/>
              <w:ind w:left="1327"/>
              <w:rPr>
                <w:b/>
                <w:sz w:val="18"/>
                <w:lang w:val="es-ES_tradnl"/>
              </w:rPr>
            </w:pPr>
            <w:r w:rsidRPr="00826BBF">
              <w:rPr>
                <w:b/>
                <w:sz w:val="18"/>
                <w:lang w:val="es-ES_tradnl"/>
              </w:rPr>
              <w:t>Observaciones / Medios de verificación</w:t>
            </w:r>
          </w:p>
        </w:tc>
      </w:tr>
      <w:tr w:rsidR="00733E6D" w:rsidRPr="000C7F87" w14:paraId="1806D752" w14:textId="77777777" w:rsidTr="1E446BA6">
        <w:trPr>
          <w:trHeight w:val="323"/>
        </w:trPr>
        <w:tc>
          <w:tcPr>
            <w:tcW w:w="13407" w:type="dxa"/>
            <w:gridSpan w:val="4"/>
            <w:shd w:val="clear" w:color="auto" w:fill="D9D9D9" w:themeFill="background1" w:themeFillShade="D9"/>
          </w:tcPr>
          <w:p w14:paraId="4ED9E3D9" w14:textId="687C6F19" w:rsidR="00733E6D" w:rsidRPr="00826BBF" w:rsidRDefault="009E4D55" w:rsidP="1E446BA6">
            <w:pPr>
              <w:pStyle w:val="TableParagraph"/>
              <w:spacing w:before="28"/>
              <w:ind w:left="107"/>
              <w:rPr>
                <w:b/>
                <w:bCs/>
                <w:sz w:val="20"/>
                <w:szCs w:val="20"/>
                <w:lang w:val="es-ES"/>
              </w:rPr>
            </w:pPr>
            <w:r w:rsidRPr="1E446BA6">
              <w:rPr>
                <w:b/>
                <w:bCs/>
                <w:sz w:val="18"/>
                <w:szCs w:val="18"/>
                <w:lang w:val="es-ES"/>
              </w:rPr>
              <w:t xml:space="preserve">Componente </w:t>
            </w:r>
            <w:r w:rsidR="431FDE05" w:rsidRPr="1E446BA6">
              <w:rPr>
                <w:b/>
                <w:bCs/>
                <w:sz w:val="18"/>
                <w:szCs w:val="18"/>
                <w:lang w:val="es-ES"/>
              </w:rPr>
              <w:t>2</w:t>
            </w:r>
            <w:r w:rsidRPr="1E446BA6">
              <w:rPr>
                <w:b/>
                <w:bCs/>
                <w:sz w:val="18"/>
                <w:szCs w:val="18"/>
                <w:lang w:val="es-ES"/>
              </w:rPr>
              <w:t xml:space="preserve">. </w:t>
            </w:r>
            <w:r w:rsidRPr="1E446BA6">
              <w:rPr>
                <w:b/>
                <w:bCs/>
                <w:sz w:val="20"/>
                <w:szCs w:val="20"/>
                <w:lang w:val="es-ES"/>
              </w:rPr>
              <w:t>Marco normativo para mejorar la calidad de los empleos</w:t>
            </w:r>
          </w:p>
        </w:tc>
      </w:tr>
      <w:tr w:rsidR="00733E6D" w:rsidRPr="000C7F87" w14:paraId="7762B280" w14:textId="77777777" w:rsidTr="1E446BA6">
        <w:trPr>
          <w:trHeight w:val="952"/>
        </w:trPr>
        <w:tc>
          <w:tcPr>
            <w:tcW w:w="5216" w:type="dxa"/>
          </w:tcPr>
          <w:p w14:paraId="00536685" w14:textId="1571CE52" w:rsidR="00733E6D" w:rsidRPr="00826BBF" w:rsidRDefault="009E4D55" w:rsidP="00731C9B">
            <w:pPr>
              <w:pStyle w:val="TableParagraph"/>
              <w:spacing w:line="276" w:lineRule="auto"/>
              <w:ind w:left="107" w:right="86"/>
              <w:rPr>
                <w:sz w:val="18"/>
                <w:lang w:val="es-ES_tradnl"/>
              </w:rPr>
            </w:pPr>
            <w:r w:rsidRPr="00826BBF">
              <w:rPr>
                <w:sz w:val="18"/>
                <w:lang w:val="es-ES_tradnl"/>
              </w:rPr>
              <w:t>2. Reforma a la Ley Federal del Trabajo que dé lugar a Tribunales Laborales del Poder Judicial de la Federación para la resolución de las diferencias o los conflictos entre</w:t>
            </w:r>
            <w:r w:rsidR="00731C9B" w:rsidRPr="00826BBF">
              <w:rPr>
                <w:sz w:val="18"/>
                <w:lang w:val="es-ES_tradnl"/>
              </w:rPr>
              <w:t xml:space="preserve"> </w:t>
            </w:r>
            <w:r w:rsidRPr="00826BBF">
              <w:rPr>
                <w:sz w:val="18"/>
                <w:lang w:val="es-ES_tradnl"/>
              </w:rPr>
              <w:t>trabajadores y patrones.</w:t>
            </w:r>
          </w:p>
        </w:tc>
        <w:tc>
          <w:tcPr>
            <w:tcW w:w="1080" w:type="dxa"/>
          </w:tcPr>
          <w:p w14:paraId="3B33763D" w14:textId="77777777" w:rsidR="00733E6D" w:rsidRPr="00826BBF" w:rsidRDefault="009E4D55">
            <w:pPr>
              <w:pStyle w:val="TableParagraph"/>
              <w:spacing w:before="126"/>
              <w:ind w:left="9"/>
              <w:jc w:val="center"/>
              <w:rPr>
                <w:sz w:val="18"/>
                <w:lang w:val="es-ES_tradnl"/>
              </w:rPr>
            </w:pPr>
            <w:r w:rsidRPr="00826BBF">
              <w:rPr>
                <w:w w:val="99"/>
                <w:sz w:val="18"/>
                <w:lang w:val="es-ES_tradnl"/>
              </w:rPr>
              <w:t>0</w:t>
            </w:r>
          </w:p>
        </w:tc>
        <w:tc>
          <w:tcPr>
            <w:tcW w:w="1080" w:type="dxa"/>
          </w:tcPr>
          <w:p w14:paraId="3A6558A9" w14:textId="77777777" w:rsidR="00733E6D" w:rsidRPr="00826BBF" w:rsidRDefault="009E4D55">
            <w:pPr>
              <w:pStyle w:val="TableParagraph"/>
              <w:spacing w:before="126"/>
              <w:ind w:left="9"/>
              <w:jc w:val="center"/>
              <w:rPr>
                <w:sz w:val="18"/>
                <w:lang w:val="es-ES_tradnl"/>
              </w:rPr>
            </w:pPr>
            <w:r w:rsidRPr="00826BBF">
              <w:rPr>
                <w:w w:val="99"/>
                <w:sz w:val="18"/>
                <w:lang w:val="es-ES_tradnl"/>
              </w:rPr>
              <w:t>1</w:t>
            </w:r>
          </w:p>
        </w:tc>
        <w:tc>
          <w:tcPr>
            <w:tcW w:w="6031" w:type="dxa"/>
          </w:tcPr>
          <w:p w14:paraId="5D072D53" w14:textId="2D6B1FD6" w:rsidR="00733E6D" w:rsidRPr="00826BBF" w:rsidRDefault="009E4D55">
            <w:pPr>
              <w:pStyle w:val="TableParagraph"/>
              <w:spacing w:line="276" w:lineRule="auto"/>
              <w:ind w:left="108" w:right="150"/>
              <w:jc w:val="both"/>
              <w:rPr>
                <w:sz w:val="18"/>
                <w:lang w:val="es-ES_tradnl"/>
              </w:rPr>
            </w:pPr>
            <w:r w:rsidRPr="00826BBF">
              <w:rPr>
                <w:sz w:val="18"/>
                <w:lang w:val="es-ES_tradnl"/>
              </w:rPr>
              <w:t>Proyecto de ley de reforma a la Ley Federal del Trabajo al Congreso de la Unión para su discusión y eventual aprobación. Medio de</w:t>
            </w:r>
            <w:r w:rsidRPr="00826BBF">
              <w:rPr>
                <w:spacing w:val="-30"/>
                <w:sz w:val="18"/>
                <w:lang w:val="es-ES_tradnl"/>
              </w:rPr>
              <w:t xml:space="preserve"> </w:t>
            </w:r>
            <w:r w:rsidRPr="00826BBF">
              <w:rPr>
                <w:sz w:val="18"/>
                <w:lang w:val="es-ES_tradnl"/>
              </w:rPr>
              <w:t xml:space="preserve">verificación: Publicación de la reforma a la Ley </w:t>
            </w:r>
            <w:r w:rsidR="00222DC7">
              <w:rPr>
                <w:sz w:val="18"/>
                <w:lang w:val="es-ES_tradnl"/>
              </w:rPr>
              <w:t>F</w:t>
            </w:r>
            <w:r w:rsidRPr="00826BBF">
              <w:rPr>
                <w:sz w:val="18"/>
                <w:lang w:val="es-ES_tradnl"/>
              </w:rPr>
              <w:t>ederal del Trabajo en el</w:t>
            </w:r>
            <w:r w:rsidRPr="00826BBF">
              <w:rPr>
                <w:spacing w:val="-21"/>
                <w:sz w:val="18"/>
                <w:lang w:val="es-ES_tradnl"/>
              </w:rPr>
              <w:t xml:space="preserve"> </w:t>
            </w:r>
            <w:r w:rsidRPr="00826BBF">
              <w:rPr>
                <w:sz w:val="18"/>
                <w:lang w:val="es-ES_tradnl"/>
              </w:rPr>
              <w:t>DOF.</w:t>
            </w:r>
          </w:p>
        </w:tc>
      </w:tr>
      <w:tr w:rsidR="00733E6D" w:rsidRPr="000C7F87" w14:paraId="2C45A937" w14:textId="77777777" w:rsidTr="1E446BA6">
        <w:trPr>
          <w:trHeight w:val="1190"/>
        </w:trPr>
        <w:tc>
          <w:tcPr>
            <w:tcW w:w="5216" w:type="dxa"/>
          </w:tcPr>
          <w:p w14:paraId="2066C12D" w14:textId="77777777" w:rsidR="00733E6D" w:rsidRPr="00826BBF" w:rsidRDefault="009E4D55">
            <w:pPr>
              <w:pStyle w:val="TableParagraph"/>
              <w:spacing w:line="276" w:lineRule="auto"/>
              <w:ind w:left="107"/>
              <w:rPr>
                <w:sz w:val="18"/>
                <w:lang w:val="es-ES_tradnl"/>
              </w:rPr>
            </w:pPr>
            <w:r w:rsidRPr="00826BBF">
              <w:rPr>
                <w:sz w:val="18"/>
                <w:lang w:val="es-ES_tradnl"/>
              </w:rPr>
              <w:t>3. Reforma a la Ley Federal del Trabajo, y presentación de la nueva Ley del Centro Nacional Federal de Conciliación y Registro Laboral, que instituya un proceso de conciliación prejudicial de disputas laborales.</w:t>
            </w:r>
          </w:p>
        </w:tc>
        <w:tc>
          <w:tcPr>
            <w:tcW w:w="1080" w:type="dxa"/>
          </w:tcPr>
          <w:p w14:paraId="40842157" w14:textId="77777777" w:rsidR="00733E6D" w:rsidRPr="00826BBF" w:rsidRDefault="009E4D55">
            <w:pPr>
              <w:pStyle w:val="TableParagraph"/>
              <w:ind w:left="9"/>
              <w:jc w:val="center"/>
              <w:rPr>
                <w:sz w:val="18"/>
                <w:lang w:val="es-ES_tradnl"/>
              </w:rPr>
            </w:pPr>
            <w:r w:rsidRPr="00826BBF">
              <w:rPr>
                <w:w w:val="99"/>
                <w:sz w:val="18"/>
                <w:lang w:val="es-ES_tradnl"/>
              </w:rPr>
              <w:t>0</w:t>
            </w:r>
          </w:p>
        </w:tc>
        <w:tc>
          <w:tcPr>
            <w:tcW w:w="1080" w:type="dxa"/>
          </w:tcPr>
          <w:p w14:paraId="3C67043B" w14:textId="77777777" w:rsidR="00733E6D" w:rsidRPr="00826BBF" w:rsidRDefault="009E4D55">
            <w:pPr>
              <w:pStyle w:val="TableParagraph"/>
              <w:ind w:left="9"/>
              <w:jc w:val="center"/>
              <w:rPr>
                <w:sz w:val="18"/>
                <w:lang w:val="es-ES_tradnl"/>
              </w:rPr>
            </w:pPr>
            <w:r w:rsidRPr="00826BBF">
              <w:rPr>
                <w:w w:val="99"/>
                <w:sz w:val="18"/>
                <w:lang w:val="es-ES_tradnl"/>
              </w:rPr>
              <w:t>1</w:t>
            </w:r>
          </w:p>
        </w:tc>
        <w:tc>
          <w:tcPr>
            <w:tcW w:w="6031" w:type="dxa"/>
          </w:tcPr>
          <w:p w14:paraId="571A2678" w14:textId="77777777" w:rsidR="00733E6D" w:rsidRPr="00826BBF" w:rsidRDefault="009E4D55">
            <w:pPr>
              <w:pStyle w:val="TableParagraph"/>
              <w:spacing w:line="276" w:lineRule="auto"/>
              <w:ind w:left="108" w:right="659"/>
              <w:rPr>
                <w:sz w:val="18"/>
                <w:lang w:val="es-ES_tradnl"/>
              </w:rPr>
            </w:pPr>
            <w:r w:rsidRPr="00826BBF">
              <w:rPr>
                <w:sz w:val="18"/>
                <w:lang w:val="es-ES_tradnl"/>
              </w:rPr>
              <w:t>Se iniciará un proceso de conciliación que facilite la resolución de conflictos laborales.</w:t>
            </w:r>
          </w:p>
          <w:p w14:paraId="2142BE09" w14:textId="77777777" w:rsidR="00733E6D" w:rsidRPr="00826BBF" w:rsidRDefault="009E4D55">
            <w:pPr>
              <w:pStyle w:val="TableParagraph"/>
              <w:spacing w:line="276" w:lineRule="auto"/>
              <w:ind w:left="108" w:right="440"/>
              <w:rPr>
                <w:sz w:val="18"/>
                <w:lang w:val="es-ES_tradnl"/>
              </w:rPr>
            </w:pPr>
            <w:r w:rsidRPr="00826BBF">
              <w:rPr>
                <w:sz w:val="18"/>
                <w:lang w:val="es-ES_tradnl"/>
              </w:rPr>
              <w:t>Medio de verificación: Publicación de la reforma a la Ley Federal del Trabajo y la publicación de la Ley Orgánica del Centro Federal de</w:t>
            </w:r>
          </w:p>
          <w:p w14:paraId="18811D17" w14:textId="77777777" w:rsidR="00733E6D" w:rsidRPr="00826BBF" w:rsidRDefault="009E4D55">
            <w:pPr>
              <w:pStyle w:val="TableParagraph"/>
              <w:ind w:left="108"/>
              <w:rPr>
                <w:sz w:val="18"/>
                <w:lang w:val="es-ES_tradnl"/>
              </w:rPr>
            </w:pPr>
            <w:r w:rsidRPr="00826BBF">
              <w:rPr>
                <w:sz w:val="18"/>
                <w:lang w:val="es-ES_tradnl"/>
              </w:rPr>
              <w:t>Conciliación y Registro Laboral en el DOF.</w:t>
            </w:r>
          </w:p>
        </w:tc>
      </w:tr>
      <w:tr w:rsidR="00733E6D" w:rsidRPr="000C7F87" w14:paraId="01371D8C" w14:textId="77777777" w:rsidTr="1E446BA6">
        <w:trPr>
          <w:trHeight w:val="714"/>
        </w:trPr>
        <w:tc>
          <w:tcPr>
            <w:tcW w:w="5216" w:type="dxa"/>
          </w:tcPr>
          <w:p w14:paraId="55E80D50" w14:textId="6FCA977C" w:rsidR="00733E6D" w:rsidRPr="00826BBF" w:rsidRDefault="009E4D55" w:rsidP="00731C9B">
            <w:pPr>
              <w:pStyle w:val="TableParagraph"/>
              <w:spacing w:line="276" w:lineRule="auto"/>
              <w:ind w:left="107" w:right="856"/>
              <w:rPr>
                <w:sz w:val="18"/>
                <w:lang w:val="es-ES_tradnl"/>
              </w:rPr>
            </w:pPr>
            <w:r w:rsidRPr="00826BBF">
              <w:rPr>
                <w:sz w:val="18"/>
                <w:lang w:val="es-ES_tradnl"/>
              </w:rPr>
              <w:t>4. Reforma a la Ley Federal del Trabajo en donde se establezca como requisito la paridad de género en la</w:t>
            </w:r>
            <w:r w:rsidR="00731C9B" w:rsidRPr="00826BBF">
              <w:rPr>
                <w:sz w:val="18"/>
                <w:lang w:val="es-ES_tradnl"/>
              </w:rPr>
              <w:t xml:space="preserve"> </w:t>
            </w:r>
            <w:r w:rsidRPr="00826BBF">
              <w:rPr>
                <w:sz w:val="18"/>
                <w:lang w:val="es-ES_tradnl"/>
              </w:rPr>
              <w:t>conformación de las directivas sindicales.</w:t>
            </w:r>
          </w:p>
        </w:tc>
        <w:tc>
          <w:tcPr>
            <w:tcW w:w="1080" w:type="dxa"/>
          </w:tcPr>
          <w:p w14:paraId="1A90A4EC" w14:textId="77777777" w:rsidR="00733E6D" w:rsidRPr="00826BBF" w:rsidRDefault="009E4D55">
            <w:pPr>
              <w:pStyle w:val="TableParagraph"/>
              <w:ind w:left="9"/>
              <w:jc w:val="center"/>
              <w:rPr>
                <w:sz w:val="18"/>
                <w:lang w:val="es-ES_tradnl"/>
              </w:rPr>
            </w:pPr>
            <w:r w:rsidRPr="00826BBF">
              <w:rPr>
                <w:w w:val="99"/>
                <w:sz w:val="18"/>
                <w:lang w:val="es-ES_tradnl"/>
              </w:rPr>
              <w:t>0</w:t>
            </w:r>
          </w:p>
        </w:tc>
        <w:tc>
          <w:tcPr>
            <w:tcW w:w="1080" w:type="dxa"/>
          </w:tcPr>
          <w:p w14:paraId="1E42DF77" w14:textId="77777777" w:rsidR="00733E6D" w:rsidRPr="00826BBF" w:rsidRDefault="009E4D55">
            <w:pPr>
              <w:pStyle w:val="TableParagraph"/>
              <w:ind w:left="9"/>
              <w:jc w:val="center"/>
              <w:rPr>
                <w:sz w:val="18"/>
                <w:lang w:val="es-ES_tradnl"/>
              </w:rPr>
            </w:pPr>
            <w:r w:rsidRPr="00826BBF">
              <w:rPr>
                <w:w w:val="99"/>
                <w:sz w:val="18"/>
                <w:lang w:val="es-ES_tradnl"/>
              </w:rPr>
              <w:t>1</w:t>
            </w:r>
          </w:p>
        </w:tc>
        <w:tc>
          <w:tcPr>
            <w:tcW w:w="6031" w:type="dxa"/>
          </w:tcPr>
          <w:p w14:paraId="068396A6" w14:textId="17CE3D39" w:rsidR="00733E6D" w:rsidRPr="00826BBF" w:rsidRDefault="009E4D55">
            <w:pPr>
              <w:pStyle w:val="TableParagraph"/>
              <w:spacing w:line="206" w:lineRule="exact"/>
              <w:ind w:left="108"/>
              <w:rPr>
                <w:sz w:val="18"/>
                <w:lang w:val="es-ES_tradnl"/>
              </w:rPr>
            </w:pPr>
            <w:r w:rsidRPr="00826BBF">
              <w:rPr>
                <w:sz w:val="18"/>
                <w:lang w:val="es-ES_tradnl"/>
              </w:rPr>
              <w:t>Publicación de la reforma a la</w:t>
            </w:r>
            <w:r w:rsidR="00731C9B" w:rsidRPr="00826BBF">
              <w:rPr>
                <w:sz w:val="18"/>
                <w:lang w:val="es-ES_tradnl"/>
              </w:rPr>
              <w:t xml:space="preserve"> </w:t>
            </w:r>
            <w:r w:rsidRPr="00826BBF">
              <w:rPr>
                <w:sz w:val="18"/>
                <w:lang w:val="es-ES_tradnl"/>
              </w:rPr>
              <w:t>Ley federal del Trabajo en el DOF.</w:t>
            </w:r>
          </w:p>
        </w:tc>
      </w:tr>
    </w:tbl>
    <w:p w14:paraId="3A754306" w14:textId="77777777" w:rsidR="00733E6D" w:rsidRPr="00826BBF" w:rsidRDefault="00733E6D">
      <w:pPr>
        <w:spacing w:line="206" w:lineRule="exact"/>
        <w:rPr>
          <w:sz w:val="18"/>
          <w:lang w:val="es-ES_tradnl"/>
        </w:rPr>
        <w:sectPr w:rsidR="00733E6D" w:rsidRPr="00826BBF">
          <w:pgSz w:w="15840" w:h="12240" w:orient="landscape"/>
          <w:pgMar w:top="1200" w:right="960" w:bottom="280" w:left="960" w:header="725" w:footer="0" w:gutter="0"/>
          <w:cols w:space="720"/>
        </w:sectPr>
      </w:pPr>
    </w:p>
    <w:p w14:paraId="3F991BBE" w14:textId="77777777" w:rsidR="00733E6D" w:rsidRPr="00826BBF" w:rsidRDefault="00733E6D">
      <w:pPr>
        <w:pStyle w:val="BodyText"/>
        <w:rPr>
          <w:rFonts w:ascii="Times New Roman"/>
          <w:sz w:val="20"/>
          <w:lang w:val="es-ES_tradnl"/>
        </w:rPr>
      </w:pPr>
    </w:p>
    <w:p w14:paraId="6FCA0FCD" w14:textId="77777777" w:rsidR="00733E6D" w:rsidRPr="00826BBF" w:rsidRDefault="00733E6D">
      <w:pPr>
        <w:pStyle w:val="BodyText"/>
        <w:rPr>
          <w:rFonts w:ascii="Times New Roman"/>
          <w:sz w:val="20"/>
          <w:lang w:val="es-ES_tradnl"/>
        </w:rPr>
      </w:pPr>
    </w:p>
    <w:p w14:paraId="35CD2C20" w14:textId="77777777" w:rsidR="00733E6D" w:rsidRPr="00826BBF" w:rsidRDefault="00733E6D">
      <w:pPr>
        <w:pStyle w:val="BodyText"/>
        <w:spacing w:before="11"/>
        <w:rPr>
          <w:rFonts w:ascii="Times New Roman"/>
          <w:sz w:val="10"/>
          <w:lang w:val="es-ES_tradnl"/>
        </w:rPr>
      </w:pP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16"/>
        <w:gridCol w:w="1080"/>
        <w:gridCol w:w="1080"/>
        <w:gridCol w:w="6031"/>
      </w:tblGrid>
      <w:tr w:rsidR="00733E6D" w:rsidRPr="00826BBF" w14:paraId="581C9FF9" w14:textId="77777777" w:rsidTr="1E446BA6">
        <w:trPr>
          <w:trHeight w:val="477"/>
        </w:trPr>
        <w:tc>
          <w:tcPr>
            <w:tcW w:w="5216" w:type="dxa"/>
            <w:shd w:val="clear" w:color="auto" w:fill="8DB3E1"/>
          </w:tcPr>
          <w:p w14:paraId="1B229CD2" w14:textId="77777777" w:rsidR="00733E6D" w:rsidRPr="00826BBF" w:rsidRDefault="009E4D55">
            <w:pPr>
              <w:pStyle w:val="TableParagraph"/>
              <w:spacing w:before="119"/>
              <w:ind w:left="1552"/>
              <w:rPr>
                <w:b/>
                <w:sz w:val="18"/>
                <w:lang w:val="es-ES_tradnl"/>
              </w:rPr>
            </w:pPr>
            <w:r w:rsidRPr="00826BBF">
              <w:rPr>
                <w:b/>
                <w:sz w:val="18"/>
                <w:lang w:val="es-ES_tradnl"/>
              </w:rPr>
              <w:t>Indicadores de Producto</w:t>
            </w:r>
          </w:p>
        </w:tc>
        <w:tc>
          <w:tcPr>
            <w:tcW w:w="1080" w:type="dxa"/>
            <w:shd w:val="clear" w:color="auto" w:fill="8DB3E1"/>
          </w:tcPr>
          <w:p w14:paraId="19E6EBEC" w14:textId="77777777" w:rsidR="00733E6D" w:rsidRPr="00826BBF" w:rsidRDefault="009E4D55">
            <w:pPr>
              <w:pStyle w:val="TableParagraph"/>
              <w:spacing w:before="119"/>
              <w:ind w:left="102" w:right="93"/>
              <w:jc w:val="center"/>
              <w:rPr>
                <w:b/>
                <w:sz w:val="18"/>
                <w:lang w:val="es-ES_tradnl"/>
              </w:rPr>
            </w:pPr>
            <w:r w:rsidRPr="00826BBF">
              <w:rPr>
                <w:b/>
                <w:sz w:val="18"/>
                <w:lang w:val="es-ES_tradnl"/>
              </w:rPr>
              <w:t>Base</w:t>
            </w:r>
          </w:p>
        </w:tc>
        <w:tc>
          <w:tcPr>
            <w:tcW w:w="1080" w:type="dxa"/>
            <w:shd w:val="clear" w:color="auto" w:fill="8DB3E1"/>
          </w:tcPr>
          <w:p w14:paraId="4AF58916" w14:textId="77777777" w:rsidR="00733E6D" w:rsidRPr="00826BBF" w:rsidRDefault="009E4D55">
            <w:pPr>
              <w:pStyle w:val="TableParagraph"/>
              <w:spacing w:line="206" w:lineRule="exact"/>
              <w:ind w:left="333"/>
              <w:rPr>
                <w:b/>
                <w:sz w:val="18"/>
                <w:lang w:val="es-ES_tradnl"/>
              </w:rPr>
            </w:pPr>
            <w:r w:rsidRPr="00826BBF">
              <w:rPr>
                <w:b/>
                <w:sz w:val="18"/>
                <w:lang w:val="es-ES_tradnl"/>
              </w:rPr>
              <w:t>Meta</w:t>
            </w:r>
          </w:p>
          <w:p w14:paraId="4898EE5A" w14:textId="77777777" w:rsidR="00733E6D" w:rsidRPr="00826BBF" w:rsidRDefault="009E4D55">
            <w:pPr>
              <w:pStyle w:val="TableParagraph"/>
              <w:spacing w:before="30"/>
              <w:ind w:left="278"/>
              <w:rPr>
                <w:b/>
                <w:sz w:val="18"/>
                <w:lang w:val="es-ES_tradnl"/>
              </w:rPr>
            </w:pPr>
            <w:r w:rsidRPr="00826BBF">
              <w:rPr>
                <w:b/>
                <w:sz w:val="18"/>
                <w:lang w:val="es-ES_tradnl"/>
              </w:rPr>
              <w:t>(2020)</w:t>
            </w:r>
          </w:p>
        </w:tc>
        <w:tc>
          <w:tcPr>
            <w:tcW w:w="6031" w:type="dxa"/>
            <w:shd w:val="clear" w:color="auto" w:fill="8DB3E1"/>
          </w:tcPr>
          <w:p w14:paraId="2DFCD8F9" w14:textId="77777777" w:rsidR="00733E6D" w:rsidRPr="00826BBF" w:rsidRDefault="009E4D55">
            <w:pPr>
              <w:pStyle w:val="TableParagraph"/>
              <w:spacing w:before="119"/>
              <w:ind w:left="1327"/>
              <w:rPr>
                <w:b/>
                <w:sz w:val="18"/>
                <w:lang w:val="es-ES_tradnl"/>
              </w:rPr>
            </w:pPr>
            <w:r w:rsidRPr="00826BBF">
              <w:rPr>
                <w:b/>
                <w:sz w:val="18"/>
                <w:lang w:val="es-ES_tradnl"/>
              </w:rPr>
              <w:t>Observaciones / Medios de verificación</w:t>
            </w:r>
          </w:p>
        </w:tc>
      </w:tr>
      <w:tr w:rsidR="00733E6D" w:rsidRPr="000C7F87" w14:paraId="604F43EF" w14:textId="77777777" w:rsidTr="1E446BA6">
        <w:trPr>
          <w:trHeight w:val="436"/>
        </w:trPr>
        <w:tc>
          <w:tcPr>
            <w:tcW w:w="13407" w:type="dxa"/>
            <w:gridSpan w:val="4"/>
            <w:shd w:val="clear" w:color="auto" w:fill="D9D9D9" w:themeFill="background1" w:themeFillShade="D9"/>
          </w:tcPr>
          <w:p w14:paraId="5D31F34A" w14:textId="08BF09E5" w:rsidR="00733E6D" w:rsidRPr="00826BBF" w:rsidRDefault="009E4D55" w:rsidP="1E446BA6">
            <w:pPr>
              <w:pStyle w:val="TableParagraph"/>
              <w:spacing w:before="1"/>
              <w:ind w:left="107"/>
              <w:rPr>
                <w:b/>
                <w:bCs/>
                <w:sz w:val="18"/>
                <w:szCs w:val="18"/>
                <w:lang w:val="es-ES"/>
              </w:rPr>
            </w:pPr>
            <w:r w:rsidRPr="1E446BA6">
              <w:rPr>
                <w:b/>
                <w:bCs/>
                <w:sz w:val="18"/>
                <w:szCs w:val="18"/>
                <w:lang w:val="es-ES"/>
              </w:rPr>
              <w:t xml:space="preserve">Componente </w:t>
            </w:r>
            <w:r w:rsidR="59B5328A" w:rsidRPr="1E446BA6">
              <w:rPr>
                <w:b/>
                <w:bCs/>
                <w:sz w:val="18"/>
                <w:szCs w:val="18"/>
                <w:lang w:val="es-ES"/>
              </w:rPr>
              <w:t>3</w:t>
            </w:r>
            <w:r w:rsidRPr="1E446BA6">
              <w:rPr>
                <w:b/>
                <w:bCs/>
                <w:sz w:val="18"/>
                <w:szCs w:val="18"/>
                <w:lang w:val="es-ES"/>
              </w:rPr>
              <w:t>. Marco normativo y uso de tecnología para mejorar la resolución de los conflictos laborales individuales</w:t>
            </w:r>
          </w:p>
        </w:tc>
      </w:tr>
      <w:tr w:rsidR="00733E6D" w:rsidRPr="000C7F87" w14:paraId="7E7BF5DE" w14:textId="77777777" w:rsidTr="1E446BA6">
        <w:trPr>
          <w:trHeight w:val="1805"/>
        </w:trPr>
        <w:tc>
          <w:tcPr>
            <w:tcW w:w="5216" w:type="dxa"/>
          </w:tcPr>
          <w:p w14:paraId="5BEE10CC" w14:textId="77777777" w:rsidR="00733E6D" w:rsidRPr="00826BBF" w:rsidRDefault="009E4D55">
            <w:pPr>
              <w:pStyle w:val="TableParagraph"/>
              <w:spacing w:line="278" w:lineRule="auto"/>
              <w:ind w:left="107" w:right="86"/>
              <w:rPr>
                <w:sz w:val="18"/>
                <w:lang w:val="es-ES_tradnl"/>
              </w:rPr>
            </w:pPr>
            <w:r w:rsidRPr="00826BBF">
              <w:rPr>
                <w:sz w:val="18"/>
                <w:lang w:val="es-ES_tradnl"/>
              </w:rPr>
              <w:t>5. Reforma a la Ley Federal del Trabajo que instituya los procesos democráticos de acreditación de la representatividad de los sindicatos y la aprobación y registro de los contratos colectivos.</w:t>
            </w:r>
          </w:p>
        </w:tc>
        <w:tc>
          <w:tcPr>
            <w:tcW w:w="1080" w:type="dxa"/>
          </w:tcPr>
          <w:p w14:paraId="57074E4E" w14:textId="77777777" w:rsidR="00733E6D" w:rsidRPr="00826BBF" w:rsidRDefault="00733E6D">
            <w:pPr>
              <w:pStyle w:val="TableParagraph"/>
              <w:rPr>
                <w:rFonts w:ascii="Times New Roman"/>
                <w:sz w:val="20"/>
                <w:lang w:val="es-ES_tradnl"/>
              </w:rPr>
            </w:pPr>
          </w:p>
          <w:p w14:paraId="4E53EB44" w14:textId="77777777" w:rsidR="00733E6D" w:rsidRPr="00826BBF" w:rsidRDefault="00733E6D">
            <w:pPr>
              <w:pStyle w:val="TableParagraph"/>
              <w:rPr>
                <w:rFonts w:ascii="Times New Roman"/>
                <w:sz w:val="20"/>
                <w:lang w:val="es-ES_tradnl"/>
              </w:rPr>
            </w:pPr>
          </w:p>
          <w:p w14:paraId="04755CE2" w14:textId="77777777" w:rsidR="00733E6D" w:rsidRPr="00826BBF" w:rsidRDefault="00733E6D">
            <w:pPr>
              <w:pStyle w:val="TableParagraph"/>
              <w:rPr>
                <w:rFonts w:ascii="Times New Roman"/>
                <w:sz w:val="20"/>
                <w:lang w:val="es-ES_tradnl"/>
              </w:rPr>
            </w:pPr>
          </w:p>
          <w:p w14:paraId="25790107" w14:textId="77777777" w:rsidR="00733E6D" w:rsidRPr="00826BBF" w:rsidRDefault="00733E6D">
            <w:pPr>
              <w:pStyle w:val="TableParagraph"/>
              <w:spacing w:before="10"/>
              <w:rPr>
                <w:rFonts w:ascii="Times New Roman"/>
                <w:sz w:val="29"/>
                <w:lang w:val="es-ES_tradnl"/>
              </w:rPr>
            </w:pPr>
          </w:p>
          <w:p w14:paraId="2E29227D" w14:textId="77777777" w:rsidR="00733E6D" w:rsidRPr="00826BBF" w:rsidRDefault="009E4D55">
            <w:pPr>
              <w:pStyle w:val="TableParagraph"/>
              <w:ind w:left="9"/>
              <w:jc w:val="center"/>
              <w:rPr>
                <w:sz w:val="18"/>
                <w:lang w:val="es-ES_tradnl"/>
              </w:rPr>
            </w:pPr>
            <w:r w:rsidRPr="00826BBF">
              <w:rPr>
                <w:w w:val="99"/>
                <w:sz w:val="18"/>
                <w:lang w:val="es-ES_tradnl"/>
              </w:rPr>
              <w:t>0</w:t>
            </w:r>
          </w:p>
        </w:tc>
        <w:tc>
          <w:tcPr>
            <w:tcW w:w="1080" w:type="dxa"/>
          </w:tcPr>
          <w:p w14:paraId="7B1CF10B" w14:textId="77777777" w:rsidR="00733E6D" w:rsidRPr="00826BBF" w:rsidRDefault="00733E6D">
            <w:pPr>
              <w:pStyle w:val="TableParagraph"/>
              <w:rPr>
                <w:rFonts w:ascii="Times New Roman"/>
                <w:sz w:val="20"/>
                <w:lang w:val="es-ES_tradnl"/>
              </w:rPr>
            </w:pPr>
          </w:p>
          <w:p w14:paraId="205838D2" w14:textId="77777777" w:rsidR="00733E6D" w:rsidRPr="00826BBF" w:rsidRDefault="00733E6D">
            <w:pPr>
              <w:pStyle w:val="TableParagraph"/>
              <w:rPr>
                <w:rFonts w:ascii="Times New Roman"/>
                <w:sz w:val="20"/>
                <w:lang w:val="es-ES_tradnl"/>
              </w:rPr>
            </w:pPr>
          </w:p>
          <w:p w14:paraId="738893A6" w14:textId="77777777" w:rsidR="00733E6D" w:rsidRPr="00826BBF" w:rsidRDefault="00733E6D">
            <w:pPr>
              <w:pStyle w:val="TableParagraph"/>
              <w:rPr>
                <w:rFonts w:ascii="Times New Roman"/>
                <w:sz w:val="20"/>
                <w:lang w:val="es-ES_tradnl"/>
              </w:rPr>
            </w:pPr>
          </w:p>
          <w:p w14:paraId="59952C75" w14:textId="77777777" w:rsidR="00733E6D" w:rsidRPr="00826BBF" w:rsidRDefault="00733E6D">
            <w:pPr>
              <w:pStyle w:val="TableParagraph"/>
              <w:spacing w:before="10"/>
              <w:rPr>
                <w:rFonts w:ascii="Times New Roman"/>
                <w:sz w:val="29"/>
                <w:lang w:val="es-ES_tradnl"/>
              </w:rPr>
            </w:pPr>
          </w:p>
          <w:p w14:paraId="4AD766BC" w14:textId="77777777" w:rsidR="00733E6D" w:rsidRPr="00826BBF" w:rsidRDefault="009E4D55">
            <w:pPr>
              <w:pStyle w:val="TableParagraph"/>
              <w:ind w:left="9"/>
              <w:jc w:val="center"/>
              <w:rPr>
                <w:sz w:val="18"/>
                <w:lang w:val="es-ES_tradnl"/>
              </w:rPr>
            </w:pPr>
            <w:r w:rsidRPr="00826BBF">
              <w:rPr>
                <w:w w:val="99"/>
                <w:sz w:val="18"/>
                <w:lang w:val="es-ES_tradnl"/>
              </w:rPr>
              <w:t>1</w:t>
            </w:r>
          </w:p>
        </w:tc>
        <w:tc>
          <w:tcPr>
            <w:tcW w:w="6031" w:type="dxa"/>
          </w:tcPr>
          <w:p w14:paraId="448D1928" w14:textId="77777777" w:rsidR="00733E6D" w:rsidRPr="00826BBF" w:rsidRDefault="009E4D55">
            <w:pPr>
              <w:pStyle w:val="TableParagraph"/>
              <w:spacing w:line="278" w:lineRule="auto"/>
              <w:ind w:left="108"/>
              <w:rPr>
                <w:sz w:val="18"/>
                <w:lang w:val="es-ES_tradnl"/>
              </w:rPr>
            </w:pPr>
            <w:r w:rsidRPr="00826BBF">
              <w:rPr>
                <w:sz w:val="18"/>
                <w:lang w:val="es-ES_tradnl"/>
              </w:rPr>
              <w:t>Se iniciará un nuevo proceso de verificación de la elección de representatividad sindical, así como de registro público de los contratos colectivos.</w:t>
            </w:r>
          </w:p>
          <w:p w14:paraId="740AEBB8" w14:textId="77777777" w:rsidR="00733E6D" w:rsidRPr="00826BBF" w:rsidRDefault="00733E6D">
            <w:pPr>
              <w:pStyle w:val="TableParagraph"/>
              <w:spacing w:before="8"/>
              <w:rPr>
                <w:rFonts w:ascii="Times New Roman"/>
                <w:sz w:val="23"/>
                <w:lang w:val="es-ES_tradnl"/>
              </w:rPr>
            </w:pPr>
          </w:p>
          <w:p w14:paraId="6201EA07" w14:textId="5E0F6F33" w:rsidR="00733E6D" w:rsidRPr="00826BBF" w:rsidRDefault="009E4D55">
            <w:pPr>
              <w:pStyle w:val="TableParagraph"/>
              <w:spacing w:line="276" w:lineRule="auto"/>
              <w:ind w:left="108" w:right="456"/>
              <w:jc w:val="both"/>
              <w:rPr>
                <w:sz w:val="18"/>
                <w:lang w:val="es-ES_tradnl"/>
              </w:rPr>
            </w:pPr>
            <w:r w:rsidRPr="00826BBF">
              <w:rPr>
                <w:sz w:val="18"/>
                <w:lang w:val="es-ES_tradnl"/>
              </w:rPr>
              <w:t>Medio de verificación: Publicación de la reforma a la Ley Federal del Trabajo y publicación del Protocolo para la Legitimación de Contrato</w:t>
            </w:r>
            <w:r w:rsidR="00913D21">
              <w:rPr>
                <w:sz w:val="18"/>
                <w:lang w:val="es-ES_tradnl"/>
              </w:rPr>
              <w:t>s</w:t>
            </w:r>
            <w:r w:rsidRPr="00826BBF">
              <w:rPr>
                <w:sz w:val="18"/>
                <w:lang w:val="es-ES_tradnl"/>
              </w:rPr>
              <w:t xml:space="preserve"> Colectivos Existentes en el Diario Oficial de la Federación.</w:t>
            </w:r>
          </w:p>
        </w:tc>
      </w:tr>
      <w:tr w:rsidR="00733E6D" w:rsidRPr="00390A0B" w14:paraId="744ED049" w14:textId="77777777" w:rsidTr="1E446BA6">
        <w:trPr>
          <w:trHeight w:val="465"/>
        </w:trPr>
        <w:tc>
          <w:tcPr>
            <w:tcW w:w="13407" w:type="dxa"/>
            <w:gridSpan w:val="4"/>
            <w:shd w:val="clear" w:color="auto" w:fill="D9D9D9" w:themeFill="background1" w:themeFillShade="D9"/>
          </w:tcPr>
          <w:p w14:paraId="749431FE" w14:textId="2C2FF794" w:rsidR="00733E6D" w:rsidRPr="00826BBF" w:rsidRDefault="009E4D55" w:rsidP="1E446BA6">
            <w:pPr>
              <w:pStyle w:val="TableParagraph"/>
              <w:spacing w:line="229" w:lineRule="exact"/>
              <w:ind w:left="107"/>
              <w:rPr>
                <w:b/>
                <w:bCs/>
                <w:sz w:val="20"/>
                <w:szCs w:val="20"/>
                <w:lang w:val="es-ES"/>
              </w:rPr>
            </w:pPr>
            <w:r w:rsidRPr="1E446BA6">
              <w:rPr>
                <w:b/>
                <w:bCs/>
                <w:sz w:val="20"/>
                <w:szCs w:val="20"/>
                <w:lang w:val="es-ES"/>
              </w:rPr>
              <w:t xml:space="preserve">Componente </w:t>
            </w:r>
            <w:r w:rsidR="03F8EABE" w:rsidRPr="1E446BA6">
              <w:rPr>
                <w:b/>
                <w:bCs/>
                <w:sz w:val="20"/>
                <w:szCs w:val="20"/>
                <w:lang w:val="es-ES"/>
              </w:rPr>
              <w:t>4</w:t>
            </w:r>
            <w:r w:rsidRPr="1E446BA6">
              <w:rPr>
                <w:b/>
                <w:bCs/>
                <w:sz w:val="20"/>
                <w:szCs w:val="20"/>
                <w:lang w:val="es-ES"/>
              </w:rPr>
              <w:t>. Marco normativo para mejorar el funcionamiento de la seguridad social</w:t>
            </w:r>
          </w:p>
        </w:tc>
      </w:tr>
      <w:tr w:rsidR="00733E6D" w:rsidRPr="00390A0B" w14:paraId="522EE84B" w14:textId="77777777" w:rsidTr="1E446BA6">
        <w:trPr>
          <w:trHeight w:val="1230"/>
        </w:trPr>
        <w:tc>
          <w:tcPr>
            <w:tcW w:w="5216" w:type="dxa"/>
          </w:tcPr>
          <w:p w14:paraId="0E9979D5" w14:textId="1570F13B" w:rsidR="00733E6D" w:rsidRPr="00826BBF" w:rsidRDefault="009E4D55">
            <w:pPr>
              <w:pStyle w:val="TableParagraph"/>
              <w:spacing w:line="278" w:lineRule="auto"/>
              <w:ind w:left="107" w:right="166"/>
              <w:rPr>
                <w:sz w:val="18"/>
                <w:lang w:val="es-ES_tradnl"/>
              </w:rPr>
            </w:pPr>
            <w:r w:rsidRPr="00826BBF">
              <w:rPr>
                <w:sz w:val="18"/>
                <w:lang w:val="es-ES_tradnl"/>
              </w:rPr>
              <w:t xml:space="preserve">6. </w:t>
            </w:r>
            <w:r w:rsidR="00915FEB" w:rsidRPr="00E110EA">
              <w:rPr>
                <w:sz w:val="18"/>
                <w:szCs w:val="18"/>
                <w:lang w:val="es-MX"/>
              </w:rPr>
              <w:t>Reforma a la Ley Federal del Trabajo que incluya disposiciones que desconozcan el efecto legal de estipulaciones que impidan o limiten el goce y ejercicio de los derechos laborales, incluyendo seguridad social y menores salarios.</w:t>
            </w:r>
          </w:p>
        </w:tc>
        <w:tc>
          <w:tcPr>
            <w:tcW w:w="1080" w:type="dxa"/>
          </w:tcPr>
          <w:p w14:paraId="30E396DA" w14:textId="77777777" w:rsidR="00733E6D" w:rsidRPr="00826BBF" w:rsidRDefault="00733E6D">
            <w:pPr>
              <w:pStyle w:val="TableParagraph"/>
              <w:rPr>
                <w:rFonts w:ascii="Times New Roman"/>
                <w:sz w:val="20"/>
                <w:lang w:val="es-ES_tradnl"/>
              </w:rPr>
            </w:pPr>
          </w:p>
          <w:p w14:paraId="261F050F" w14:textId="77777777" w:rsidR="00733E6D" w:rsidRPr="00826BBF" w:rsidRDefault="009E4D55">
            <w:pPr>
              <w:pStyle w:val="TableParagraph"/>
              <w:spacing w:before="167"/>
              <w:ind w:left="9"/>
              <w:jc w:val="center"/>
              <w:rPr>
                <w:sz w:val="18"/>
                <w:lang w:val="es-ES_tradnl"/>
              </w:rPr>
            </w:pPr>
            <w:r w:rsidRPr="00826BBF">
              <w:rPr>
                <w:w w:val="99"/>
                <w:sz w:val="18"/>
                <w:lang w:val="es-ES_tradnl"/>
              </w:rPr>
              <w:t>0</w:t>
            </w:r>
          </w:p>
        </w:tc>
        <w:tc>
          <w:tcPr>
            <w:tcW w:w="1080" w:type="dxa"/>
          </w:tcPr>
          <w:p w14:paraId="0F11DE74" w14:textId="77777777" w:rsidR="00733E6D" w:rsidRPr="00826BBF" w:rsidRDefault="00733E6D">
            <w:pPr>
              <w:pStyle w:val="TableParagraph"/>
              <w:rPr>
                <w:rFonts w:ascii="Times New Roman"/>
                <w:sz w:val="20"/>
                <w:lang w:val="es-ES_tradnl"/>
              </w:rPr>
            </w:pPr>
          </w:p>
          <w:p w14:paraId="3B8FBEFD" w14:textId="77777777" w:rsidR="00733E6D" w:rsidRPr="00826BBF" w:rsidRDefault="009E4D55">
            <w:pPr>
              <w:pStyle w:val="TableParagraph"/>
              <w:spacing w:before="167"/>
              <w:ind w:left="9"/>
              <w:jc w:val="center"/>
              <w:rPr>
                <w:sz w:val="18"/>
                <w:lang w:val="es-ES_tradnl"/>
              </w:rPr>
            </w:pPr>
            <w:r w:rsidRPr="00826BBF">
              <w:rPr>
                <w:w w:val="99"/>
                <w:sz w:val="18"/>
                <w:lang w:val="es-ES_tradnl"/>
              </w:rPr>
              <w:t>1</w:t>
            </w:r>
          </w:p>
        </w:tc>
        <w:tc>
          <w:tcPr>
            <w:tcW w:w="6031" w:type="dxa"/>
          </w:tcPr>
          <w:p w14:paraId="6A336ECF" w14:textId="7E9FC1AD" w:rsidR="00733E6D" w:rsidRPr="00826BBF" w:rsidRDefault="00E91627">
            <w:pPr>
              <w:pStyle w:val="TableParagraph"/>
              <w:spacing w:before="33"/>
              <w:ind w:left="108"/>
              <w:rPr>
                <w:sz w:val="18"/>
                <w:lang w:val="es-ES_tradnl"/>
              </w:rPr>
            </w:pPr>
            <w:r w:rsidRPr="00E110EA">
              <w:rPr>
                <w:sz w:val="18"/>
                <w:szCs w:val="18"/>
                <w:lang w:val="es-MX"/>
              </w:rPr>
              <w:t>Publicación de la reforma a la Ley Federal del Trabajo en el Diario Oficial de la Federación (DOF).</w:t>
            </w:r>
          </w:p>
        </w:tc>
      </w:tr>
      <w:tr w:rsidR="00733E6D" w:rsidRPr="00390A0B" w14:paraId="6DC867A4" w14:textId="77777777" w:rsidTr="1E446BA6">
        <w:trPr>
          <w:trHeight w:val="563"/>
        </w:trPr>
        <w:tc>
          <w:tcPr>
            <w:tcW w:w="5216" w:type="dxa"/>
          </w:tcPr>
          <w:p w14:paraId="6C927111" w14:textId="1B1E688B" w:rsidR="00733E6D" w:rsidRPr="00826BBF" w:rsidRDefault="009E4D55">
            <w:pPr>
              <w:pStyle w:val="TableParagraph"/>
              <w:spacing w:line="276" w:lineRule="auto"/>
              <w:ind w:left="107"/>
              <w:rPr>
                <w:sz w:val="18"/>
                <w:lang w:val="es-ES_tradnl"/>
              </w:rPr>
            </w:pPr>
            <w:r w:rsidRPr="00826BBF">
              <w:rPr>
                <w:sz w:val="18"/>
                <w:lang w:val="es-ES_tradnl"/>
              </w:rPr>
              <w:t xml:space="preserve">7. </w:t>
            </w:r>
            <w:r w:rsidR="008D1222" w:rsidRPr="00983B7C">
              <w:rPr>
                <w:sz w:val="18"/>
                <w:szCs w:val="18"/>
                <w:lang w:val="es-MX"/>
              </w:rPr>
              <w:t>Reforma a la Ley Federal del Trabajo que regule el trabajo del hogar</w:t>
            </w:r>
            <w:r w:rsidRPr="00826BBF">
              <w:rPr>
                <w:sz w:val="18"/>
                <w:lang w:val="es-ES_tradnl"/>
              </w:rPr>
              <w:t>.</w:t>
            </w:r>
          </w:p>
        </w:tc>
        <w:tc>
          <w:tcPr>
            <w:tcW w:w="1080" w:type="dxa"/>
          </w:tcPr>
          <w:p w14:paraId="490881A0" w14:textId="77777777" w:rsidR="00733E6D" w:rsidRPr="00826BBF" w:rsidRDefault="00733E6D">
            <w:pPr>
              <w:pStyle w:val="TableParagraph"/>
              <w:spacing w:before="1"/>
              <w:rPr>
                <w:rFonts w:ascii="Times New Roman"/>
                <w:sz w:val="24"/>
                <w:lang w:val="es-ES_tradnl"/>
              </w:rPr>
            </w:pPr>
          </w:p>
          <w:p w14:paraId="6661B90E" w14:textId="77777777" w:rsidR="00733E6D" w:rsidRPr="00826BBF" w:rsidRDefault="009E4D55">
            <w:pPr>
              <w:pStyle w:val="TableParagraph"/>
              <w:ind w:left="9"/>
              <w:jc w:val="center"/>
              <w:rPr>
                <w:sz w:val="18"/>
                <w:lang w:val="es-ES_tradnl"/>
              </w:rPr>
            </w:pPr>
            <w:r w:rsidRPr="00826BBF">
              <w:rPr>
                <w:w w:val="99"/>
                <w:sz w:val="18"/>
                <w:lang w:val="es-ES_tradnl"/>
              </w:rPr>
              <w:t>0</w:t>
            </w:r>
          </w:p>
        </w:tc>
        <w:tc>
          <w:tcPr>
            <w:tcW w:w="1080" w:type="dxa"/>
          </w:tcPr>
          <w:p w14:paraId="4E05376F" w14:textId="77777777" w:rsidR="00733E6D" w:rsidRPr="00826BBF" w:rsidRDefault="00733E6D">
            <w:pPr>
              <w:pStyle w:val="TableParagraph"/>
              <w:spacing w:before="1"/>
              <w:rPr>
                <w:rFonts w:ascii="Times New Roman"/>
                <w:sz w:val="24"/>
                <w:lang w:val="es-ES_tradnl"/>
              </w:rPr>
            </w:pPr>
          </w:p>
          <w:p w14:paraId="392C8600" w14:textId="77777777" w:rsidR="00733E6D" w:rsidRPr="00826BBF" w:rsidRDefault="009E4D55">
            <w:pPr>
              <w:pStyle w:val="TableParagraph"/>
              <w:ind w:left="9"/>
              <w:jc w:val="center"/>
              <w:rPr>
                <w:sz w:val="18"/>
                <w:lang w:val="es-ES_tradnl"/>
              </w:rPr>
            </w:pPr>
            <w:r w:rsidRPr="00826BBF">
              <w:rPr>
                <w:w w:val="99"/>
                <w:sz w:val="18"/>
                <w:lang w:val="es-ES_tradnl"/>
              </w:rPr>
              <w:t>1</w:t>
            </w:r>
          </w:p>
        </w:tc>
        <w:tc>
          <w:tcPr>
            <w:tcW w:w="6031" w:type="dxa"/>
          </w:tcPr>
          <w:p w14:paraId="12840534" w14:textId="067F4523" w:rsidR="00733E6D" w:rsidRPr="00826BBF" w:rsidRDefault="00991DE7">
            <w:pPr>
              <w:pStyle w:val="TableParagraph"/>
              <w:spacing w:line="205" w:lineRule="exact"/>
              <w:ind w:left="108"/>
              <w:rPr>
                <w:sz w:val="18"/>
                <w:lang w:val="es-ES_tradnl"/>
              </w:rPr>
            </w:pPr>
            <w:r w:rsidRPr="00983B7C">
              <w:rPr>
                <w:sz w:val="18"/>
                <w:szCs w:val="18"/>
                <w:lang w:val="es-MX"/>
              </w:rPr>
              <w:t>Publicación de la reforma a la Ley Federal del Trabajo en el Diario Oficial de la Federación (DOF).</w:t>
            </w:r>
          </w:p>
        </w:tc>
      </w:tr>
      <w:tr w:rsidR="00733E6D" w:rsidRPr="00390A0B" w14:paraId="1C3CE915" w14:textId="77777777" w:rsidTr="1E446BA6">
        <w:trPr>
          <w:trHeight w:val="755"/>
        </w:trPr>
        <w:tc>
          <w:tcPr>
            <w:tcW w:w="5216" w:type="dxa"/>
          </w:tcPr>
          <w:p w14:paraId="3C3CF0EB" w14:textId="21E72627" w:rsidR="00733E6D" w:rsidRPr="003E5CCB" w:rsidRDefault="009E4D55">
            <w:pPr>
              <w:pStyle w:val="TableParagraph"/>
              <w:spacing w:line="278" w:lineRule="auto"/>
              <w:ind w:left="107" w:right="296"/>
              <w:rPr>
                <w:sz w:val="18"/>
                <w:lang w:val="es-MX"/>
              </w:rPr>
            </w:pPr>
            <w:r w:rsidRPr="00826BBF">
              <w:rPr>
                <w:sz w:val="18"/>
                <w:lang w:val="es-ES_tradnl"/>
              </w:rPr>
              <w:t xml:space="preserve">8. </w:t>
            </w:r>
            <w:r w:rsidR="003E5CCB" w:rsidRPr="003E5CCB">
              <w:rPr>
                <w:sz w:val="18"/>
                <w:szCs w:val="18"/>
                <w:lang w:val="es-MX"/>
              </w:rPr>
              <w:t>Acuerdo que define el mecanismo para reducir las comisiones de las Administradoras de Fondos para el Retiro (AFORE) a niveles competitivos internacionalmente en el periodo 2020 a 2024</w:t>
            </w:r>
          </w:p>
        </w:tc>
        <w:tc>
          <w:tcPr>
            <w:tcW w:w="1080" w:type="dxa"/>
          </w:tcPr>
          <w:p w14:paraId="08F34868" w14:textId="77777777" w:rsidR="00733E6D" w:rsidRPr="00826BBF" w:rsidRDefault="009E4D55">
            <w:pPr>
              <w:pStyle w:val="TableParagraph"/>
              <w:spacing w:before="159"/>
              <w:ind w:left="9"/>
              <w:jc w:val="center"/>
              <w:rPr>
                <w:sz w:val="18"/>
                <w:lang w:val="es-ES_tradnl"/>
              </w:rPr>
            </w:pPr>
            <w:r w:rsidRPr="00826BBF">
              <w:rPr>
                <w:w w:val="99"/>
                <w:sz w:val="18"/>
                <w:lang w:val="es-ES_tradnl"/>
              </w:rPr>
              <w:t>0</w:t>
            </w:r>
          </w:p>
        </w:tc>
        <w:tc>
          <w:tcPr>
            <w:tcW w:w="1080" w:type="dxa"/>
          </w:tcPr>
          <w:p w14:paraId="782D79DF" w14:textId="77777777" w:rsidR="00733E6D" w:rsidRPr="00826BBF" w:rsidRDefault="009E4D55">
            <w:pPr>
              <w:pStyle w:val="TableParagraph"/>
              <w:spacing w:before="159"/>
              <w:ind w:left="9"/>
              <w:jc w:val="center"/>
              <w:rPr>
                <w:sz w:val="18"/>
                <w:lang w:val="es-ES_tradnl"/>
              </w:rPr>
            </w:pPr>
            <w:r w:rsidRPr="00826BBF">
              <w:rPr>
                <w:w w:val="99"/>
                <w:sz w:val="18"/>
                <w:lang w:val="es-ES_tradnl"/>
              </w:rPr>
              <w:t>1</w:t>
            </w:r>
          </w:p>
        </w:tc>
        <w:tc>
          <w:tcPr>
            <w:tcW w:w="6031" w:type="dxa"/>
          </w:tcPr>
          <w:p w14:paraId="03A953C8" w14:textId="77777777" w:rsidR="00733E6D" w:rsidRPr="00826BBF" w:rsidRDefault="009E4D55">
            <w:pPr>
              <w:pStyle w:val="TableParagraph"/>
              <w:spacing w:line="280" w:lineRule="auto"/>
              <w:ind w:left="108"/>
              <w:rPr>
                <w:sz w:val="18"/>
                <w:lang w:val="es-ES_tradnl"/>
              </w:rPr>
            </w:pPr>
            <w:r w:rsidRPr="00826BBF">
              <w:rPr>
                <w:sz w:val="18"/>
                <w:lang w:val="es-ES_tradnl"/>
              </w:rPr>
              <w:t>Con esta reforma se pretende reducir estas diferencias que redunden en mejores pensiones para los trabajadores al momento de su retiro.</w:t>
            </w:r>
          </w:p>
          <w:p w14:paraId="11FFC533" w14:textId="77777777" w:rsidR="00733E6D" w:rsidRPr="00826BBF" w:rsidRDefault="009E4D55">
            <w:pPr>
              <w:pStyle w:val="TableParagraph"/>
              <w:spacing w:before="14"/>
              <w:ind w:left="108"/>
              <w:rPr>
                <w:sz w:val="18"/>
                <w:lang w:val="es-ES_tradnl"/>
              </w:rPr>
            </w:pPr>
            <w:r w:rsidRPr="00826BBF">
              <w:rPr>
                <w:sz w:val="18"/>
                <w:lang w:val="es-ES_tradnl"/>
              </w:rPr>
              <w:t>Medio de verificación: Acuerdo publicado en el DOF.</w:t>
            </w:r>
          </w:p>
        </w:tc>
      </w:tr>
    </w:tbl>
    <w:p w14:paraId="67C67CE7" w14:textId="77777777" w:rsidR="00733E6D" w:rsidRPr="00826BBF" w:rsidRDefault="00733E6D">
      <w:pPr>
        <w:rPr>
          <w:sz w:val="18"/>
          <w:lang w:val="es-ES_tradnl"/>
        </w:rPr>
        <w:sectPr w:rsidR="00733E6D" w:rsidRPr="00826BBF">
          <w:pgSz w:w="15840" w:h="12240" w:orient="landscape"/>
          <w:pgMar w:top="1200" w:right="960" w:bottom="280" w:left="960" w:header="725" w:footer="0" w:gutter="0"/>
          <w:cols w:space="720"/>
        </w:sectPr>
      </w:pPr>
    </w:p>
    <w:p w14:paraId="44B2A58D" w14:textId="77777777" w:rsidR="00733E6D" w:rsidRPr="00826BBF" w:rsidRDefault="009E4D55">
      <w:pPr>
        <w:pStyle w:val="ListParagraph"/>
        <w:numPr>
          <w:ilvl w:val="1"/>
          <w:numId w:val="2"/>
        </w:numPr>
        <w:tabs>
          <w:tab w:val="left" w:pos="801"/>
        </w:tabs>
        <w:spacing w:before="83"/>
        <w:ind w:right="111"/>
        <w:rPr>
          <w:lang w:val="es-ES_tradnl"/>
        </w:rPr>
      </w:pPr>
      <w:r w:rsidRPr="00826BBF">
        <w:rPr>
          <w:b/>
          <w:lang w:val="es-ES_tradnl"/>
        </w:rPr>
        <w:lastRenderedPageBreak/>
        <w:t>Evaluación del efecto de una mejor protección los derechos laborales</w:t>
      </w:r>
      <w:r w:rsidRPr="00826BBF">
        <w:rPr>
          <w:lang w:val="es-ES_tradnl"/>
        </w:rPr>
        <w:t>. En línea con el impacto esperado del programa expresados en la Matriz de Resultados, se realizará una evaluación de impacto utilizando el método de diferencias en diferencias para analizar el efecto de las medidas de política en el porcentaje de disputas laborales que se resuelven mediante la conciliación, el registro real de los contratos colectivos de trabajo y la cobertura efectiva de seguridad social de las trabajadoras del hogar. Estas evaluaciones buscan contestar las siguientes</w:t>
      </w:r>
      <w:r w:rsidRPr="00826BBF">
        <w:rPr>
          <w:spacing w:val="-6"/>
          <w:lang w:val="es-ES_tradnl"/>
        </w:rPr>
        <w:t xml:space="preserve"> </w:t>
      </w:r>
      <w:r w:rsidRPr="00826BBF">
        <w:rPr>
          <w:lang w:val="es-ES_tradnl"/>
        </w:rPr>
        <w:t>preguntas:</w:t>
      </w:r>
    </w:p>
    <w:p w14:paraId="7ED9A87E" w14:textId="05394D0A" w:rsidR="00ED0E4C" w:rsidRPr="00826BBF" w:rsidRDefault="00ED0E4C">
      <w:pPr>
        <w:pStyle w:val="ListParagraph"/>
        <w:numPr>
          <w:ilvl w:val="2"/>
          <w:numId w:val="2"/>
        </w:numPr>
        <w:tabs>
          <w:tab w:val="left" w:pos="1233"/>
        </w:tabs>
        <w:spacing w:before="120"/>
        <w:ind w:right="112"/>
        <w:rPr>
          <w:lang w:val="es-ES_tradnl"/>
        </w:rPr>
      </w:pPr>
      <w:r w:rsidRPr="00826BBF">
        <w:rPr>
          <w:lang w:val="es-ES_tradnl"/>
        </w:rPr>
        <w:t>¿Cuál es el efecto que tiene la nueva representación laboral en las negociaciones salariales?</w:t>
      </w:r>
      <w:r w:rsidR="00D25464" w:rsidRPr="00826BBF">
        <w:rPr>
          <w:lang w:val="es-ES_tradnl"/>
        </w:rPr>
        <w:t xml:space="preserve"> Esto se podrá observar</w:t>
      </w:r>
      <w:r w:rsidR="006A04C5" w:rsidRPr="00826BBF">
        <w:rPr>
          <w:lang w:val="es-ES_tradnl"/>
        </w:rPr>
        <w:t xml:space="preserve"> a partir de la información que se recolecta en las encuestas de empleo </w:t>
      </w:r>
      <w:r w:rsidR="00E959CE" w:rsidRPr="00826BBF">
        <w:rPr>
          <w:lang w:val="es-ES_tradnl"/>
        </w:rPr>
        <w:t xml:space="preserve">del INEGI. </w:t>
      </w:r>
    </w:p>
    <w:p w14:paraId="1485E0D3" w14:textId="399E095B" w:rsidR="00733E6D" w:rsidRPr="00826BBF" w:rsidRDefault="009E4D55">
      <w:pPr>
        <w:pStyle w:val="ListParagraph"/>
        <w:numPr>
          <w:ilvl w:val="2"/>
          <w:numId w:val="2"/>
        </w:numPr>
        <w:tabs>
          <w:tab w:val="left" w:pos="1233"/>
        </w:tabs>
        <w:spacing w:before="120"/>
        <w:ind w:right="112"/>
        <w:rPr>
          <w:lang w:val="es-ES_tradnl"/>
        </w:rPr>
      </w:pPr>
      <w:r w:rsidRPr="00826BBF">
        <w:rPr>
          <w:lang w:val="es-ES_tradnl"/>
        </w:rPr>
        <w:t>¿Cuál es el efecto que tiene el nuevo modelo de conciliación laboral en la proporción de disputas que se resuelven antes de ir a un juicio? Esto se hará con base en los registros administrativos que se tienen hasta ahora por parte de la</w:t>
      </w:r>
      <w:r w:rsidRPr="00826BBF">
        <w:rPr>
          <w:spacing w:val="-2"/>
          <w:lang w:val="es-ES_tradnl"/>
        </w:rPr>
        <w:t xml:space="preserve"> </w:t>
      </w:r>
      <w:r w:rsidRPr="00826BBF">
        <w:rPr>
          <w:lang w:val="es-ES_tradnl"/>
        </w:rPr>
        <w:t>STPS.</w:t>
      </w:r>
    </w:p>
    <w:p w14:paraId="6F0EC6E1" w14:textId="77777777" w:rsidR="00733E6D" w:rsidRPr="00826BBF" w:rsidRDefault="009E4D55">
      <w:pPr>
        <w:pStyle w:val="ListParagraph"/>
        <w:numPr>
          <w:ilvl w:val="2"/>
          <w:numId w:val="2"/>
        </w:numPr>
        <w:tabs>
          <w:tab w:val="left" w:pos="1233"/>
        </w:tabs>
        <w:ind w:right="114"/>
        <w:rPr>
          <w:lang w:val="es-ES_tradnl"/>
        </w:rPr>
      </w:pPr>
      <w:r w:rsidRPr="00826BBF">
        <w:rPr>
          <w:lang w:val="es-ES_tradnl"/>
        </w:rPr>
        <w:t>¿Cuál es el registro efectivo de los contratos colectivos en el país? Hasta ahora no hay certeza sobre qué contratos se registran ante la STPS y la vigencia de estos, lo que incide directamente en el estancamiento de los niveles salariales de los</w:t>
      </w:r>
      <w:r w:rsidRPr="00826BBF">
        <w:rPr>
          <w:spacing w:val="-3"/>
          <w:lang w:val="es-ES_tradnl"/>
        </w:rPr>
        <w:t xml:space="preserve"> </w:t>
      </w:r>
      <w:r w:rsidRPr="00826BBF">
        <w:rPr>
          <w:lang w:val="es-ES_tradnl"/>
        </w:rPr>
        <w:t>trabajadores.</w:t>
      </w:r>
    </w:p>
    <w:p w14:paraId="24F0A9D7" w14:textId="77777777" w:rsidR="00733E6D" w:rsidRPr="00826BBF" w:rsidRDefault="009E4D55">
      <w:pPr>
        <w:pStyle w:val="ListParagraph"/>
        <w:numPr>
          <w:ilvl w:val="2"/>
          <w:numId w:val="2"/>
        </w:numPr>
        <w:tabs>
          <w:tab w:val="left" w:pos="1233"/>
        </w:tabs>
        <w:ind w:right="117"/>
        <w:rPr>
          <w:lang w:val="es-ES_tradnl"/>
        </w:rPr>
      </w:pPr>
      <w:r w:rsidRPr="00826BBF">
        <w:rPr>
          <w:lang w:val="es-ES_tradnl"/>
        </w:rPr>
        <w:t>¿Cuál es la cobertura real de las trabajadoras del hogar a partir de la nueva regulación</w:t>
      </w:r>
      <w:r w:rsidRPr="00826BBF">
        <w:rPr>
          <w:spacing w:val="-1"/>
          <w:lang w:val="es-ES_tradnl"/>
        </w:rPr>
        <w:t xml:space="preserve"> </w:t>
      </w:r>
      <w:r w:rsidRPr="00826BBF">
        <w:rPr>
          <w:lang w:val="es-ES_tradnl"/>
        </w:rPr>
        <w:t>laboral?</w:t>
      </w:r>
    </w:p>
    <w:p w14:paraId="3FB05993" w14:textId="77777777" w:rsidR="00733E6D" w:rsidRPr="00826BBF" w:rsidRDefault="009E4D55">
      <w:pPr>
        <w:pStyle w:val="ListParagraph"/>
        <w:numPr>
          <w:ilvl w:val="1"/>
          <w:numId w:val="2"/>
        </w:numPr>
        <w:tabs>
          <w:tab w:val="left" w:pos="801"/>
        </w:tabs>
        <w:spacing w:before="118"/>
        <w:ind w:right="114"/>
        <w:rPr>
          <w:lang w:val="es-ES_tradnl"/>
        </w:rPr>
      </w:pPr>
      <w:r w:rsidRPr="00826BBF">
        <w:rPr>
          <w:lang w:val="es-ES_tradnl"/>
        </w:rPr>
        <w:t>En todos los casos, las evaluaciones se realizarán con base en el cambio exógeno que representa la nueva regulación y su implementación. Es decir, se espera que la nueva regulación incida en una mejor resolución de las disputas laborales y una mejor representación</w:t>
      </w:r>
      <w:r w:rsidRPr="00826BBF">
        <w:rPr>
          <w:spacing w:val="-3"/>
          <w:lang w:val="es-ES_tradnl"/>
        </w:rPr>
        <w:t xml:space="preserve"> </w:t>
      </w:r>
      <w:r w:rsidRPr="00826BBF">
        <w:rPr>
          <w:lang w:val="es-ES_tradnl"/>
        </w:rPr>
        <w:t>laboral.</w:t>
      </w:r>
    </w:p>
    <w:p w14:paraId="6B692648" w14:textId="77777777" w:rsidR="00733E6D" w:rsidRPr="00826BBF" w:rsidRDefault="009E4D55">
      <w:pPr>
        <w:pStyle w:val="ListParagraph"/>
        <w:numPr>
          <w:ilvl w:val="1"/>
          <w:numId w:val="2"/>
        </w:numPr>
        <w:tabs>
          <w:tab w:val="left" w:pos="801"/>
        </w:tabs>
        <w:ind w:right="115"/>
        <w:rPr>
          <w:lang w:val="es-ES_tradnl"/>
        </w:rPr>
      </w:pPr>
      <w:r w:rsidRPr="00826BBF">
        <w:rPr>
          <w:lang w:val="es-ES_tradnl"/>
        </w:rPr>
        <w:t>Las ventajas de este conjunto de evaluaciones es que analizarán aspectos estadísticos de las variables clave de la regulación laboral y de la expansión de la seguridad social. Desde un punto de vista metodológico y de implementación, también es preciso considerar</w:t>
      </w:r>
      <w:r w:rsidRPr="00826BBF">
        <w:rPr>
          <w:spacing w:val="-1"/>
          <w:lang w:val="es-ES_tradnl"/>
        </w:rPr>
        <w:t xml:space="preserve"> </w:t>
      </w:r>
      <w:r w:rsidRPr="00826BBF">
        <w:rPr>
          <w:lang w:val="es-ES_tradnl"/>
        </w:rPr>
        <w:t>que:</w:t>
      </w:r>
    </w:p>
    <w:p w14:paraId="3BEE75BE" w14:textId="6D6CB38C" w:rsidR="00733E6D" w:rsidRPr="00826BBF" w:rsidRDefault="00983B7C" w:rsidP="00983B7C">
      <w:pPr>
        <w:pStyle w:val="ListParagraph"/>
        <w:tabs>
          <w:tab w:val="left" w:pos="1233"/>
        </w:tabs>
        <w:spacing w:before="122"/>
        <w:ind w:left="1232" w:right="113" w:hanging="422"/>
        <w:rPr>
          <w:lang w:val="es-ES_tradnl"/>
        </w:rPr>
      </w:pPr>
      <w:r>
        <w:rPr>
          <w:lang w:val="es-ES_tradnl"/>
        </w:rPr>
        <w:t>a.</w:t>
      </w:r>
      <w:r>
        <w:rPr>
          <w:lang w:val="es-ES_tradnl"/>
        </w:rPr>
        <w:tab/>
      </w:r>
      <w:r w:rsidR="009E4D55" w:rsidRPr="00826BBF">
        <w:rPr>
          <w:lang w:val="es-ES_tradnl"/>
        </w:rPr>
        <w:t>Se espera contar con toda la información necesaria, pues son datos administrativos generados por la STPS y el</w:t>
      </w:r>
      <w:r w:rsidR="009E4D55" w:rsidRPr="00826BBF">
        <w:rPr>
          <w:spacing w:val="-4"/>
          <w:lang w:val="es-ES_tradnl"/>
        </w:rPr>
        <w:t xml:space="preserve"> </w:t>
      </w:r>
      <w:r w:rsidR="009E4D55" w:rsidRPr="00826BBF">
        <w:rPr>
          <w:lang w:val="es-ES_tradnl"/>
        </w:rPr>
        <w:t>IMSS.</w:t>
      </w:r>
    </w:p>
    <w:p w14:paraId="4627CEEB" w14:textId="191D16ED" w:rsidR="00733E6D" w:rsidRPr="00983B7C" w:rsidRDefault="00983B7C" w:rsidP="00983B7C">
      <w:pPr>
        <w:tabs>
          <w:tab w:val="left" w:pos="1233"/>
        </w:tabs>
        <w:spacing w:before="118"/>
        <w:ind w:left="1260" w:right="114" w:hanging="450"/>
        <w:jc w:val="both"/>
        <w:rPr>
          <w:lang w:val="es-ES_tradnl"/>
        </w:rPr>
      </w:pPr>
      <w:r>
        <w:rPr>
          <w:lang w:val="es-ES_tradnl"/>
        </w:rPr>
        <w:t>b.</w:t>
      </w:r>
      <w:r>
        <w:rPr>
          <w:lang w:val="es-ES_tradnl"/>
        </w:rPr>
        <w:tab/>
      </w:r>
      <w:r w:rsidR="009E4D55" w:rsidRPr="00983B7C">
        <w:rPr>
          <w:lang w:val="es-ES_tradnl"/>
        </w:rPr>
        <w:t>Las unidades de análisis están bien definidas. Tanto en el caso de las disputas laborales, contratos colectivos como de trabajadores del hogar, se miden de manera</w:t>
      </w:r>
      <w:r w:rsidR="009E4D55" w:rsidRPr="00983B7C">
        <w:rPr>
          <w:spacing w:val="-4"/>
          <w:lang w:val="es-ES_tradnl"/>
        </w:rPr>
        <w:t xml:space="preserve"> </w:t>
      </w:r>
      <w:r w:rsidR="009E4D55" w:rsidRPr="00983B7C">
        <w:rPr>
          <w:lang w:val="es-ES_tradnl"/>
        </w:rPr>
        <w:t>regular.</w:t>
      </w:r>
    </w:p>
    <w:p w14:paraId="0039DF7F" w14:textId="77E9F634" w:rsidR="00733E6D" w:rsidRPr="00826BBF" w:rsidRDefault="00733E6D">
      <w:pPr>
        <w:pStyle w:val="BodyText"/>
        <w:rPr>
          <w:sz w:val="24"/>
          <w:lang w:val="es-ES_tradnl"/>
        </w:rPr>
      </w:pPr>
    </w:p>
    <w:p w14:paraId="199062E3" w14:textId="635A9685" w:rsidR="000A24D2" w:rsidRPr="00826BBF" w:rsidRDefault="004A52C7" w:rsidP="00367B54">
      <w:pPr>
        <w:pStyle w:val="ListParagraph"/>
        <w:numPr>
          <w:ilvl w:val="1"/>
          <w:numId w:val="2"/>
        </w:numPr>
        <w:tabs>
          <w:tab w:val="left" w:pos="801"/>
        </w:tabs>
        <w:ind w:left="807" w:right="115" w:hanging="634"/>
        <w:rPr>
          <w:lang w:val="es-ES_tradnl"/>
        </w:rPr>
      </w:pPr>
      <w:r w:rsidRPr="00826BBF">
        <w:rPr>
          <w:b/>
          <w:bCs/>
          <w:lang w:val="es-ES_tradnl"/>
        </w:rPr>
        <w:t>Indicadores de impacto</w:t>
      </w:r>
      <w:r w:rsidRPr="0068434F">
        <w:rPr>
          <w:lang w:val="es-ES_tradnl"/>
        </w:rPr>
        <w:t xml:space="preserve">. </w:t>
      </w:r>
      <w:r w:rsidRPr="00826BBF">
        <w:rPr>
          <w:lang w:val="es-ES_tradnl"/>
        </w:rPr>
        <w:t xml:space="preserve">El programa busca </w:t>
      </w:r>
      <w:r w:rsidR="00CA6AB1" w:rsidRPr="00826BBF">
        <w:rPr>
          <w:lang w:val="es-ES_tradnl"/>
        </w:rPr>
        <w:t xml:space="preserve">mejorar la calidad del empleo en México mediante dos </w:t>
      </w:r>
      <w:r w:rsidRPr="00826BBF">
        <w:rPr>
          <w:lang w:val="es-ES_tradnl"/>
        </w:rPr>
        <w:t>dimensiones</w:t>
      </w:r>
      <w:r w:rsidR="00CA6AB1" w:rsidRPr="00826BBF">
        <w:rPr>
          <w:lang w:val="es-ES_tradnl"/>
        </w:rPr>
        <w:t xml:space="preserve">: nivel salarial y </w:t>
      </w:r>
      <w:r w:rsidR="000262A7" w:rsidRPr="00826BBF">
        <w:rPr>
          <w:lang w:val="es-ES_tradnl"/>
        </w:rPr>
        <w:t>nivel de formalidad</w:t>
      </w:r>
      <w:r w:rsidR="009D41DC" w:rsidRPr="00826BBF">
        <w:rPr>
          <w:lang w:val="es-ES_tradnl"/>
        </w:rPr>
        <w:t xml:space="preserve"> que pueden describirse con l</w:t>
      </w:r>
      <w:r w:rsidR="00BE2ED4" w:rsidRPr="00826BBF">
        <w:rPr>
          <w:lang w:val="es-ES_tradnl"/>
        </w:rPr>
        <w:t xml:space="preserve">as variables descritas anteriormente. </w:t>
      </w:r>
      <w:r w:rsidR="000562B9" w:rsidRPr="00826BBF">
        <w:rPr>
          <w:lang w:val="es-ES_tradnl"/>
        </w:rPr>
        <w:t xml:space="preserve">El </w:t>
      </w:r>
      <w:r w:rsidR="00C122FE" w:rsidRPr="00826BBF">
        <w:rPr>
          <w:lang w:val="es-ES_tradnl"/>
        </w:rPr>
        <w:t>Índice de Mejores Trabajos</w:t>
      </w:r>
      <w:r w:rsidR="00BC254B" w:rsidRPr="00826BBF">
        <w:rPr>
          <w:lang w:val="es-ES_tradnl"/>
        </w:rPr>
        <w:t xml:space="preserve"> que publica el BID</w:t>
      </w:r>
      <w:r w:rsidR="009A3A79" w:rsidRPr="00826BBF">
        <w:rPr>
          <w:lang w:val="es-ES_tradnl"/>
        </w:rPr>
        <w:t xml:space="preserve"> m</w:t>
      </w:r>
      <w:r w:rsidR="000A24D2" w:rsidRPr="00826BBF">
        <w:rPr>
          <w:lang w:val="es-ES_tradnl"/>
        </w:rPr>
        <w:t>ide cómo son los empleos de los países a través de dos dimensiones: cantidad y calidad. La dimensión de cantidad está compuesta a su vez por dos indicadores: la tasa de participación laboral y la de ocupación. La de calidad, por su parte, se construye con las tasas de formalidad y de trabajos con salario suficiente para superar la pobreza. Así, el índice es la media ponderada de estos cuatro indicadores y sus</w:t>
      </w:r>
      <w:r w:rsidR="006873B8" w:rsidRPr="00826BBF">
        <w:rPr>
          <w:lang w:val="es-ES_tradnl"/>
        </w:rPr>
        <w:t xml:space="preserve"> </w:t>
      </w:r>
      <w:r w:rsidR="000A24D2" w:rsidRPr="00826BBF">
        <w:rPr>
          <w:lang w:val="es-ES_tradnl"/>
        </w:rPr>
        <w:t>puntuaciones van de 0</w:t>
      </w:r>
      <w:r w:rsidR="00701664" w:rsidRPr="00826BBF">
        <w:rPr>
          <w:lang w:val="es-ES_tradnl"/>
        </w:rPr>
        <w:t> </w:t>
      </w:r>
      <w:r w:rsidR="000A24D2" w:rsidRPr="00826BBF">
        <w:rPr>
          <w:lang w:val="es-ES_tradnl"/>
        </w:rPr>
        <w:t>a</w:t>
      </w:r>
      <w:r w:rsidR="00701664" w:rsidRPr="00826BBF">
        <w:rPr>
          <w:lang w:val="es-ES_tradnl"/>
        </w:rPr>
        <w:t> </w:t>
      </w:r>
      <w:r w:rsidR="000A24D2" w:rsidRPr="00826BBF">
        <w:rPr>
          <w:lang w:val="es-ES_tradnl"/>
        </w:rPr>
        <w:t xml:space="preserve">100. </w:t>
      </w:r>
      <w:r w:rsidR="00295128" w:rsidRPr="00826BBF">
        <w:rPr>
          <w:lang w:val="es-ES_tradnl"/>
        </w:rPr>
        <w:t>Para identificar con mayor granularidad los efectos sobre salarios, se u</w:t>
      </w:r>
      <w:r w:rsidR="00BC7917" w:rsidRPr="00826BBF">
        <w:rPr>
          <w:lang w:val="es-ES_tradnl"/>
        </w:rPr>
        <w:t>ti</w:t>
      </w:r>
      <w:r w:rsidR="00295128" w:rsidRPr="00826BBF">
        <w:rPr>
          <w:lang w:val="es-ES_tradnl"/>
        </w:rPr>
        <w:t>liza el se</w:t>
      </w:r>
      <w:r w:rsidR="00D75D95" w:rsidRPr="00826BBF">
        <w:rPr>
          <w:lang w:val="es-ES_tradnl"/>
        </w:rPr>
        <w:t>gundo indicador</w:t>
      </w:r>
      <w:r w:rsidR="00295128" w:rsidRPr="00826BBF">
        <w:rPr>
          <w:lang w:val="es-ES_tradnl"/>
        </w:rPr>
        <w:t xml:space="preserve">, el cual mide </w:t>
      </w:r>
      <w:r w:rsidR="00D75D95" w:rsidRPr="00826BBF">
        <w:rPr>
          <w:lang w:val="es-ES_tradnl"/>
        </w:rPr>
        <w:t>el porcentaje de la población con ingreso laboral inferior al costo de la canasta alimentaria</w:t>
      </w:r>
      <w:r w:rsidR="001F08BC" w:rsidRPr="00826BBF">
        <w:rPr>
          <w:lang w:val="es-ES_tradnl"/>
        </w:rPr>
        <w:t xml:space="preserve">. </w:t>
      </w:r>
      <w:r w:rsidR="00C12969" w:rsidRPr="00826BBF">
        <w:rPr>
          <w:lang w:val="es-ES_tradnl"/>
        </w:rPr>
        <w:t xml:space="preserve">Es decir, </w:t>
      </w:r>
      <w:r w:rsidR="001F08BC" w:rsidRPr="00826BBF">
        <w:rPr>
          <w:lang w:val="es-ES_tradnl"/>
        </w:rPr>
        <w:t>m</w:t>
      </w:r>
      <w:r w:rsidR="000A24D2" w:rsidRPr="00826BBF">
        <w:rPr>
          <w:lang w:val="es-ES_tradnl"/>
        </w:rPr>
        <w:t xml:space="preserve">ide el porcentaje de hogares que no generan ingresos laborales suficientes para rebasar la línea de pobreza alimentaria. Es publicado por </w:t>
      </w:r>
      <w:r w:rsidR="001F08BC" w:rsidRPr="00826BBF">
        <w:rPr>
          <w:lang w:val="es-ES_tradnl"/>
        </w:rPr>
        <w:t>el Consejo Nacional de la Política Social (</w:t>
      </w:r>
      <w:r w:rsidR="000A24D2" w:rsidRPr="00826BBF">
        <w:rPr>
          <w:lang w:val="es-ES_tradnl"/>
        </w:rPr>
        <w:t>CONEVAL</w:t>
      </w:r>
      <w:r w:rsidR="001F08BC" w:rsidRPr="00826BBF">
        <w:rPr>
          <w:lang w:val="es-ES_tradnl"/>
        </w:rPr>
        <w:t>)</w:t>
      </w:r>
      <w:r w:rsidR="000A24D2" w:rsidRPr="00826BBF">
        <w:rPr>
          <w:lang w:val="es-ES_tradnl"/>
        </w:rPr>
        <w:t xml:space="preserve">, </w:t>
      </w:r>
      <w:r w:rsidR="001F08BC" w:rsidRPr="00826BBF">
        <w:rPr>
          <w:lang w:val="es-ES_tradnl"/>
        </w:rPr>
        <w:t xml:space="preserve">que utiliza la </w:t>
      </w:r>
      <w:r w:rsidR="000A24D2" w:rsidRPr="00826BBF">
        <w:rPr>
          <w:lang w:val="es-ES_tradnl"/>
        </w:rPr>
        <w:t>información de la Encuesta Nacional de Ocupación y Empleo (ENOE), que realiza el</w:t>
      </w:r>
      <w:r w:rsidR="001F08BC" w:rsidRPr="00826BBF">
        <w:rPr>
          <w:lang w:val="es-ES_tradnl"/>
        </w:rPr>
        <w:t xml:space="preserve"> </w:t>
      </w:r>
      <w:r w:rsidR="000A24D2" w:rsidRPr="00826BBF">
        <w:rPr>
          <w:lang w:val="es-ES_tradnl"/>
        </w:rPr>
        <w:t xml:space="preserve">Instituto Nacional de Estadística </w:t>
      </w:r>
      <w:r w:rsidR="000A24D2" w:rsidRPr="00826BBF">
        <w:rPr>
          <w:lang w:val="es-ES_tradnl"/>
        </w:rPr>
        <w:lastRenderedPageBreak/>
        <w:t>y Geografía (INEGI).</w:t>
      </w:r>
    </w:p>
    <w:p w14:paraId="3067BB90" w14:textId="0B819044" w:rsidR="004A52C7" w:rsidRPr="00826BBF" w:rsidRDefault="004A52C7" w:rsidP="00282F3E">
      <w:pPr>
        <w:pStyle w:val="ListParagraph"/>
        <w:numPr>
          <w:ilvl w:val="1"/>
          <w:numId w:val="2"/>
        </w:numPr>
        <w:tabs>
          <w:tab w:val="left" w:pos="801"/>
        </w:tabs>
        <w:ind w:right="20"/>
        <w:rPr>
          <w:lang w:val="es-ES_tradnl"/>
        </w:rPr>
      </w:pPr>
      <w:r w:rsidRPr="00826BBF">
        <w:rPr>
          <w:b/>
          <w:bCs/>
          <w:lang w:val="es-ES_tradnl"/>
        </w:rPr>
        <w:t>Indicadores de resultado</w:t>
      </w:r>
      <w:r w:rsidRPr="0005324F">
        <w:rPr>
          <w:lang w:val="es-ES_tradnl"/>
        </w:rPr>
        <w:t xml:space="preserve">. </w:t>
      </w:r>
      <w:r w:rsidRPr="00826BBF">
        <w:rPr>
          <w:lang w:val="es-ES_tradnl"/>
        </w:rPr>
        <w:t xml:space="preserve">El programa busca </w:t>
      </w:r>
      <w:r w:rsidR="00FB781F" w:rsidRPr="00826BBF">
        <w:rPr>
          <w:lang w:val="es-ES_tradnl"/>
        </w:rPr>
        <w:t xml:space="preserve">mejorar la calidad </w:t>
      </w:r>
      <w:r w:rsidR="00DE484E" w:rsidRPr="00826BBF">
        <w:rPr>
          <w:lang w:val="es-ES_tradnl"/>
        </w:rPr>
        <w:t>del empleo en México mediante una mejor representación laboral; menor costo de la resolución de conflictos laborales; y mayores tasas de cobertura y menores costos de seguridad social.</w:t>
      </w:r>
      <w:r w:rsidR="00D522A7" w:rsidRPr="00826BBF">
        <w:rPr>
          <w:lang w:val="es-ES_tradnl"/>
        </w:rPr>
        <w:t xml:space="preserve"> Para cada un</w:t>
      </w:r>
      <w:r w:rsidR="00DD1FE9" w:rsidRPr="00826BBF">
        <w:rPr>
          <w:lang w:val="es-ES_tradnl"/>
        </w:rPr>
        <w:t>a</w:t>
      </w:r>
      <w:r w:rsidR="00D522A7" w:rsidRPr="00826BBF">
        <w:rPr>
          <w:lang w:val="es-ES_tradnl"/>
        </w:rPr>
        <w:t xml:space="preserve"> de </w:t>
      </w:r>
      <w:r w:rsidR="00DD1FE9" w:rsidRPr="00826BBF">
        <w:rPr>
          <w:lang w:val="es-ES_tradnl"/>
        </w:rPr>
        <w:t xml:space="preserve">estas dimensiones </w:t>
      </w:r>
      <w:r w:rsidR="00D743E2" w:rsidRPr="00826BBF">
        <w:rPr>
          <w:lang w:val="es-ES_tradnl"/>
        </w:rPr>
        <w:t xml:space="preserve">se han seleccionado un conjunto de </w:t>
      </w:r>
      <w:r w:rsidRPr="00826BBF">
        <w:rPr>
          <w:lang w:val="es-ES_tradnl"/>
        </w:rPr>
        <w:t xml:space="preserve">indicadores </w:t>
      </w:r>
      <w:r w:rsidR="00D743E2" w:rsidRPr="00826BBF">
        <w:rPr>
          <w:lang w:val="es-ES_tradnl"/>
        </w:rPr>
        <w:t xml:space="preserve">que buscan </w:t>
      </w:r>
      <w:r w:rsidRPr="00826BBF">
        <w:rPr>
          <w:lang w:val="es-ES_tradnl"/>
        </w:rPr>
        <w:t xml:space="preserve">informar sobre </w:t>
      </w:r>
      <w:r w:rsidR="00D743E2" w:rsidRPr="00826BBF">
        <w:rPr>
          <w:lang w:val="es-ES_tradnl"/>
        </w:rPr>
        <w:t xml:space="preserve">su </w:t>
      </w:r>
      <w:r w:rsidRPr="00826BBF">
        <w:rPr>
          <w:lang w:val="es-ES_tradnl"/>
        </w:rPr>
        <w:t>avances</w:t>
      </w:r>
      <w:r w:rsidR="00A26092" w:rsidRPr="00826BBF">
        <w:rPr>
          <w:lang w:val="es-ES_tradnl"/>
        </w:rPr>
        <w:t xml:space="preserve">. </w:t>
      </w:r>
      <w:r w:rsidR="004700AC" w:rsidRPr="00826BBF">
        <w:rPr>
          <w:lang w:val="es-ES_tradnl"/>
        </w:rPr>
        <w:t>Esto incluye</w:t>
      </w:r>
      <w:r w:rsidR="00282F3E">
        <w:rPr>
          <w:lang w:val="es-ES_tradnl"/>
        </w:rPr>
        <w:t>:</w:t>
      </w:r>
      <w:r w:rsidR="004700AC" w:rsidRPr="00826BBF">
        <w:rPr>
          <w:lang w:val="es-ES_tradnl"/>
        </w:rPr>
        <w:t xml:space="preserve"> </w:t>
      </w:r>
    </w:p>
    <w:p w14:paraId="422F8978" w14:textId="77777777" w:rsidR="00D650DB" w:rsidRPr="00826BBF" w:rsidRDefault="00D650DB" w:rsidP="00DE5B35">
      <w:pPr>
        <w:pStyle w:val="ListParagraph"/>
        <w:numPr>
          <w:ilvl w:val="0"/>
          <w:numId w:val="10"/>
        </w:numPr>
        <w:spacing w:before="120" w:after="120"/>
        <w:rPr>
          <w:lang w:val="es-ES_tradnl"/>
        </w:rPr>
      </w:pPr>
      <w:r w:rsidRPr="00826BBF">
        <w:rPr>
          <w:lang w:val="es-ES_tradnl"/>
        </w:rPr>
        <w:t>Índice Global de los Derechos de la Confederación Sindical Internacional</w:t>
      </w:r>
    </w:p>
    <w:p w14:paraId="34B99F74" w14:textId="77777777" w:rsidR="00D650DB" w:rsidRPr="00826BBF" w:rsidRDefault="00D650DB" w:rsidP="00DE5B35">
      <w:pPr>
        <w:pStyle w:val="ListParagraph"/>
        <w:numPr>
          <w:ilvl w:val="0"/>
          <w:numId w:val="10"/>
        </w:numPr>
        <w:spacing w:before="120" w:after="120"/>
        <w:rPr>
          <w:lang w:val="es-ES_tradnl"/>
        </w:rPr>
      </w:pPr>
      <w:r w:rsidRPr="00826BBF">
        <w:rPr>
          <w:lang w:val="es-ES_tradnl"/>
        </w:rPr>
        <w:t>Incremento Salarial Contractual Real en la Jurisdicción Federal (promedio de últimos seis años)</w:t>
      </w:r>
    </w:p>
    <w:p w14:paraId="5026FD55" w14:textId="04884438" w:rsidR="00D650DB" w:rsidRPr="00826BBF" w:rsidRDefault="00D650DB" w:rsidP="00DE5B35">
      <w:pPr>
        <w:pStyle w:val="ListParagraph"/>
        <w:numPr>
          <w:ilvl w:val="0"/>
          <w:numId w:val="10"/>
        </w:numPr>
        <w:spacing w:before="120" w:after="120"/>
        <w:rPr>
          <w:lang w:val="es-ES_tradnl"/>
        </w:rPr>
      </w:pPr>
      <w:r w:rsidRPr="00826BBF">
        <w:rPr>
          <w:lang w:val="es-ES_tradnl"/>
        </w:rPr>
        <w:t>%</w:t>
      </w:r>
      <w:r w:rsidR="00282F3E">
        <w:rPr>
          <w:lang w:val="es-ES_tradnl"/>
        </w:rPr>
        <w:t xml:space="preserve"> </w:t>
      </w:r>
      <w:r w:rsidRPr="00826BBF">
        <w:rPr>
          <w:lang w:val="es-ES_tradnl"/>
        </w:rPr>
        <w:t>de disputas laborales individuales que se resuelven a través de la conciliación</w:t>
      </w:r>
    </w:p>
    <w:p w14:paraId="02D177B4" w14:textId="50763340" w:rsidR="00D650DB" w:rsidRPr="00826BBF" w:rsidRDefault="00D650DB" w:rsidP="00DE5B35">
      <w:pPr>
        <w:pStyle w:val="ListParagraph"/>
        <w:numPr>
          <w:ilvl w:val="0"/>
          <w:numId w:val="10"/>
        </w:numPr>
        <w:spacing w:before="120" w:after="120"/>
        <w:rPr>
          <w:lang w:val="es-ES_tradnl"/>
        </w:rPr>
      </w:pPr>
      <w:r w:rsidRPr="00826BBF">
        <w:rPr>
          <w:lang w:val="es-ES_tradnl"/>
        </w:rPr>
        <w:t>% de contratos colectivos registrados ante el Centro Federal de Conciliación y Registro</w:t>
      </w:r>
      <w:r w:rsidR="005C58C9">
        <w:rPr>
          <w:lang w:val="es-ES_tradnl"/>
        </w:rPr>
        <w:t>s</w:t>
      </w:r>
      <w:r w:rsidRPr="00826BBF">
        <w:rPr>
          <w:lang w:val="es-ES_tradnl"/>
        </w:rPr>
        <w:t xml:space="preserve"> Laborales</w:t>
      </w:r>
    </w:p>
    <w:p w14:paraId="38E9F55B" w14:textId="77777777" w:rsidR="00D650DB" w:rsidRPr="00826BBF" w:rsidRDefault="00D650DB" w:rsidP="00DE5B35">
      <w:pPr>
        <w:pStyle w:val="ListParagraph"/>
        <w:numPr>
          <w:ilvl w:val="0"/>
          <w:numId w:val="10"/>
        </w:numPr>
        <w:spacing w:before="120" w:after="120"/>
        <w:rPr>
          <w:lang w:val="es-ES_tradnl"/>
        </w:rPr>
      </w:pPr>
      <w:r w:rsidRPr="00826BBF">
        <w:rPr>
          <w:lang w:val="es-ES_tradnl"/>
        </w:rPr>
        <w:t># de personas trabajadoras del hogar inscritas en el IMSS</w:t>
      </w:r>
    </w:p>
    <w:p w14:paraId="1693451A" w14:textId="13CF0B81" w:rsidR="004A52C7" w:rsidRPr="00826BBF" w:rsidRDefault="00D650DB" w:rsidP="00DE5B35">
      <w:pPr>
        <w:pStyle w:val="ListParagraph"/>
        <w:numPr>
          <w:ilvl w:val="0"/>
          <w:numId w:val="10"/>
        </w:numPr>
        <w:spacing w:before="120" w:after="120"/>
        <w:rPr>
          <w:lang w:val="es-ES_tradnl"/>
        </w:rPr>
      </w:pPr>
      <w:r w:rsidRPr="00826BBF">
        <w:rPr>
          <w:lang w:val="es-ES_tradnl"/>
        </w:rPr>
        <w:t>Comisión promedio sobre saldo por administración de fondos de pensiones cobrados por las Administradoras de Fondos para el Retiro (Afore)</w:t>
      </w:r>
    </w:p>
    <w:p w14:paraId="3CD364FB" w14:textId="0E62321E" w:rsidR="00641EC0" w:rsidRPr="00826BBF" w:rsidRDefault="00641EC0" w:rsidP="00641EC0">
      <w:pPr>
        <w:pStyle w:val="ListParagraph"/>
        <w:numPr>
          <w:ilvl w:val="1"/>
          <w:numId w:val="2"/>
        </w:numPr>
        <w:tabs>
          <w:tab w:val="left" w:pos="801"/>
        </w:tabs>
        <w:ind w:right="115"/>
        <w:rPr>
          <w:lang w:val="es-ES_tradnl"/>
        </w:rPr>
      </w:pPr>
      <w:r w:rsidRPr="00826BBF">
        <w:rPr>
          <w:lang w:val="es-ES_tradnl"/>
        </w:rPr>
        <w:t xml:space="preserve">Cada uno de estos indicadores son producidos de manera regular por las autoridades laborales del país, por lo que será </w:t>
      </w:r>
      <w:r w:rsidR="000D0B84" w:rsidRPr="00826BBF">
        <w:rPr>
          <w:lang w:val="es-ES_tradnl"/>
        </w:rPr>
        <w:t xml:space="preserve">relativamente sencillo hacer comparaciones en el tiempo. </w:t>
      </w:r>
    </w:p>
    <w:p w14:paraId="3ED9B54D" w14:textId="77777777" w:rsidR="00D650DB" w:rsidRPr="00826BBF" w:rsidRDefault="00D650DB" w:rsidP="000D0B84">
      <w:pPr>
        <w:pStyle w:val="ListParagraph"/>
        <w:tabs>
          <w:tab w:val="left" w:pos="801"/>
        </w:tabs>
        <w:ind w:left="800" w:right="115" w:firstLine="0"/>
        <w:rPr>
          <w:lang w:val="es-ES_tradnl"/>
        </w:rPr>
      </w:pPr>
    </w:p>
    <w:p w14:paraId="2ACEBC5B" w14:textId="688F8405" w:rsidR="004A52C7" w:rsidRPr="00826BBF" w:rsidRDefault="004A52C7" w:rsidP="004A52C7">
      <w:pPr>
        <w:pStyle w:val="ListParagraph"/>
        <w:numPr>
          <w:ilvl w:val="0"/>
          <w:numId w:val="8"/>
        </w:numPr>
        <w:tabs>
          <w:tab w:val="left" w:pos="4115"/>
          <w:tab w:val="left" w:pos="4116"/>
        </w:tabs>
        <w:rPr>
          <w:b/>
          <w:lang w:val="es-ES_tradnl"/>
        </w:rPr>
      </w:pPr>
      <w:bookmarkStart w:id="1" w:name="_Toc2244865"/>
      <w:r w:rsidRPr="00826BBF">
        <w:rPr>
          <w:b/>
          <w:lang w:val="es-ES_tradnl"/>
        </w:rPr>
        <w:t>Metodología de evaluación</w:t>
      </w:r>
      <w:bookmarkEnd w:id="1"/>
    </w:p>
    <w:p w14:paraId="6AB035C4" w14:textId="74EFB958" w:rsidR="00E13F46" w:rsidRPr="00826BBF" w:rsidRDefault="004A52C7" w:rsidP="00E13F46">
      <w:pPr>
        <w:pStyle w:val="ListParagraph"/>
        <w:numPr>
          <w:ilvl w:val="1"/>
          <w:numId w:val="2"/>
        </w:numPr>
        <w:tabs>
          <w:tab w:val="left" w:pos="801"/>
        </w:tabs>
        <w:ind w:right="115"/>
        <w:rPr>
          <w:lang w:val="es-ES_tradnl"/>
        </w:rPr>
      </w:pPr>
      <w:r w:rsidRPr="00826BBF">
        <w:rPr>
          <w:lang w:val="es-ES_tradnl"/>
        </w:rPr>
        <w:t xml:space="preserve">La evaluación consiste </w:t>
      </w:r>
      <w:r w:rsidR="000D0B84" w:rsidRPr="00826BBF">
        <w:rPr>
          <w:lang w:val="es-ES_tradnl"/>
        </w:rPr>
        <w:t xml:space="preserve">en </w:t>
      </w:r>
      <w:r w:rsidRPr="00826BBF">
        <w:rPr>
          <w:lang w:val="es-ES_tradnl"/>
        </w:rPr>
        <w:t xml:space="preserve">una estimación de diferencias promedio en tendencias (diferencias en diferencias) para los indicadores impacto recolectados. </w:t>
      </w:r>
      <w:r w:rsidR="004843A2" w:rsidRPr="00826BBF">
        <w:rPr>
          <w:lang w:val="es-ES_tradnl"/>
        </w:rPr>
        <w:t>Asimismo, el análisis se complementará con una evaluación reflexiva de antes y después</w:t>
      </w:r>
      <w:r w:rsidR="005300FB" w:rsidRPr="00826BBF">
        <w:rPr>
          <w:lang w:val="es-ES_tradnl"/>
        </w:rPr>
        <w:t xml:space="preserve"> de implementar la reforma</w:t>
      </w:r>
      <w:r w:rsidR="004843A2" w:rsidRPr="00826BBF">
        <w:rPr>
          <w:lang w:val="es-ES_tradnl"/>
        </w:rPr>
        <w:t xml:space="preserve">, dado que </w:t>
      </w:r>
      <w:r w:rsidR="00E36E2F" w:rsidRPr="00826BBF">
        <w:rPr>
          <w:lang w:val="es-ES_tradnl"/>
        </w:rPr>
        <w:t>se tiene un cambio institucional a nivel nacional</w:t>
      </w:r>
      <w:r w:rsidR="00225800" w:rsidRPr="00826BBF">
        <w:rPr>
          <w:lang w:val="es-ES_tradnl"/>
        </w:rPr>
        <w:t xml:space="preserve"> y se contará con información comparable en el tiempo. </w:t>
      </w:r>
    </w:p>
    <w:p w14:paraId="3963BFC1" w14:textId="77777777" w:rsidR="00E13F46" w:rsidRPr="00826BBF" w:rsidRDefault="004A52C7" w:rsidP="00E13F46">
      <w:pPr>
        <w:pStyle w:val="ListParagraph"/>
        <w:numPr>
          <w:ilvl w:val="1"/>
          <w:numId w:val="2"/>
        </w:numPr>
        <w:tabs>
          <w:tab w:val="left" w:pos="801"/>
        </w:tabs>
        <w:ind w:right="115"/>
        <w:rPr>
          <w:lang w:val="es-ES_tradnl"/>
        </w:rPr>
      </w:pPr>
      <w:r w:rsidRPr="00826BBF">
        <w:rPr>
          <w:b/>
          <w:lang w:val="es-ES_tradnl"/>
        </w:rPr>
        <w:t>Supuestos</w:t>
      </w:r>
      <w:r w:rsidRPr="002E776D">
        <w:rPr>
          <w:bCs/>
          <w:lang w:val="es-ES_tradnl"/>
        </w:rPr>
        <w:t>.</w:t>
      </w:r>
      <w:r w:rsidRPr="00826BBF">
        <w:rPr>
          <w:lang w:val="es-ES_tradnl"/>
        </w:rPr>
        <w:t xml:space="preserve"> La metodología de diferencias en diferencias identifica los efectos del programa sobre el logro de objetivos bajo el supuesto de que las tendencias en los indicadores de resultado hubieran sido estadísticamente equivalentes en ausencia del tratamiento cuando se comparan </w:t>
      </w:r>
      <w:r w:rsidR="00C26ED7" w:rsidRPr="00826BBF">
        <w:rPr>
          <w:lang w:val="es-ES_tradnl"/>
        </w:rPr>
        <w:t xml:space="preserve">las variables de interés en el tiempo. Ahora bien, existe un plan de expansión por que cubrirá distintas entidades federativas </w:t>
      </w:r>
      <w:r w:rsidR="00482CED" w:rsidRPr="00826BBF">
        <w:rPr>
          <w:lang w:val="es-ES_tradnl"/>
        </w:rPr>
        <w:t xml:space="preserve">de manera exógena, por lo que se planea utilizar esta variación para identificar cambios en las variables como resultado de los cambios institucionales que se vayan a implementar a partir de la reforma. </w:t>
      </w:r>
      <w:r w:rsidRPr="00826BBF">
        <w:rPr>
          <w:lang w:val="es-ES_tradnl"/>
        </w:rPr>
        <w:t>La metodología antes-después identifica los efectos del programa sobre el logro de objetivos bajo el supuesto de que en ausencia del programa los indicadores de resultado e impacto hubieran permanecido constantes. E</w:t>
      </w:r>
      <w:r w:rsidR="0034210A" w:rsidRPr="00826BBF">
        <w:rPr>
          <w:lang w:val="es-ES_tradnl"/>
        </w:rPr>
        <w:t xml:space="preserve">se decir, </w:t>
      </w:r>
      <w:r w:rsidRPr="00826BBF">
        <w:rPr>
          <w:lang w:val="es-ES_tradnl"/>
        </w:rPr>
        <w:t xml:space="preserve">esta metodología </w:t>
      </w:r>
      <w:r w:rsidR="0034210A" w:rsidRPr="00826BBF">
        <w:rPr>
          <w:lang w:val="es-ES_tradnl"/>
        </w:rPr>
        <w:t xml:space="preserve">supone que </w:t>
      </w:r>
      <w:r w:rsidRPr="00826BBF">
        <w:rPr>
          <w:lang w:val="es-ES_tradnl"/>
        </w:rPr>
        <w:t xml:space="preserve">los cambios </w:t>
      </w:r>
      <w:r w:rsidR="006915FB" w:rsidRPr="00826BBF">
        <w:rPr>
          <w:lang w:val="es-ES_tradnl"/>
        </w:rPr>
        <w:t xml:space="preserve">previos a la reforma y luego de ella se deben al cambio </w:t>
      </w:r>
      <w:r w:rsidR="00BC4477" w:rsidRPr="00826BBF">
        <w:rPr>
          <w:lang w:val="es-ES_tradnl"/>
        </w:rPr>
        <w:t>institucional</w:t>
      </w:r>
      <w:r w:rsidRPr="00826BBF">
        <w:rPr>
          <w:lang w:val="es-ES_tradnl"/>
        </w:rPr>
        <w:t xml:space="preserve">. </w:t>
      </w:r>
    </w:p>
    <w:p w14:paraId="5DE60B37" w14:textId="57B64279" w:rsidR="00CF56F2" w:rsidRPr="00826BBF" w:rsidRDefault="00CC5748" w:rsidP="00CF56F2">
      <w:pPr>
        <w:pStyle w:val="ListParagraph"/>
        <w:numPr>
          <w:ilvl w:val="1"/>
          <w:numId w:val="2"/>
        </w:numPr>
        <w:tabs>
          <w:tab w:val="left" w:pos="801"/>
        </w:tabs>
        <w:ind w:right="115"/>
        <w:rPr>
          <w:lang w:val="es-ES_tradnl"/>
        </w:rPr>
      </w:pPr>
      <w:r w:rsidRPr="00826BBF">
        <w:rPr>
          <w:lang w:val="es-ES_tradnl"/>
        </w:rPr>
        <w:t xml:space="preserve">Uno de los supuestos más importantes </w:t>
      </w:r>
      <w:r w:rsidR="00B509E9" w:rsidRPr="00826BBF">
        <w:rPr>
          <w:lang w:val="es-ES_tradnl"/>
        </w:rPr>
        <w:t>de esta metodología es que l</w:t>
      </w:r>
      <w:r w:rsidR="00E40007" w:rsidRPr="00826BBF">
        <w:rPr>
          <w:lang w:val="es-ES_tradnl"/>
        </w:rPr>
        <w:t xml:space="preserve">as tendencias </w:t>
      </w:r>
      <w:r w:rsidR="00443337" w:rsidRPr="00826BBF">
        <w:rPr>
          <w:lang w:val="es-ES_tradnl"/>
        </w:rPr>
        <w:t xml:space="preserve">previas </w:t>
      </w:r>
      <w:r w:rsidR="004A539A" w:rsidRPr="00826BBF">
        <w:rPr>
          <w:lang w:val="es-ES_tradnl"/>
        </w:rPr>
        <w:t>a la intervención (reforma) s</w:t>
      </w:r>
      <w:r w:rsidR="001A598E" w:rsidRPr="00826BBF">
        <w:rPr>
          <w:lang w:val="es-ES_tradnl"/>
        </w:rPr>
        <w:t xml:space="preserve">on similares, por lo que </w:t>
      </w:r>
      <w:r w:rsidR="00855D2D" w:rsidRPr="00826BBF">
        <w:rPr>
          <w:lang w:val="es-ES_tradnl"/>
        </w:rPr>
        <w:t xml:space="preserve">una vez que se da </w:t>
      </w:r>
      <w:r w:rsidR="00EC743F" w:rsidRPr="00826BBF">
        <w:rPr>
          <w:lang w:val="es-ES_tradnl"/>
        </w:rPr>
        <w:t xml:space="preserve">la reforma el efecto se deriva de ella y no de otras variables. </w:t>
      </w:r>
      <w:r w:rsidR="00E17692" w:rsidRPr="00826BBF">
        <w:rPr>
          <w:lang w:val="es-ES_tradnl"/>
        </w:rPr>
        <w:t>L</w:t>
      </w:r>
      <w:r w:rsidR="004A52C7" w:rsidRPr="00826BBF">
        <w:rPr>
          <w:lang w:val="es-ES_tradnl"/>
        </w:rPr>
        <w:t xml:space="preserve">a metodología es apropiada para responder a las preguntas de evaluación considerando el periodo de evaluación </w:t>
      </w:r>
      <w:r w:rsidR="002B1982" w:rsidRPr="00826BBF">
        <w:rPr>
          <w:lang w:val="es-ES_tradnl"/>
        </w:rPr>
        <w:t xml:space="preserve">será de </w:t>
      </w:r>
      <w:r w:rsidR="00B92426" w:rsidRPr="00826BBF">
        <w:rPr>
          <w:lang w:val="es-ES_tradnl"/>
        </w:rPr>
        <w:t xml:space="preserve">más de tres años y en donde se tendrá variación regional y en el tiempo para la implementación de la reforma. </w:t>
      </w:r>
    </w:p>
    <w:p w14:paraId="0620F81F" w14:textId="37400E08" w:rsidR="00CB04C6" w:rsidRPr="00826BBF" w:rsidRDefault="00CB04C6" w:rsidP="00CB04C6">
      <w:pPr>
        <w:tabs>
          <w:tab w:val="left" w:pos="801"/>
        </w:tabs>
        <w:ind w:right="115"/>
        <w:rPr>
          <w:lang w:val="es-ES_tradnl"/>
        </w:rPr>
      </w:pPr>
    </w:p>
    <w:p w14:paraId="2F671BA1" w14:textId="219BB759" w:rsidR="00CB04C6" w:rsidRPr="00826BBF" w:rsidRDefault="00CB04C6" w:rsidP="00CB04C6">
      <w:pPr>
        <w:tabs>
          <w:tab w:val="left" w:pos="801"/>
        </w:tabs>
        <w:ind w:right="115"/>
        <w:rPr>
          <w:lang w:val="es-ES_tradnl"/>
        </w:rPr>
      </w:pPr>
    </w:p>
    <w:p w14:paraId="6DD58C39" w14:textId="34715E12" w:rsidR="00CB04C6" w:rsidRPr="00826BBF" w:rsidRDefault="00CB04C6" w:rsidP="00CB04C6">
      <w:pPr>
        <w:tabs>
          <w:tab w:val="left" w:pos="801"/>
        </w:tabs>
        <w:ind w:right="115"/>
        <w:rPr>
          <w:lang w:val="es-ES_tradnl"/>
        </w:rPr>
      </w:pPr>
    </w:p>
    <w:p w14:paraId="7C3299A6" w14:textId="77777777" w:rsidR="00CB04C6" w:rsidRPr="00826BBF" w:rsidRDefault="00CB04C6" w:rsidP="00CB04C6">
      <w:pPr>
        <w:tabs>
          <w:tab w:val="left" w:pos="801"/>
        </w:tabs>
        <w:ind w:right="115"/>
        <w:rPr>
          <w:lang w:val="es-ES_tradnl"/>
        </w:rPr>
      </w:pPr>
    </w:p>
    <w:p w14:paraId="6B79F124" w14:textId="74EA5C5B" w:rsidR="004A52C7" w:rsidRPr="00826BBF" w:rsidRDefault="00F36403" w:rsidP="00CF56F2">
      <w:pPr>
        <w:pStyle w:val="ListParagraph"/>
        <w:numPr>
          <w:ilvl w:val="1"/>
          <w:numId w:val="2"/>
        </w:numPr>
        <w:tabs>
          <w:tab w:val="left" w:pos="801"/>
        </w:tabs>
        <w:ind w:right="115"/>
        <w:rPr>
          <w:lang w:val="es-ES_tradnl"/>
        </w:rPr>
      </w:pPr>
      <w:r w:rsidRPr="00826BBF">
        <w:rPr>
          <w:b/>
          <w:lang w:val="es-ES_tradnl"/>
        </w:rPr>
        <w:lastRenderedPageBreak/>
        <w:t>Ecuación a estimar</w:t>
      </w:r>
      <w:r w:rsidR="004A52C7" w:rsidRPr="000F0C76">
        <w:rPr>
          <w:bCs/>
          <w:lang w:val="es-ES_tradnl"/>
        </w:rPr>
        <w:t>.</w:t>
      </w:r>
      <w:r w:rsidR="004A52C7" w:rsidRPr="00826BBF">
        <w:rPr>
          <w:b/>
          <w:lang w:val="es-ES_tradnl"/>
        </w:rPr>
        <w:t xml:space="preserve"> </w:t>
      </w:r>
      <w:r w:rsidR="004A52C7" w:rsidRPr="00826BBF">
        <w:rPr>
          <w:color w:val="000000"/>
          <w:lang w:val="es-ES_tradnl"/>
        </w:rPr>
        <w:t xml:space="preserve">La evaluación </w:t>
      </w:r>
      <w:r w:rsidRPr="00826BBF">
        <w:rPr>
          <w:color w:val="000000"/>
          <w:lang w:val="es-ES_tradnl"/>
        </w:rPr>
        <w:t xml:space="preserve">del efecto de las </w:t>
      </w:r>
      <w:r w:rsidR="003D60F0" w:rsidRPr="00826BBF">
        <w:rPr>
          <w:color w:val="000000"/>
          <w:lang w:val="es-ES_tradnl"/>
        </w:rPr>
        <w:t>reformas en</w:t>
      </w:r>
      <w:r w:rsidRPr="00826BBF">
        <w:rPr>
          <w:color w:val="000000"/>
          <w:lang w:val="es-ES_tradnl"/>
        </w:rPr>
        <w:t xml:space="preserve"> las variables dependientes se hará </w:t>
      </w:r>
      <w:r w:rsidR="003D60F0" w:rsidRPr="00826BBF">
        <w:rPr>
          <w:color w:val="000000"/>
          <w:lang w:val="es-ES_tradnl"/>
        </w:rPr>
        <w:t xml:space="preserve">utilizando información </w:t>
      </w:r>
      <w:r w:rsidR="00EC6948" w:rsidRPr="00826BBF">
        <w:rPr>
          <w:color w:val="000000"/>
          <w:lang w:val="es-ES_tradnl"/>
        </w:rPr>
        <w:t>de encuestas a n</w:t>
      </w:r>
      <w:r w:rsidR="004A52C7" w:rsidRPr="00826BBF">
        <w:rPr>
          <w:color w:val="000000"/>
          <w:lang w:val="es-ES_tradnl"/>
        </w:rPr>
        <w:t>ivel individuo. La ecuación por estimar es:</w:t>
      </w:r>
    </w:p>
    <w:p w14:paraId="4024DF79" w14:textId="22608501" w:rsidR="004A52C7" w:rsidRPr="00826BBF" w:rsidRDefault="00723E84" w:rsidP="004A52C7">
      <w:pPr>
        <w:pStyle w:val="ListParagraph"/>
        <w:spacing w:before="120" w:after="120"/>
        <w:ind w:left="709"/>
        <w:jc w:val="center"/>
        <w:rPr>
          <w:color w:val="000000"/>
          <w:lang w:val="es-ES_tradnl"/>
        </w:rPr>
      </w:pPr>
      <m:oMathPara>
        <m:oMath>
          <m:sSub>
            <m:sSubPr>
              <m:ctrlPr>
                <w:rPr>
                  <w:rFonts w:ascii="Cambria Math" w:hAnsi="Cambria Math"/>
                  <w:i/>
                  <w:iCs/>
                  <w:color w:val="000000"/>
                  <w:lang w:val="es-ES_tradnl"/>
                </w:rPr>
              </m:ctrlPr>
            </m:sSubPr>
            <m:e>
              <m:r>
                <w:rPr>
                  <w:rFonts w:ascii="Cambria Math" w:hAnsi="Cambria Math"/>
                  <w:color w:val="000000"/>
                  <w:lang w:val="es-ES_tradnl"/>
                </w:rPr>
                <m:t>y</m:t>
              </m:r>
            </m:e>
            <m:sub>
              <m:r>
                <w:rPr>
                  <w:rFonts w:ascii="Cambria Math" w:hAnsi="Cambria Math"/>
                  <w:color w:val="000000"/>
                  <w:lang w:val="es-ES_tradnl"/>
                </w:rPr>
                <m:t>izt</m:t>
              </m:r>
            </m:sub>
          </m:sSub>
          <m:r>
            <w:rPr>
              <w:rFonts w:ascii="Cambria Math" w:hAnsi="Cambria Math"/>
              <w:color w:val="000000"/>
              <w:lang w:val="es-ES_tradnl"/>
            </w:rPr>
            <m:t>=</m:t>
          </m:r>
          <m:sSub>
            <m:sSubPr>
              <m:ctrlPr>
                <w:rPr>
                  <w:rFonts w:ascii="Cambria Math" w:hAnsi="Cambria Math"/>
                  <w:i/>
                  <w:iCs/>
                  <w:color w:val="000000"/>
                  <w:lang w:val="es-ES_tradnl"/>
                </w:rPr>
              </m:ctrlPr>
            </m:sSubPr>
            <m:e>
              <m:r>
                <w:rPr>
                  <w:rFonts w:ascii="Cambria Math" w:hAnsi="Cambria Math"/>
                  <w:color w:val="000000"/>
                  <w:lang w:val="es-ES_tradnl"/>
                </w:rPr>
                <m:t>μ</m:t>
              </m:r>
            </m:e>
            <m:sub>
              <m:r>
                <w:rPr>
                  <w:rFonts w:ascii="Cambria Math" w:hAnsi="Cambria Math"/>
                  <w:color w:val="000000"/>
                  <w:lang w:val="es-ES_tradnl"/>
                </w:rPr>
                <m:t>z</m:t>
              </m:r>
            </m:sub>
          </m:sSub>
          <m:r>
            <w:rPr>
              <w:rFonts w:ascii="Cambria Math" w:hAnsi="Cambria Math"/>
              <w:color w:val="000000"/>
              <w:lang w:val="es-ES_tradnl"/>
            </w:rPr>
            <m:t>+</m:t>
          </m:r>
          <m:sSub>
            <m:sSubPr>
              <m:ctrlPr>
                <w:rPr>
                  <w:rFonts w:ascii="Cambria Math" w:hAnsi="Cambria Math"/>
                  <w:i/>
                  <w:iCs/>
                  <w:color w:val="000000"/>
                  <w:lang w:val="es-ES_tradnl"/>
                </w:rPr>
              </m:ctrlPr>
            </m:sSubPr>
            <m:e>
              <m:r>
                <w:rPr>
                  <w:rFonts w:ascii="Cambria Math" w:hAnsi="Cambria Math"/>
                  <w:color w:val="000000"/>
                  <w:lang w:val="es-ES_tradnl"/>
                </w:rPr>
                <m:t>ν</m:t>
              </m:r>
            </m:e>
            <m:sub>
              <m:r>
                <w:rPr>
                  <w:rFonts w:ascii="Cambria Math" w:hAnsi="Cambria Math"/>
                  <w:color w:val="000000"/>
                  <w:lang w:val="es-ES_tradnl"/>
                </w:rPr>
                <m:t>t</m:t>
              </m:r>
            </m:sub>
          </m:sSub>
          <m:r>
            <w:rPr>
              <w:rFonts w:ascii="Cambria Math" w:hAnsi="Cambria Math"/>
              <w:color w:val="000000"/>
              <w:lang w:val="es-ES_tradnl"/>
            </w:rPr>
            <m:t>+β</m:t>
          </m:r>
          <m:sSub>
            <m:sSubPr>
              <m:ctrlPr>
                <w:rPr>
                  <w:rFonts w:ascii="Cambria Math" w:hAnsi="Cambria Math"/>
                  <w:i/>
                  <w:iCs/>
                  <w:color w:val="000000"/>
                  <w:lang w:val="es-ES_tradnl"/>
                </w:rPr>
              </m:ctrlPr>
            </m:sSubPr>
            <m:e>
              <m:r>
                <w:rPr>
                  <w:rFonts w:ascii="Cambria Math" w:hAnsi="Cambria Math"/>
                  <w:color w:val="000000"/>
                  <w:lang w:val="es-ES_tradnl"/>
                </w:rPr>
                <m:t>T</m:t>
              </m:r>
            </m:e>
            <m:sub>
              <m:r>
                <w:rPr>
                  <w:rFonts w:ascii="Cambria Math" w:hAnsi="Cambria Math"/>
                  <w:color w:val="000000"/>
                  <w:lang w:val="es-ES_tradnl"/>
                </w:rPr>
                <m:t>z</m:t>
              </m:r>
            </m:sub>
          </m:sSub>
          <m:sSub>
            <m:sSubPr>
              <m:ctrlPr>
                <w:rPr>
                  <w:rFonts w:ascii="Cambria Math" w:hAnsi="Cambria Math"/>
                  <w:i/>
                  <w:iCs/>
                  <w:color w:val="000000"/>
                  <w:lang w:val="es-ES_tradnl"/>
                </w:rPr>
              </m:ctrlPr>
            </m:sSubPr>
            <m:e>
              <m:r>
                <w:rPr>
                  <w:rFonts w:ascii="Cambria Math" w:hAnsi="Cambria Math"/>
                  <w:color w:val="000000"/>
                  <w:lang w:val="es-ES_tradnl"/>
                </w:rPr>
                <m:t>P</m:t>
              </m:r>
            </m:e>
            <m:sub>
              <m:r>
                <w:rPr>
                  <w:rFonts w:ascii="Cambria Math" w:hAnsi="Cambria Math"/>
                  <w:color w:val="000000"/>
                  <w:lang w:val="es-ES_tradnl"/>
                </w:rPr>
                <m:t>t</m:t>
              </m:r>
            </m:sub>
          </m:sSub>
          <m:r>
            <w:rPr>
              <w:rFonts w:ascii="Cambria Math" w:hAnsi="Cambria Math"/>
              <w:color w:val="000000"/>
              <w:lang w:val="es-ES_tradnl"/>
            </w:rPr>
            <m:t>+</m:t>
          </m:r>
          <m:r>
            <m:rPr>
              <m:sty m:val="bi"/>
            </m:rPr>
            <w:rPr>
              <w:rFonts w:ascii="Cambria Math" w:hAnsi="Cambria Math" w:cs="Cambria"/>
              <w:color w:val="000000"/>
              <w:lang w:val="es-ES_tradnl"/>
            </w:rPr>
            <m:t>ϒ</m:t>
          </m:r>
          <m:sSub>
            <m:sSubPr>
              <m:ctrlPr>
                <w:rPr>
                  <w:rFonts w:ascii="Cambria Math" w:hAnsi="Cambria Math"/>
                  <w:i/>
                  <w:iCs/>
                  <w:color w:val="000000"/>
                  <w:lang w:val="es-ES_tradnl"/>
                </w:rPr>
              </m:ctrlPr>
            </m:sSubPr>
            <m:e>
              <m:r>
                <m:rPr>
                  <m:sty m:val="bi"/>
                </m:rPr>
                <w:rPr>
                  <w:rFonts w:ascii="Cambria Math" w:hAnsi="Cambria Math"/>
                  <w:color w:val="000000"/>
                  <w:lang w:val="es-ES_tradnl"/>
                </w:rPr>
                <m:t>X</m:t>
              </m:r>
            </m:e>
            <m:sub>
              <m:r>
                <w:rPr>
                  <w:rFonts w:ascii="Cambria Math" w:hAnsi="Cambria Math"/>
                  <w:color w:val="000000"/>
                  <w:lang w:val="es-ES_tradnl"/>
                </w:rPr>
                <m:t>izt</m:t>
              </m:r>
            </m:sub>
          </m:sSub>
          <m:r>
            <w:rPr>
              <w:rFonts w:ascii="Cambria Math" w:hAnsi="Cambria Math"/>
              <w:color w:val="000000"/>
              <w:lang w:val="es-ES_tradnl"/>
            </w:rPr>
            <m:t>+</m:t>
          </m:r>
          <m:sSub>
            <m:sSubPr>
              <m:ctrlPr>
                <w:rPr>
                  <w:rFonts w:ascii="Cambria Math" w:hAnsi="Cambria Math"/>
                  <w:i/>
                  <w:iCs/>
                  <w:color w:val="000000"/>
                  <w:lang w:val="es-ES_tradnl"/>
                </w:rPr>
              </m:ctrlPr>
            </m:sSubPr>
            <m:e>
              <m:r>
                <w:rPr>
                  <w:rFonts w:ascii="Cambria Math" w:hAnsi="Cambria Math"/>
                  <w:color w:val="000000"/>
                  <w:lang w:val="es-ES_tradnl"/>
                </w:rPr>
                <m:t>ε</m:t>
              </m:r>
            </m:e>
            <m:sub>
              <m:r>
                <w:rPr>
                  <w:rFonts w:ascii="Cambria Math" w:hAnsi="Cambria Math"/>
                  <w:color w:val="000000"/>
                  <w:lang w:val="es-ES_tradnl"/>
                </w:rPr>
                <m:t>izt</m:t>
              </m:r>
            </m:sub>
          </m:sSub>
        </m:oMath>
      </m:oMathPara>
    </w:p>
    <w:p w14:paraId="3FABE888" w14:textId="77777777" w:rsidR="00CF56F2" w:rsidRPr="00826BBF" w:rsidRDefault="004A52C7" w:rsidP="00CF56F2">
      <w:pPr>
        <w:pStyle w:val="ListParagraph"/>
        <w:spacing w:before="120" w:after="120"/>
        <w:ind w:left="709" w:firstLine="0"/>
        <w:rPr>
          <w:iCs/>
          <w:color w:val="000000"/>
          <w:lang w:val="es-ES_tradnl"/>
        </w:rPr>
      </w:pPr>
      <w:r w:rsidRPr="00826BBF">
        <w:rPr>
          <w:color w:val="000000"/>
          <w:lang w:val="es-ES_tradnl"/>
        </w:rPr>
        <w:t xml:space="preserve">Donde </w:t>
      </w:r>
      <w:r w:rsidRPr="00826BBF">
        <w:rPr>
          <w:i/>
          <w:iCs/>
          <w:color w:val="000000"/>
          <w:lang w:val="es-ES_tradnl"/>
        </w:rPr>
        <w:t>y</w:t>
      </w:r>
      <w:r w:rsidRPr="00826BBF">
        <w:rPr>
          <w:color w:val="000000"/>
          <w:lang w:val="es-ES_tradnl"/>
        </w:rPr>
        <w:t xml:space="preserve"> denota </w:t>
      </w:r>
      <w:r w:rsidR="00683F16" w:rsidRPr="00826BBF">
        <w:rPr>
          <w:color w:val="000000"/>
          <w:lang w:val="es-ES_tradnl"/>
        </w:rPr>
        <w:t xml:space="preserve">la variable dependiente </w:t>
      </w:r>
      <w:r w:rsidR="00832FCD" w:rsidRPr="00826BBF">
        <w:rPr>
          <w:color w:val="000000"/>
          <w:lang w:val="es-ES_tradnl"/>
        </w:rPr>
        <w:t xml:space="preserve">que mide el impacto de la reforma. </w:t>
      </w:r>
      <w:r w:rsidR="0088416D" w:rsidRPr="00826BBF">
        <w:rPr>
          <w:color w:val="000000"/>
          <w:lang w:val="es-ES_tradnl"/>
        </w:rPr>
        <w:t>T</w:t>
      </w:r>
      <w:r w:rsidRPr="00826BBF">
        <w:rPr>
          <w:color w:val="000000"/>
          <w:lang w:val="es-ES_tradnl"/>
        </w:rPr>
        <w:t xml:space="preserve"> es una variable dicotómica con valor 1 si </w:t>
      </w:r>
      <w:r w:rsidR="0088416D" w:rsidRPr="00826BBF">
        <w:rPr>
          <w:color w:val="000000"/>
          <w:lang w:val="es-ES_tradnl"/>
        </w:rPr>
        <w:t>la reforma se implementa en el estado</w:t>
      </w:r>
      <w:r w:rsidRPr="00826BBF">
        <w:rPr>
          <w:color w:val="000000"/>
          <w:lang w:val="es-ES_tradnl"/>
        </w:rPr>
        <w:t xml:space="preserve">; </w:t>
      </w:r>
      <w:r w:rsidR="008E0763" w:rsidRPr="00826BBF">
        <w:rPr>
          <w:color w:val="000000"/>
          <w:lang w:val="es-ES_tradnl"/>
        </w:rPr>
        <w:t>T</w:t>
      </w:r>
      <w:r w:rsidRPr="00826BBF">
        <w:rPr>
          <w:color w:val="000000"/>
          <w:lang w:val="es-ES_tradnl"/>
        </w:rPr>
        <w:t xml:space="preserve"> es una variable dicotómica con valor 1 si la observación sucede</w:t>
      </w:r>
      <w:r w:rsidR="007442B9" w:rsidRPr="00826BBF">
        <w:rPr>
          <w:color w:val="000000"/>
          <w:lang w:val="es-ES_tradnl"/>
        </w:rPr>
        <w:t xml:space="preserve"> en el año después de la reforma</w:t>
      </w:r>
      <w:r w:rsidRPr="00826BBF">
        <w:rPr>
          <w:color w:val="000000"/>
          <w:lang w:val="es-ES_tradnl"/>
        </w:rPr>
        <w:t xml:space="preserve">; </w:t>
      </w:r>
      <w:r w:rsidRPr="000F0C76">
        <w:rPr>
          <w:bCs/>
          <w:color w:val="000000"/>
          <w:lang w:val="es-ES_tradnl"/>
        </w:rPr>
        <w:t>X</w:t>
      </w:r>
      <w:r w:rsidRPr="00826BBF">
        <w:rPr>
          <w:color w:val="000000"/>
          <w:lang w:val="es-ES_tradnl"/>
        </w:rPr>
        <w:t xml:space="preserve"> es un vector de características individuales incluyendo edad, educación, estado civil, </w:t>
      </w:r>
      <w:r w:rsidR="000D1613" w:rsidRPr="00826BBF">
        <w:rPr>
          <w:color w:val="000000"/>
          <w:lang w:val="es-ES_tradnl"/>
        </w:rPr>
        <w:t xml:space="preserve">jefatura </w:t>
      </w:r>
      <w:r w:rsidRPr="00826BBF">
        <w:rPr>
          <w:color w:val="000000"/>
          <w:lang w:val="es-ES_tradnl"/>
        </w:rPr>
        <w:t xml:space="preserve">de hogar, el número de </w:t>
      </w:r>
      <w:r w:rsidR="005E6D58" w:rsidRPr="00826BBF">
        <w:rPr>
          <w:color w:val="000000"/>
          <w:lang w:val="es-ES_tradnl"/>
        </w:rPr>
        <w:t>empleos</w:t>
      </w:r>
      <w:r w:rsidRPr="00826BBF">
        <w:rPr>
          <w:color w:val="000000"/>
          <w:lang w:val="es-ES_tradnl"/>
        </w:rPr>
        <w:t xml:space="preserve">. El término </w:t>
      </w:r>
      <m:oMath>
        <m:r>
          <w:rPr>
            <w:rFonts w:ascii="Cambria Math" w:hAnsi="Cambria Math"/>
            <w:color w:val="000000"/>
            <w:lang w:val="es-ES_tradnl"/>
          </w:rPr>
          <m:t>ε</m:t>
        </m:r>
      </m:oMath>
      <w:r w:rsidRPr="00826BBF">
        <w:rPr>
          <w:iCs/>
          <w:color w:val="000000"/>
          <w:lang w:val="es-ES_tradnl"/>
        </w:rPr>
        <w:t xml:space="preserve"> es un término de error. El subíndice </w:t>
      </w:r>
      <w:r w:rsidRPr="00826BBF">
        <w:rPr>
          <w:i/>
          <w:iCs/>
          <w:color w:val="000000"/>
          <w:lang w:val="es-ES_tradnl"/>
        </w:rPr>
        <w:t xml:space="preserve">i </w:t>
      </w:r>
      <w:r w:rsidRPr="00826BBF">
        <w:rPr>
          <w:iCs/>
          <w:color w:val="000000"/>
          <w:lang w:val="es-ES_tradnl"/>
        </w:rPr>
        <w:t>denota un individuo</w:t>
      </w:r>
      <w:r w:rsidR="00926F5F" w:rsidRPr="00826BBF">
        <w:rPr>
          <w:iCs/>
          <w:color w:val="000000"/>
          <w:lang w:val="es-ES_tradnl"/>
        </w:rPr>
        <w:t xml:space="preserve">, </w:t>
      </w:r>
      <w:r w:rsidR="00926F5F" w:rsidRPr="00826BBF">
        <w:rPr>
          <w:i/>
          <w:color w:val="000000"/>
          <w:lang w:val="es-ES_tradnl"/>
        </w:rPr>
        <w:t>Z</w:t>
      </w:r>
      <w:r w:rsidR="00F058E0" w:rsidRPr="00826BBF">
        <w:rPr>
          <w:iCs/>
          <w:color w:val="000000"/>
          <w:lang w:val="es-ES_tradnl"/>
        </w:rPr>
        <w:t xml:space="preserve"> el estado donde radica el individuo y </w:t>
      </w:r>
      <w:r w:rsidR="00F058E0" w:rsidRPr="00826BBF">
        <w:rPr>
          <w:i/>
          <w:color w:val="000000"/>
          <w:lang w:val="es-ES_tradnl"/>
        </w:rPr>
        <w:t>t</w:t>
      </w:r>
      <w:r w:rsidR="00F058E0" w:rsidRPr="00826BBF">
        <w:rPr>
          <w:iCs/>
          <w:color w:val="000000"/>
          <w:lang w:val="es-ES_tradnl"/>
        </w:rPr>
        <w:t xml:space="preserve"> el año</w:t>
      </w:r>
      <w:r w:rsidRPr="00826BBF">
        <w:rPr>
          <w:iCs/>
          <w:color w:val="000000"/>
          <w:lang w:val="es-ES_tradnl"/>
        </w:rPr>
        <w:t xml:space="preserve">. Los errores se calculan robustos estandarizados conglomerados por </w:t>
      </w:r>
      <w:r w:rsidR="00DC6A91" w:rsidRPr="00826BBF">
        <w:rPr>
          <w:iCs/>
          <w:color w:val="000000"/>
          <w:lang w:val="es-ES_tradnl"/>
        </w:rPr>
        <w:t xml:space="preserve">ciudad que se incluye en la Encuesta de Empleo. </w:t>
      </w:r>
      <w:r w:rsidRPr="00826BBF">
        <w:rPr>
          <w:iCs/>
          <w:color w:val="000000"/>
          <w:lang w:val="es-ES_tradnl"/>
        </w:rPr>
        <w:t>Cada resultado requiere de una regresión separada y una definición de zona prioritaria diferente. Bajo esta especificación</w:t>
      </w:r>
      <w:r w:rsidR="00C71E95" w:rsidRPr="00826BBF">
        <w:rPr>
          <w:iCs/>
          <w:color w:val="000000"/>
          <w:lang w:val="es-ES_tradnl"/>
        </w:rPr>
        <w:t>, la hipótesis</w:t>
      </w:r>
      <w:r w:rsidRPr="00826BBF">
        <w:rPr>
          <w:iCs/>
          <w:color w:val="000000"/>
          <w:lang w:val="es-ES_tradnl"/>
        </w:rPr>
        <w:t xml:space="preserve"> nula de una ausencia de efectos sería </w:t>
      </w:r>
      <m:oMath>
        <m:sSub>
          <m:sSubPr>
            <m:ctrlPr>
              <w:rPr>
                <w:rFonts w:ascii="Cambria Math" w:hAnsi="Cambria Math"/>
                <w:i/>
                <w:iCs/>
                <w:color w:val="000000"/>
                <w:lang w:val="es-ES_tradnl"/>
              </w:rPr>
            </m:ctrlPr>
          </m:sSubPr>
          <m:e>
            <m:r>
              <w:rPr>
                <w:rFonts w:ascii="Cambria Math" w:hAnsi="Cambria Math"/>
                <w:color w:val="000000"/>
                <w:lang w:val="es-ES_tradnl"/>
              </w:rPr>
              <m:t>H</m:t>
            </m:r>
          </m:e>
          <m:sub>
            <m:r>
              <w:rPr>
                <w:rFonts w:ascii="Cambria Math" w:hAnsi="Cambria Math"/>
                <w:color w:val="000000"/>
                <w:lang w:val="es-ES_tradnl"/>
              </w:rPr>
              <m:t>0</m:t>
            </m:r>
          </m:sub>
        </m:sSub>
        <m:r>
          <w:rPr>
            <w:rFonts w:ascii="Cambria Math" w:hAnsi="Cambria Math"/>
            <w:color w:val="000000"/>
            <w:lang w:val="es-ES_tradnl"/>
          </w:rPr>
          <m:t>:β=0</m:t>
        </m:r>
      </m:oMath>
      <w:r w:rsidRPr="00826BBF">
        <w:rPr>
          <w:iCs/>
          <w:color w:val="000000"/>
          <w:lang w:val="es-ES_tradnl"/>
        </w:rPr>
        <w:t>.</w:t>
      </w:r>
    </w:p>
    <w:p w14:paraId="06641CDA" w14:textId="4F54E630" w:rsidR="004A52C7" w:rsidRPr="00826BBF" w:rsidRDefault="004A52C7" w:rsidP="00CF56F2">
      <w:pPr>
        <w:pStyle w:val="ListParagraph"/>
        <w:numPr>
          <w:ilvl w:val="1"/>
          <w:numId w:val="2"/>
        </w:numPr>
        <w:tabs>
          <w:tab w:val="left" w:pos="801"/>
        </w:tabs>
        <w:ind w:right="115"/>
        <w:rPr>
          <w:bCs/>
          <w:lang w:val="es-ES_tradnl"/>
        </w:rPr>
      </w:pPr>
      <w:r w:rsidRPr="00826BBF">
        <w:rPr>
          <w:b/>
          <w:lang w:val="es-ES_tradnl"/>
        </w:rPr>
        <w:t>Cálculos de poder</w:t>
      </w:r>
      <w:r w:rsidRPr="0003489F">
        <w:rPr>
          <w:bCs/>
          <w:lang w:val="es-ES_tradnl"/>
        </w:rPr>
        <w:t>. L</w:t>
      </w:r>
      <w:r w:rsidRPr="00826BBF">
        <w:rPr>
          <w:bCs/>
          <w:lang w:val="es-ES_tradnl"/>
        </w:rPr>
        <w:t xml:space="preserve">a </w:t>
      </w:r>
      <w:r w:rsidR="00566E87" w:rsidRPr="00826BBF">
        <w:rPr>
          <w:bCs/>
          <w:lang w:val="es-ES_tradnl"/>
        </w:rPr>
        <w:t xml:space="preserve">Encuesta Nacional de </w:t>
      </w:r>
      <w:r w:rsidR="00897225" w:rsidRPr="00826BBF">
        <w:rPr>
          <w:bCs/>
          <w:lang w:val="es-ES_tradnl"/>
        </w:rPr>
        <w:t>Ocupación</w:t>
      </w:r>
      <w:r w:rsidR="00566E87" w:rsidRPr="00826BBF">
        <w:rPr>
          <w:bCs/>
          <w:lang w:val="es-ES_tradnl"/>
        </w:rPr>
        <w:t xml:space="preserve"> y Empleo </w:t>
      </w:r>
      <w:r w:rsidRPr="00826BBF">
        <w:rPr>
          <w:bCs/>
          <w:lang w:val="es-ES_tradnl"/>
        </w:rPr>
        <w:t xml:space="preserve">tuvo una muestra total de </w:t>
      </w:r>
      <w:r w:rsidR="001B64D6" w:rsidRPr="00826BBF">
        <w:rPr>
          <w:bCs/>
          <w:lang w:val="es-ES_tradnl"/>
        </w:rPr>
        <w:t>402</w:t>
      </w:r>
      <w:r w:rsidRPr="00826BBF">
        <w:rPr>
          <w:bCs/>
          <w:lang w:val="es-ES_tradnl"/>
        </w:rPr>
        <w:t>,</w:t>
      </w:r>
      <w:r w:rsidR="00B75661" w:rsidRPr="00826BBF">
        <w:rPr>
          <w:bCs/>
          <w:lang w:val="es-ES_tradnl"/>
        </w:rPr>
        <w:t>536</w:t>
      </w:r>
      <w:r w:rsidR="0003489F">
        <w:rPr>
          <w:bCs/>
          <w:lang w:val="es-ES_tradnl"/>
        </w:rPr>
        <w:t> </w:t>
      </w:r>
      <w:r w:rsidR="009358AF" w:rsidRPr="00826BBF">
        <w:rPr>
          <w:bCs/>
          <w:lang w:val="es-ES_tradnl"/>
        </w:rPr>
        <w:t>individuos</w:t>
      </w:r>
      <w:r w:rsidR="00B75661" w:rsidRPr="00826BBF">
        <w:rPr>
          <w:bCs/>
          <w:lang w:val="es-ES_tradnl"/>
        </w:rPr>
        <w:t xml:space="preserve"> viviendo </w:t>
      </w:r>
      <w:r w:rsidR="0088099B" w:rsidRPr="00826BBF">
        <w:rPr>
          <w:bCs/>
          <w:lang w:val="es-ES_tradnl"/>
        </w:rPr>
        <w:t>las 32</w:t>
      </w:r>
      <w:r w:rsidR="002E6459">
        <w:rPr>
          <w:bCs/>
          <w:lang w:val="es-ES_tradnl"/>
        </w:rPr>
        <w:t> </w:t>
      </w:r>
      <w:r w:rsidR="0088099B" w:rsidRPr="00826BBF">
        <w:rPr>
          <w:bCs/>
          <w:lang w:val="es-ES_tradnl"/>
        </w:rPr>
        <w:t>entidades</w:t>
      </w:r>
      <w:r w:rsidRPr="00826BBF">
        <w:rPr>
          <w:bCs/>
          <w:lang w:val="es-ES_tradnl"/>
        </w:rPr>
        <w:t>. Considerando un poder de</w:t>
      </w:r>
      <w:r w:rsidR="002E6459">
        <w:rPr>
          <w:bCs/>
          <w:lang w:val="es-ES_tradnl"/>
        </w:rPr>
        <w:t> </w:t>
      </w:r>
      <w:r w:rsidRPr="00826BBF">
        <w:rPr>
          <w:bCs/>
          <w:lang w:val="es-ES_tradnl"/>
        </w:rPr>
        <w:t>80</w:t>
      </w:r>
      <w:r w:rsidR="00CB04C6" w:rsidRPr="00826BBF">
        <w:rPr>
          <w:bCs/>
          <w:lang w:val="es-ES_tradnl"/>
        </w:rPr>
        <w:t>%</w:t>
      </w:r>
      <w:r w:rsidRPr="00826BBF">
        <w:rPr>
          <w:bCs/>
          <w:lang w:val="es-ES_tradnl"/>
        </w:rPr>
        <w:t xml:space="preserve"> y un nivel de confianza de</w:t>
      </w:r>
      <w:r w:rsidR="002E6459">
        <w:rPr>
          <w:bCs/>
          <w:lang w:val="es-ES_tradnl"/>
        </w:rPr>
        <w:t> </w:t>
      </w:r>
      <w:r w:rsidRPr="00826BBF">
        <w:rPr>
          <w:bCs/>
          <w:lang w:val="es-ES_tradnl"/>
        </w:rPr>
        <w:t xml:space="preserve">95% y asumiendo </w:t>
      </w:r>
      <w:r w:rsidR="00B95D63" w:rsidRPr="00826BBF">
        <w:rPr>
          <w:bCs/>
          <w:lang w:val="es-ES_tradnl"/>
        </w:rPr>
        <w:t xml:space="preserve">el mismo tamaño de muestra para las rondas subsecuentes, el tamaño permite </w:t>
      </w:r>
      <w:r w:rsidRPr="00826BBF">
        <w:rPr>
          <w:bCs/>
          <w:lang w:val="es-ES_tradnl"/>
        </w:rPr>
        <w:t xml:space="preserve">detectar </w:t>
      </w:r>
      <w:r w:rsidR="00D90255" w:rsidRPr="00826BBF">
        <w:rPr>
          <w:bCs/>
          <w:lang w:val="es-ES_tradnl"/>
        </w:rPr>
        <w:t xml:space="preserve">los efectos en </w:t>
      </w:r>
      <w:r w:rsidR="009C3232" w:rsidRPr="00826BBF">
        <w:rPr>
          <w:bCs/>
          <w:lang w:val="es-ES_tradnl"/>
        </w:rPr>
        <w:t xml:space="preserve">las variables de interés. </w:t>
      </w:r>
      <w:r w:rsidRPr="00826BBF">
        <w:rPr>
          <w:bCs/>
          <w:lang w:val="es-ES_tradnl"/>
        </w:rPr>
        <w:t>La inclusión de controles podría aumentar la precisión con la que se estiman los resultados en la medida que estos puedan explicar varianza en los indicadores de interés.</w:t>
      </w:r>
    </w:p>
    <w:p w14:paraId="622078AA" w14:textId="77777777" w:rsidR="00D6663C" w:rsidRPr="00826BBF" w:rsidRDefault="00D86EDD" w:rsidP="00076A46">
      <w:pPr>
        <w:pStyle w:val="ListParagraph"/>
        <w:numPr>
          <w:ilvl w:val="1"/>
          <w:numId w:val="2"/>
        </w:numPr>
        <w:tabs>
          <w:tab w:val="left" w:pos="801"/>
        </w:tabs>
        <w:ind w:right="115"/>
        <w:rPr>
          <w:bCs/>
          <w:lang w:val="es-ES_tradnl"/>
        </w:rPr>
      </w:pPr>
      <w:r w:rsidRPr="00826BBF">
        <w:rPr>
          <w:b/>
          <w:lang w:val="es-ES_tradnl"/>
        </w:rPr>
        <w:t>Evaluación de procesos</w:t>
      </w:r>
      <w:r w:rsidRPr="004F5ECB">
        <w:rPr>
          <w:bCs/>
          <w:lang w:val="es-ES_tradnl"/>
        </w:rPr>
        <w:t>.</w:t>
      </w:r>
      <w:r w:rsidRPr="00826BBF">
        <w:rPr>
          <w:bCs/>
          <w:lang w:val="es-ES_tradnl"/>
        </w:rPr>
        <w:t xml:space="preserve"> Para dar seguimiento a la reforma laboral se dará especial seguimiento a los </w:t>
      </w:r>
      <w:r w:rsidR="00FD7C24" w:rsidRPr="00826BBF">
        <w:rPr>
          <w:bCs/>
          <w:lang w:val="es-ES_tradnl"/>
        </w:rPr>
        <w:t xml:space="preserve">productos y procesos de cada </w:t>
      </w:r>
      <w:r w:rsidRPr="00826BBF">
        <w:rPr>
          <w:bCs/>
          <w:lang w:val="es-ES_tradnl"/>
        </w:rPr>
        <w:t>componentes</w:t>
      </w:r>
      <w:r w:rsidR="00236C3E" w:rsidRPr="00826BBF">
        <w:rPr>
          <w:bCs/>
          <w:lang w:val="es-ES_tradnl"/>
        </w:rPr>
        <w:t xml:space="preserve">. Esta evaluación brindará </w:t>
      </w:r>
      <w:r w:rsidR="009F6FF8" w:rsidRPr="00826BBF">
        <w:rPr>
          <w:bCs/>
          <w:lang w:val="es-ES_tradnl"/>
        </w:rPr>
        <w:t xml:space="preserve">para mejorar </w:t>
      </w:r>
      <w:r w:rsidR="008974F5" w:rsidRPr="00826BBF">
        <w:rPr>
          <w:bCs/>
          <w:lang w:val="es-ES_tradnl"/>
        </w:rPr>
        <w:t xml:space="preserve">gestión operativa de </w:t>
      </w:r>
      <w:r w:rsidR="009F6FF8" w:rsidRPr="00826BBF">
        <w:rPr>
          <w:bCs/>
          <w:lang w:val="es-ES_tradnl"/>
        </w:rPr>
        <w:t>la reforma labor</w:t>
      </w:r>
      <w:r w:rsidR="00975FBD" w:rsidRPr="00826BBF">
        <w:rPr>
          <w:bCs/>
          <w:lang w:val="es-ES_tradnl"/>
        </w:rPr>
        <w:t xml:space="preserve">al. Dado que </w:t>
      </w:r>
      <w:r w:rsidR="009A1482" w:rsidRPr="00826BBF">
        <w:rPr>
          <w:bCs/>
          <w:lang w:val="es-ES_tradnl"/>
        </w:rPr>
        <w:t xml:space="preserve">es importante identificar la implementación propiamente, </w:t>
      </w:r>
      <w:r w:rsidR="00E116D2" w:rsidRPr="00826BBF">
        <w:rPr>
          <w:bCs/>
          <w:lang w:val="es-ES_tradnl"/>
        </w:rPr>
        <w:t xml:space="preserve">esta evaluación se realizará a partir </w:t>
      </w:r>
      <w:r w:rsidR="008974F5" w:rsidRPr="00826BBF">
        <w:rPr>
          <w:bCs/>
          <w:lang w:val="es-ES_tradnl"/>
        </w:rPr>
        <w:t xml:space="preserve">tercer año de </w:t>
      </w:r>
      <w:r w:rsidR="00E953EE" w:rsidRPr="00826BBF">
        <w:rPr>
          <w:bCs/>
          <w:lang w:val="es-ES_tradnl"/>
        </w:rPr>
        <w:t>impl</w:t>
      </w:r>
      <w:r w:rsidR="005706F5" w:rsidRPr="00826BBF">
        <w:rPr>
          <w:bCs/>
          <w:lang w:val="es-ES_tradnl"/>
        </w:rPr>
        <w:t>e</w:t>
      </w:r>
      <w:r w:rsidR="00E953EE" w:rsidRPr="00826BBF">
        <w:rPr>
          <w:bCs/>
          <w:lang w:val="es-ES_tradnl"/>
        </w:rPr>
        <w:t>mentación de la reforma</w:t>
      </w:r>
      <w:r w:rsidR="008974F5" w:rsidRPr="00826BBF">
        <w:rPr>
          <w:bCs/>
          <w:lang w:val="es-ES_tradnl"/>
        </w:rPr>
        <w:t>.</w:t>
      </w:r>
      <w:r w:rsidR="005706F5" w:rsidRPr="00826BBF">
        <w:rPr>
          <w:bCs/>
          <w:lang w:val="es-ES_tradnl"/>
        </w:rPr>
        <w:t xml:space="preserve"> </w:t>
      </w:r>
      <w:r w:rsidR="0093017F" w:rsidRPr="00826BBF">
        <w:rPr>
          <w:bCs/>
          <w:lang w:val="es-ES_tradnl"/>
        </w:rPr>
        <w:t xml:space="preserve">Con ello se pretende saber si la reforma llevará </w:t>
      </w:r>
      <w:r w:rsidR="008974F5" w:rsidRPr="00826BBF">
        <w:rPr>
          <w:bCs/>
          <w:lang w:val="es-ES_tradnl"/>
        </w:rPr>
        <w:t xml:space="preserve">a cabo sus procesos operativos de manera eficaz y eficiente y si contribuye al mejoramiento de la gestión. </w:t>
      </w:r>
      <w:r w:rsidR="00AF5B65" w:rsidRPr="00826BBF">
        <w:rPr>
          <w:bCs/>
          <w:lang w:val="es-ES_tradnl"/>
        </w:rPr>
        <w:t xml:space="preserve">Con ello se pretende detectar </w:t>
      </w:r>
      <w:r w:rsidR="008974F5" w:rsidRPr="00826BBF">
        <w:rPr>
          <w:bCs/>
          <w:lang w:val="es-ES_tradnl"/>
        </w:rPr>
        <w:t xml:space="preserve">las fortalezas, debilidades, oportunidades y amenazas del marco normativo, estructura y funcionamiento de </w:t>
      </w:r>
      <w:r w:rsidR="00C338E5" w:rsidRPr="00826BBF">
        <w:rPr>
          <w:bCs/>
          <w:lang w:val="es-ES_tradnl"/>
        </w:rPr>
        <w:t>los componentes</w:t>
      </w:r>
      <w:r w:rsidR="008974F5" w:rsidRPr="00826BBF">
        <w:rPr>
          <w:bCs/>
          <w:lang w:val="es-ES_tradnl"/>
        </w:rPr>
        <w:t xml:space="preserve">, aportando elementos para determinar estrategias que incrementen la efectividad operativa y enriquezcan </w:t>
      </w:r>
      <w:r w:rsidR="00C338E5" w:rsidRPr="00826BBF">
        <w:rPr>
          <w:bCs/>
          <w:lang w:val="es-ES_tradnl"/>
        </w:rPr>
        <w:t>la implementación de la reforma</w:t>
      </w:r>
      <w:r w:rsidR="008974F5" w:rsidRPr="00826BBF">
        <w:rPr>
          <w:bCs/>
          <w:lang w:val="es-ES_tradnl"/>
        </w:rPr>
        <w:t>.</w:t>
      </w:r>
    </w:p>
    <w:p w14:paraId="1A6A47C7" w14:textId="34EC19F5" w:rsidR="009230E1" w:rsidRPr="00826BBF" w:rsidRDefault="00D6663C" w:rsidP="00076A46">
      <w:pPr>
        <w:pStyle w:val="ListParagraph"/>
        <w:numPr>
          <w:ilvl w:val="1"/>
          <w:numId w:val="2"/>
        </w:numPr>
        <w:tabs>
          <w:tab w:val="left" w:pos="801"/>
        </w:tabs>
        <w:ind w:right="115"/>
        <w:rPr>
          <w:bCs/>
          <w:lang w:val="es-ES_tradnl"/>
        </w:rPr>
      </w:pPr>
      <w:r w:rsidRPr="00826BBF">
        <w:rPr>
          <w:bCs/>
          <w:lang w:val="es-ES_tradnl"/>
        </w:rPr>
        <w:t>E</w:t>
      </w:r>
      <w:r w:rsidR="00076A46" w:rsidRPr="00826BBF">
        <w:rPr>
          <w:bCs/>
          <w:lang w:val="es-ES_tradnl"/>
        </w:rPr>
        <w:t xml:space="preserve">l enfoque cualitativo de esta evaluación sigue estrategias analíticas de estudio de caso o multicaso, en los que el análisis y descripción a profundidad proporcionan la evidencia empírica suficiente para comprender y explicar </w:t>
      </w:r>
      <w:r w:rsidR="00E90A59" w:rsidRPr="00826BBF">
        <w:rPr>
          <w:bCs/>
          <w:lang w:val="es-ES_tradnl"/>
        </w:rPr>
        <w:t>la implementación de la reforma</w:t>
      </w:r>
      <w:r w:rsidR="00076A46" w:rsidRPr="00826BBF">
        <w:rPr>
          <w:bCs/>
          <w:lang w:val="es-ES_tradnl"/>
        </w:rPr>
        <w:t xml:space="preserve">: sus relaciones del contexto social, cultural, político e institucional en que opera. En ese sentido, la información derivada del análisis de caso servirá para identificar de manera general la operación </w:t>
      </w:r>
      <w:r w:rsidR="00235715" w:rsidRPr="00826BBF">
        <w:rPr>
          <w:bCs/>
          <w:lang w:val="es-ES_tradnl"/>
        </w:rPr>
        <w:t>la reforma</w:t>
      </w:r>
      <w:r w:rsidR="003650D5">
        <w:rPr>
          <w:bCs/>
          <w:lang w:val="es-ES_tradnl"/>
        </w:rPr>
        <w:t>,</w:t>
      </w:r>
      <w:r w:rsidR="00235715" w:rsidRPr="00826BBF">
        <w:rPr>
          <w:bCs/>
          <w:lang w:val="es-ES_tradnl"/>
        </w:rPr>
        <w:t xml:space="preserve"> </w:t>
      </w:r>
      <w:r w:rsidR="00076A46" w:rsidRPr="00826BBF">
        <w:rPr>
          <w:bCs/>
          <w:lang w:val="es-ES_tradnl"/>
        </w:rPr>
        <w:t xml:space="preserve">así como aquellas diferencias que se presenten entre cada uno de los casos observados. También deberán utilizarse como una herramienta que permita dar fundamento </w:t>
      </w:r>
      <w:r w:rsidR="009230E1" w:rsidRPr="00826BBF">
        <w:rPr>
          <w:bCs/>
          <w:lang w:val="es-ES_tradnl"/>
        </w:rPr>
        <w:t xml:space="preserve">a los </w:t>
      </w:r>
      <w:r w:rsidR="00076A46" w:rsidRPr="00826BBF">
        <w:rPr>
          <w:bCs/>
          <w:lang w:val="es-ES_tradnl"/>
        </w:rPr>
        <w:t>hallazgos y recomendaciones, por lo que sólo se deberá incluir la información relevante de cada caso analizado.</w:t>
      </w:r>
    </w:p>
    <w:p w14:paraId="6BD94429" w14:textId="6D4ACAFF" w:rsidR="00076A46" w:rsidRPr="00826BBF" w:rsidRDefault="00076A46" w:rsidP="00076A46">
      <w:pPr>
        <w:pStyle w:val="ListParagraph"/>
        <w:numPr>
          <w:ilvl w:val="1"/>
          <w:numId w:val="2"/>
        </w:numPr>
        <w:tabs>
          <w:tab w:val="left" w:pos="801"/>
        </w:tabs>
        <w:ind w:right="115"/>
        <w:rPr>
          <w:bCs/>
          <w:lang w:val="es-ES_tradnl"/>
        </w:rPr>
      </w:pPr>
      <w:r w:rsidRPr="00826BBF">
        <w:rPr>
          <w:bCs/>
          <w:lang w:val="es-ES_tradnl"/>
        </w:rPr>
        <w:t xml:space="preserve">La evaluación de procesos deberá describir en detalle el proceso general </w:t>
      </w:r>
      <w:r w:rsidR="009230E1" w:rsidRPr="00826BBF">
        <w:rPr>
          <w:bCs/>
          <w:lang w:val="es-ES_tradnl"/>
        </w:rPr>
        <w:t xml:space="preserve">la reforma laboral </w:t>
      </w:r>
      <w:r w:rsidRPr="00826BBF">
        <w:rPr>
          <w:bCs/>
          <w:lang w:val="es-ES_tradnl"/>
        </w:rPr>
        <w:t xml:space="preserve">con base en la normatividad aplicable y con los hallazgos del trabajo de campo. </w:t>
      </w:r>
      <w:r w:rsidR="00DF497F" w:rsidRPr="00826BBF">
        <w:rPr>
          <w:bCs/>
          <w:lang w:val="es-ES_tradnl"/>
        </w:rPr>
        <w:t xml:space="preserve">Ello </w:t>
      </w:r>
      <w:r w:rsidRPr="00826BBF">
        <w:rPr>
          <w:bCs/>
          <w:lang w:val="es-ES_tradnl"/>
        </w:rPr>
        <w:t xml:space="preserve">implicará la realización de análisis de gabinete y trabajo en campo mediante el análisis cualitativo de los procesos en la práctica. Cabe señalar que el área requirente podrá solicitar un análisis cuantitativo, en caso de considerarlo necesario, con la finalidad de contar con datos a mayor escala. </w:t>
      </w:r>
    </w:p>
    <w:p w14:paraId="695A8189" w14:textId="47583535" w:rsidR="00BD2F68" w:rsidRPr="00826BBF" w:rsidRDefault="00BD2F68" w:rsidP="00BD2F68">
      <w:pPr>
        <w:tabs>
          <w:tab w:val="left" w:pos="801"/>
        </w:tabs>
        <w:ind w:right="115"/>
        <w:rPr>
          <w:bCs/>
          <w:lang w:val="es-ES_tradnl"/>
        </w:rPr>
      </w:pPr>
    </w:p>
    <w:p w14:paraId="1DFDFD1C" w14:textId="33E3E042" w:rsidR="00BD2F68" w:rsidRPr="00826BBF" w:rsidRDefault="00BD2F68" w:rsidP="00BD2F68">
      <w:pPr>
        <w:tabs>
          <w:tab w:val="left" w:pos="801"/>
        </w:tabs>
        <w:ind w:right="115"/>
        <w:rPr>
          <w:bCs/>
          <w:lang w:val="es-ES_tradnl"/>
        </w:rPr>
      </w:pPr>
    </w:p>
    <w:p w14:paraId="481F0996" w14:textId="77777777" w:rsidR="00BD2F68" w:rsidRPr="00826BBF" w:rsidRDefault="00BD2F68" w:rsidP="00BD2F68">
      <w:pPr>
        <w:tabs>
          <w:tab w:val="left" w:pos="801"/>
        </w:tabs>
        <w:ind w:right="115"/>
        <w:rPr>
          <w:bCs/>
          <w:lang w:val="es-ES_tradnl"/>
        </w:rPr>
      </w:pPr>
    </w:p>
    <w:p w14:paraId="0918C95E" w14:textId="77777777" w:rsidR="00076A46" w:rsidRPr="00826BBF" w:rsidRDefault="00076A46" w:rsidP="00076A46">
      <w:pPr>
        <w:pStyle w:val="BodyText"/>
        <w:rPr>
          <w:bCs/>
          <w:lang w:val="es-ES_tradnl"/>
        </w:rPr>
      </w:pPr>
    </w:p>
    <w:p w14:paraId="16F1C0FD" w14:textId="24E70061" w:rsidR="00076A46" w:rsidRPr="00F63C1B" w:rsidRDefault="00076A46" w:rsidP="00DF497F">
      <w:pPr>
        <w:pStyle w:val="BodyText"/>
        <w:numPr>
          <w:ilvl w:val="0"/>
          <w:numId w:val="12"/>
        </w:numPr>
        <w:rPr>
          <w:b/>
          <w:lang w:val="es-ES_tradnl"/>
        </w:rPr>
      </w:pPr>
      <w:r w:rsidRPr="00F63C1B">
        <w:rPr>
          <w:b/>
          <w:lang w:val="es-ES_tradnl"/>
        </w:rPr>
        <w:lastRenderedPageBreak/>
        <w:t>ANÁLISIS DE GABINETE</w:t>
      </w:r>
    </w:p>
    <w:p w14:paraId="53857955" w14:textId="77777777" w:rsidR="00076A46" w:rsidRPr="00F63C1B" w:rsidRDefault="00076A46" w:rsidP="00076A46">
      <w:pPr>
        <w:pStyle w:val="BodyText"/>
        <w:rPr>
          <w:b/>
          <w:lang w:val="es-ES_tradnl"/>
        </w:rPr>
      </w:pPr>
    </w:p>
    <w:p w14:paraId="428CA066" w14:textId="37CCEB52" w:rsidR="00076A46" w:rsidRPr="00826BBF" w:rsidRDefault="006B362B" w:rsidP="00DF497F">
      <w:pPr>
        <w:pStyle w:val="ListParagraph"/>
        <w:numPr>
          <w:ilvl w:val="1"/>
          <w:numId w:val="2"/>
        </w:numPr>
        <w:tabs>
          <w:tab w:val="left" w:pos="801"/>
        </w:tabs>
        <w:ind w:right="115"/>
        <w:rPr>
          <w:bCs/>
          <w:lang w:val="es-ES_tradnl"/>
        </w:rPr>
      </w:pPr>
      <w:r w:rsidRPr="00826BBF">
        <w:rPr>
          <w:bCs/>
          <w:lang w:val="es-ES_tradnl"/>
        </w:rPr>
        <w:t>L</w:t>
      </w:r>
      <w:r w:rsidR="00076A46" w:rsidRPr="00826BBF">
        <w:rPr>
          <w:bCs/>
          <w:lang w:val="es-ES_tradnl"/>
        </w:rPr>
        <w:t xml:space="preserve">a evaluación de procesos </w:t>
      </w:r>
      <w:r w:rsidRPr="00826BBF">
        <w:rPr>
          <w:bCs/>
          <w:lang w:val="es-ES_tradnl"/>
        </w:rPr>
        <w:t xml:space="preserve">de la reforma laboral </w:t>
      </w:r>
      <w:r w:rsidR="00076A46" w:rsidRPr="00826BBF">
        <w:rPr>
          <w:bCs/>
          <w:lang w:val="es-ES_tradnl"/>
        </w:rPr>
        <w:t xml:space="preserve">requerirá de una revisión del contexto en el que se ejecuta, y un análisis del marco normativo que lo rige. Llevar a cabo este análisis requiere de trabajo de gabinete que incluye acopio, organización, sistematización y valoración de información contenida en registros administrativos, documentos oficiales, documentos normativos, </w:t>
      </w:r>
      <w:r w:rsidR="00F7131B" w:rsidRPr="00826BBF">
        <w:rPr>
          <w:bCs/>
          <w:lang w:val="es-ES_tradnl"/>
        </w:rPr>
        <w:t xml:space="preserve">y </w:t>
      </w:r>
      <w:r w:rsidR="00076A46" w:rsidRPr="00826BBF">
        <w:rPr>
          <w:bCs/>
          <w:lang w:val="es-ES_tradnl"/>
        </w:rPr>
        <w:t>sistemas de información.</w:t>
      </w:r>
    </w:p>
    <w:p w14:paraId="1387422B" w14:textId="1FAB30D6" w:rsidR="00076A46" w:rsidRPr="00826BBF" w:rsidRDefault="00076A46" w:rsidP="00DF497F">
      <w:pPr>
        <w:pStyle w:val="ListParagraph"/>
        <w:numPr>
          <w:ilvl w:val="1"/>
          <w:numId w:val="2"/>
        </w:numPr>
        <w:tabs>
          <w:tab w:val="left" w:pos="801"/>
        </w:tabs>
        <w:ind w:right="115"/>
        <w:rPr>
          <w:bCs/>
          <w:lang w:val="es-ES_tradnl"/>
        </w:rPr>
      </w:pPr>
      <w:r w:rsidRPr="00826BBF">
        <w:rPr>
          <w:bCs/>
          <w:lang w:val="es-ES_tradnl"/>
        </w:rPr>
        <w:t xml:space="preserve">El análisis de gabinete proveerá la información para mapear el proceso general de implementación </w:t>
      </w:r>
      <w:r w:rsidR="004E613B" w:rsidRPr="00826BBF">
        <w:rPr>
          <w:bCs/>
          <w:lang w:val="es-ES_tradnl"/>
        </w:rPr>
        <w:t xml:space="preserve">la reforma </w:t>
      </w:r>
      <w:r w:rsidRPr="00826BBF">
        <w:rPr>
          <w:bCs/>
          <w:lang w:val="es-ES_tradnl"/>
        </w:rPr>
        <w:t>y cada uno de sus elementos, identificar los puntos clave de la operación y los actores relevantes que intervienen. Esto permitirá determinar los criterios de selección de la muestra analítica</w:t>
      </w:r>
      <w:r w:rsidR="00DC69F8">
        <w:rPr>
          <w:bCs/>
          <w:lang w:val="es-ES_tradnl"/>
        </w:rPr>
        <w:t>,</w:t>
      </w:r>
      <w:r w:rsidRPr="00826BBF">
        <w:rPr>
          <w:bCs/>
          <w:lang w:val="es-ES_tradnl"/>
        </w:rPr>
        <w:t xml:space="preserve"> así como las características del trabajo de campo que se requeriría como parte de la evaluación de procesos en una etapa posterior.</w:t>
      </w:r>
    </w:p>
    <w:p w14:paraId="6F7BDA59" w14:textId="1F183AB4" w:rsidR="00076A46" w:rsidRPr="00826BBF" w:rsidRDefault="00076A46" w:rsidP="00DF497F">
      <w:pPr>
        <w:pStyle w:val="ListParagraph"/>
        <w:numPr>
          <w:ilvl w:val="1"/>
          <w:numId w:val="2"/>
        </w:numPr>
        <w:tabs>
          <w:tab w:val="left" w:pos="801"/>
        </w:tabs>
        <w:ind w:right="115"/>
        <w:rPr>
          <w:bCs/>
          <w:lang w:val="es-ES_tradnl"/>
        </w:rPr>
      </w:pPr>
      <w:r w:rsidRPr="00826BBF">
        <w:rPr>
          <w:bCs/>
          <w:lang w:val="es-ES_tradnl"/>
        </w:rPr>
        <w:t>Para llevar a cabo el análisis de gabinete</w:t>
      </w:r>
      <w:r w:rsidR="007D3D84" w:rsidRPr="00826BBF">
        <w:rPr>
          <w:bCs/>
          <w:lang w:val="es-ES_tradnl"/>
        </w:rPr>
        <w:t xml:space="preserve"> se considerarán </w:t>
      </w:r>
      <w:r w:rsidRPr="00826BBF">
        <w:rPr>
          <w:bCs/>
          <w:lang w:val="es-ES_tradnl"/>
        </w:rPr>
        <w:t>los siguientes documentos:</w:t>
      </w:r>
    </w:p>
    <w:p w14:paraId="2FE58C50" w14:textId="77777777" w:rsidR="007D3D84" w:rsidRPr="00826BBF" w:rsidRDefault="00076A46" w:rsidP="00076A46">
      <w:pPr>
        <w:pStyle w:val="BodyText"/>
        <w:numPr>
          <w:ilvl w:val="2"/>
          <w:numId w:val="2"/>
        </w:numPr>
        <w:rPr>
          <w:bCs/>
          <w:lang w:val="es-ES_tradnl"/>
        </w:rPr>
      </w:pPr>
      <w:r w:rsidRPr="00826BBF">
        <w:rPr>
          <w:bCs/>
          <w:lang w:val="es-ES_tradnl"/>
        </w:rPr>
        <w:t>La normatividad aplicable (leyes, reglamentos, reglas de operación, lineamientos, manuales de procedimientos, entre otros).</w:t>
      </w:r>
      <w:r w:rsidR="007D3D84" w:rsidRPr="00826BBF">
        <w:rPr>
          <w:bCs/>
          <w:lang w:val="es-ES_tradnl"/>
        </w:rPr>
        <w:t xml:space="preserve"> </w:t>
      </w:r>
    </w:p>
    <w:p w14:paraId="04E58917" w14:textId="06549409" w:rsidR="007D3D84" w:rsidRPr="00826BBF" w:rsidRDefault="00076A46" w:rsidP="00076A46">
      <w:pPr>
        <w:pStyle w:val="BodyText"/>
        <w:numPr>
          <w:ilvl w:val="2"/>
          <w:numId w:val="2"/>
        </w:numPr>
        <w:rPr>
          <w:bCs/>
          <w:lang w:val="es-ES_tradnl"/>
        </w:rPr>
      </w:pPr>
      <w:r w:rsidRPr="00826BBF">
        <w:rPr>
          <w:bCs/>
          <w:lang w:val="es-ES_tradnl"/>
        </w:rPr>
        <w:t xml:space="preserve">Diagnóstico y estudios de la problemática </w:t>
      </w:r>
      <w:r w:rsidR="00685CDB" w:rsidRPr="00826BBF">
        <w:rPr>
          <w:bCs/>
          <w:lang w:val="es-ES_tradnl"/>
        </w:rPr>
        <w:t>de la justicia laboral</w:t>
      </w:r>
      <w:r w:rsidRPr="00826BBF">
        <w:rPr>
          <w:bCs/>
          <w:lang w:val="es-ES_tradnl"/>
        </w:rPr>
        <w:t>.</w:t>
      </w:r>
      <w:r w:rsidR="007D3D84" w:rsidRPr="00826BBF">
        <w:rPr>
          <w:bCs/>
          <w:lang w:val="es-ES_tradnl"/>
        </w:rPr>
        <w:t xml:space="preserve"> </w:t>
      </w:r>
    </w:p>
    <w:p w14:paraId="22F683D8" w14:textId="50FD8B19" w:rsidR="007D3D84" w:rsidRPr="00826BBF" w:rsidRDefault="00076A46" w:rsidP="00076A46">
      <w:pPr>
        <w:pStyle w:val="BodyText"/>
        <w:numPr>
          <w:ilvl w:val="2"/>
          <w:numId w:val="2"/>
        </w:numPr>
        <w:rPr>
          <w:bCs/>
          <w:lang w:val="es-ES_tradnl"/>
        </w:rPr>
      </w:pPr>
      <w:r w:rsidRPr="00826BBF">
        <w:rPr>
          <w:bCs/>
          <w:lang w:val="es-ES_tradnl"/>
        </w:rPr>
        <w:t xml:space="preserve">Diagnósticos y estudios del marco contextual en el que opera </w:t>
      </w:r>
      <w:r w:rsidR="00343FAF" w:rsidRPr="00826BBF">
        <w:rPr>
          <w:bCs/>
          <w:lang w:val="es-ES_tradnl"/>
        </w:rPr>
        <w:t>la reforma laboral</w:t>
      </w:r>
      <w:r w:rsidR="007D3D84" w:rsidRPr="00826BBF">
        <w:rPr>
          <w:bCs/>
          <w:lang w:val="es-ES_tradnl"/>
        </w:rPr>
        <w:t>.</w:t>
      </w:r>
    </w:p>
    <w:p w14:paraId="1C234C69" w14:textId="29CE2B54" w:rsidR="007D3D84" w:rsidRPr="00826BBF" w:rsidRDefault="00076A46" w:rsidP="00076A46">
      <w:pPr>
        <w:pStyle w:val="BodyText"/>
        <w:numPr>
          <w:ilvl w:val="2"/>
          <w:numId w:val="2"/>
        </w:numPr>
        <w:rPr>
          <w:bCs/>
          <w:lang w:val="es-ES_tradnl"/>
        </w:rPr>
      </w:pPr>
      <w:r w:rsidRPr="00826BBF">
        <w:rPr>
          <w:bCs/>
          <w:lang w:val="es-ES_tradnl"/>
        </w:rPr>
        <w:t>Matriz de Indicadores para Resultados.</w:t>
      </w:r>
    </w:p>
    <w:p w14:paraId="5F5C84BF" w14:textId="77777777" w:rsidR="007D3D84" w:rsidRPr="00826BBF" w:rsidRDefault="00076A46" w:rsidP="00076A46">
      <w:pPr>
        <w:pStyle w:val="BodyText"/>
        <w:numPr>
          <w:ilvl w:val="2"/>
          <w:numId w:val="2"/>
        </w:numPr>
        <w:rPr>
          <w:bCs/>
          <w:lang w:val="es-ES_tradnl"/>
        </w:rPr>
      </w:pPr>
      <w:r w:rsidRPr="00826BBF">
        <w:rPr>
          <w:bCs/>
          <w:lang w:val="es-ES_tradnl"/>
        </w:rPr>
        <w:t>Sistemas de información.</w:t>
      </w:r>
    </w:p>
    <w:p w14:paraId="5FBEAF28" w14:textId="77777777" w:rsidR="007D3D84" w:rsidRPr="00826BBF" w:rsidRDefault="00076A46" w:rsidP="00076A46">
      <w:pPr>
        <w:pStyle w:val="BodyText"/>
        <w:numPr>
          <w:ilvl w:val="2"/>
          <w:numId w:val="2"/>
        </w:numPr>
        <w:rPr>
          <w:bCs/>
          <w:lang w:val="es-ES_tradnl"/>
        </w:rPr>
      </w:pPr>
      <w:r w:rsidRPr="00826BBF">
        <w:rPr>
          <w:bCs/>
          <w:lang w:val="es-ES_tradnl"/>
        </w:rPr>
        <w:t>Documentos de trabajo, institucionales e informes de avances de los Aspectos Susceptibles de Mejora</w:t>
      </w:r>
      <w:r w:rsidR="007D3D84" w:rsidRPr="00826BBF">
        <w:rPr>
          <w:bCs/>
          <w:lang w:val="es-ES_tradnl"/>
        </w:rPr>
        <w:t>.</w:t>
      </w:r>
    </w:p>
    <w:p w14:paraId="1592410B" w14:textId="087C00CE" w:rsidR="007D3D84" w:rsidRPr="00826BBF" w:rsidRDefault="00076A46" w:rsidP="00076A46">
      <w:pPr>
        <w:pStyle w:val="BodyText"/>
        <w:numPr>
          <w:ilvl w:val="2"/>
          <w:numId w:val="2"/>
        </w:numPr>
        <w:rPr>
          <w:bCs/>
          <w:lang w:val="es-ES_tradnl"/>
        </w:rPr>
      </w:pPr>
      <w:r w:rsidRPr="00826BBF">
        <w:rPr>
          <w:bCs/>
          <w:lang w:val="es-ES_tradnl"/>
        </w:rPr>
        <w:t>Documentos asociados al diseño</w:t>
      </w:r>
      <w:r w:rsidR="00343FAF" w:rsidRPr="00826BBF">
        <w:rPr>
          <w:bCs/>
          <w:lang w:val="es-ES_tradnl"/>
        </w:rPr>
        <w:t xml:space="preserve"> del nuevo modelo de justicia </w:t>
      </w:r>
      <w:r w:rsidR="00620A3F" w:rsidRPr="00826BBF">
        <w:rPr>
          <w:bCs/>
          <w:lang w:val="es-ES_tradnl"/>
        </w:rPr>
        <w:t>laboral</w:t>
      </w:r>
      <w:r w:rsidRPr="00826BBF">
        <w:rPr>
          <w:bCs/>
          <w:lang w:val="es-ES_tradnl"/>
        </w:rPr>
        <w:t>.</w:t>
      </w:r>
    </w:p>
    <w:p w14:paraId="37E08200" w14:textId="057D5225" w:rsidR="00076A46" w:rsidRPr="00826BBF" w:rsidRDefault="00343FAF" w:rsidP="00076A46">
      <w:pPr>
        <w:pStyle w:val="BodyText"/>
        <w:numPr>
          <w:ilvl w:val="2"/>
          <w:numId w:val="2"/>
        </w:numPr>
        <w:rPr>
          <w:bCs/>
          <w:lang w:val="es-ES_tradnl"/>
        </w:rPr>
      </w:pPr>
      <w:r w:rsidRPr="00826BBF">
        <w:rPr>
          <w:bCs/>
          <w:lang w:val="es-ES_tradnl"/>
        </w:rPr>
        <w:t xml:space="preserve">Registro nacional de contratos colectivos y </w:t>
      </w:r>
      <w:r w:rsidR="00C651F3" w:rsidRPr="00826BBF">
        <w:rPr>
          <w:bCs/>
          <w:lang w:val="es-ES_tradnl"/>
        </w:rPr>
        <w:t>sindicatos</w:t>
      </w:r>
      <w:r w:rsidR="00DC69F8">
        <w:rPr>
          <w:bCs/>
          <w:lang w:val="es-ES_tradnl"/>
        </w:rPr>
        <w:t>.</w:t>
      </w:r>
    </w:p>
    <w:p w14:paraId="3AE80EE5" w14:textId="77777777" w:rsidR="00076A46" w:rsidRPr="00826BBF" w:rsidRDefault="00076A46" w:rsidP="00076A46">
      <w:pPr>
        <w:pStyle w:val="BodyText"/>
        <w:rPr>
          <w:bCs/>
          <w:lang w:val="es-ES_tradnl"/>
        </w:rPr>
      </w:pPr>
    </w:p>
    <w:p w14:paraId="7390394F" w14:textId="458FF8D3" w:rsidR="00076A46" w:rsidRPr="00DC69F8" w:rsidRDefault="004A49AA" w:rsidP="00C651F3">
      <w:pPr>
        <w:pStyle w:val="BodyText"/>
        <w:numPr>
          <w:ilvl w:val="0"/>
          <w:numId w:val="12"/>
        </w:numPr>
        <w:rPr>
          <w:b/>
          <w:lang w:val="es-ES_tradnl"/>
        </w:rPr>
      </w:pPr>
      <w:r w:rsidRPr="00DC69F8">
        <w:rPr>
          <w:b/>
          <w:lang w:val="es-ES_tradnl"/>
        </w:rPr>
        <w:t>A</w:t>
      </w:r>
      <w:r w:rsidR="00601CFA" w:rsidRPr="00DC69F8">
        <w:rPr>
          <w:b/>
          <w:lang w:val="es-ES_tradnl"/>
        </w:rPr>
        <w:t>nálisis cualitativo</w:t>
      </w:r>
    </w:p>
    <w:p w14:paraId="7EF38EE5" w14:textId="77777777" w:rsidR="00076A46" w:rsidRPr="00826BBF" w:rsidRDefault="00076A46" w:rsidP="00076A46">
      <w:pPr>
        <w:pStyle w:val="BodyText"/>
        <w:rPr>
          <w:bCs/>
          <w:lang w:val="es-ES_tradnl"/>
        </w:rPr>
      </w:pPr>
    </w:p>
    <w:p w14:paraId="60BDE97D" w14:textId="4E29987E" w:rsidR="00076A46" w:rsidRPr="00826BBF" w:rsidRDefault="00076A46" w:rsidP="00601CFA">
      <w:pPr>
        <w:pStyle w:val="ListParagraph"/>
        <w:numPr>
          <w:ilvl w:val="1"/>
          <w:numId w:val="2"/>
        </w:numPr>
        <w:tabs>
          <w:tab w:val="left" w:pos="801"/>
        </w:tabs>
        <w:ind w:right="115"/>
        <w:rPr>
          <w:bCs/>
          <w:lang w:val="es-ES_tradnl"/>
        </w:rPr>
      </w:pPr>
      <w:r w:rsidRPr="00826BBF">
        <w:rPr>
          <w:bCs/>
          <w:lang w:val="es-ES_tradnl"/>
        </w:rPr>
        <w:t xml:space="preserve">Para la evaluación de procesos se deberá llevar a cabo una estrategia de levantamiento de información mediante técnicas cualitativas como la observación directa, entrevistas a profundidad y semi-estructuradas, y grupos focales. El diseño y la aplicación de los instrumentos para el levantamiento de la información considerarán a los actores que intervienen en la </w:t>
      </w:r>
      <w:r w:rsidR="005204E6" w:rsidRPr="00826BBF">
        <w:rPr>
          <w:bCs/>
          <w:lang w:val="es-ES_tradnl"/>
        </w:rPr>
        <w:t xml:space="preserve">implementación de la reforma </w:t>
      </w:r>
      <w:r w:rsidRPr="00826BBF">
        <w:rPr>
          <w:bCs/>
          <w:lang w:val="es-ES_tradnl"/>
        </w:rPr>
        <w:t>tanto a nivel central</w:t>
      </w:r>
      <w:r w:rsidR="00BA4268">
        <w:rPr>
          <w:bCs/>
          <w:lang w:val="es-ES_tradnl"/>
        </w:rPr>
        <w:t>,</w:t>
      </w:r>
      <w:r w:rsidRPr="00826BBF">
        <w:rPr>
          <w:bCs/>
          <w:lang w:val="es-ES_tradnl"/>
        </w:rPr>
        <w:t xml:space="preserve"> como en las entidades federativas o unidades de ejecución donde opere</w:t>
      </w:r>
      <w:r w:rsidR="005204E6" w:rsidRPr="00826BBF">
        <w:rPr>
          <w:bCs/>
          <w:lang w:val="es-ES_tradnl"/>
        </w:rPr>
        <w:t>.</w:t>
      </w:r>
    </w:p>
    <w:p w14:paraId="2BD640FC" w14:textId="18379C81" w:rsidR="00076A46" w:rsidRPr="00826BBF" w:rsidRDefault="00076A46" w:rsidP="00601CFA">
      <w:pPr>
        <w:pStyle w:val="ListParagraph"/>
        <w:numPr>
          <w:ilvl w:val="1"/>
          <w:numId w:val="2"/>
        </w:numPr>
        <w:tabs>
          <w:tab w:val="left" w:pos="801"/>
        </w:tabs>
        <w:ind w:right="115"/>
        <w:rPr>
          <w:bCs/>
          <w:lang w:val="es-ES_tradnl"/>
        </w:rPr>
      </w:pPr>
      <w:r w:rsidRPr="00826BBF">
        <w:rPr>
          <w:bCs/>
          <w:lang w:val="es-ES_tradnl"/>
        </w:rPr>
        <w:t xml:space="preserve">La realización de entrevistas a profundidad, semi-estructuradas y/o grupos focales con actores clave permitirá obtener información sobre la implementación del </w:t>
      </w:r>
      <w:r w:rsidR="00852F16" w:rsidRPr="00826BBF">
        <w:rPr>
          <w:bCs/>
          <w:lang w:val="es-ES_tradnl"/>
        </w:rPr>
        <w:t xml:space="preserve">nuevo sistema de justicia laboral </w:t>
      </w:r>
      <w:r w:rsidRPr="00826BBF">
        <w:rPr>
          <w:bCs/>
          <w:lang w:val="es-ES_tradnl"/>
        </w:rPr>
        <w:t xml:space="preserve">y la identificación de elementos relevantes de análisis. La información que se obtenga a partir de la aplicación de estas técnicas se complementará con la observación directa de procesos que permita la revisión </w:t>
      </w:r>
      <w:r w:rsidRPr="00BA4268">
        <w:rPr>
          <w:bCs/>
          <w:i/>
          <w:iCs/>
          <w:lang w:val="es-ES_tradnl"/>
        </w:rPr>
        <w:t>in situ</w:t>
      </w:r>
      <w:r w:rsidRPr="00826BBF">
        <w:rPr>
          <w:bCs/>
          <w:lang w:val="es-ES_tradnl"/>
        </w:rPr>
        <w:t xml:space="preserve"> de la implementación de </w:t>
      </w:r>
      <w:r w:rsidR="00405986" w:rsidRPr="00826BBF">
        <w:rPr>
          <w:bCs/>
          <w:lang w:val="es-ES_tradnl"/>
        </w:rPr>
        <w:t xml:space="preserve">la reforma </w:t>
      </w:r>
      <w:r w:rsidRPr="00826BBF">
        <w:rPr>
          <w:bCs/>
          <w:lang w:val="es-ES_tradnl"/>
        </w:rPr>
        <w:t>en cada uno de los niveles de ejecución.</w:t>
      </w:r>
    </w:p>
    <w:p w14:paraId="1597B340" w14:textId="77777777" w:rsidR="00405986" w:rsidRPr="00BA4268" w:rsidRDefault="00405986" w:rsidP="00076A46">
      <w:pPr>
        <w:pStyle w:val="BodyText"/>
        <w:rPr>
          <w:b/>
          <w:lang w:val="es-ES_tradnl"/>
        </w:rPr>
      </w:pPr>
    </w:p>
    <w:p w14:paraId="5BB0726A" w14:textId="2CE07D9C" w:rsidR="00076A46" w:rsidRPr="00BA4268" w:rsidRDefault="003B086F" w:rsidP="00C77D08">
      <w:pPr>
        <w:pStyle w:val="BodyText"/>
        <w:numPr>
          <w:ilvl w:val="0"/>
          <w:numId w:val="12"/>
        </w:numPr>
        <w:rPr>
          <w:b/>
          <w:lang w:val="es-ES_tradnl"/>
        </w:rPr>
      </w:pPr>
      <w:r w:rsidRPr="00BA4268">
        <w:rPr>
          <w:b/>
          <w:lang w:val="es-ES_tradnl"/>
        </w:rPr>
        <w:t>Descripción y análisis de los procesos de la reforma</w:t>
      </w:r>
    </w:p>
    <w:p w14:paraId="056E0AD3" w14:textId="77777777" w:rsidR="00BF6EF4" w:rsidRPr="00826BBF" w:rsidRDefault="00246750" w:rsidP="00C77D08">
      <w:pPr>
        <w:pStyle w:val="ListParagraph"/>
        <w:numPr>
          <w:ilvl w:val="1"/>
          <w:numId w:val="2"/>
        </w:numPr>
        <w:tabs>
          <w:tab w:val="left" w:pos="801"/>
        </w:tabs>
        <w:ind w:right="115"/>
        <w:rPr>
          <w:bCs/>
          <w:lang w:val="es-ES_tradnl"/>
        </w:rPr>
      </w:pPr>
      <w:r w:rsidRPr="00826BBF">
        <w:rPr>
          <w:bCs/>
          <w:lang w:val="es-ES_tradnl"/>
        </w:rPr>
        <w:t xml:space="preserve">La evaluación deberá </w:t>
      </w:r>
      <w:r w:rsidR="00076A46" w:rsidRPr="00826BBF">
        <w:rPr>
          <w:bCs/>
          <w:lang w:val="es-ES_tradnl"/>
        </w:rPr>
        <w:t xml:space="preserve">una descripción a profundidad del desarrollo de cada proceso que se lleva a cabo en </w:t>
      </w:r>
      <w:r w:rsidR="00996FFE" w:rsidRPr="00826BBF">
        <w:rPr>
          <w:bCs/>
          <w:lang w:val="es-ES_tradnl"/>
        </w:rPr>
        <w:t>la reforma</w:t>
      </w:r>
      <w:r w:rsidR="00076A46" w:rsidRPr="00826BBF">
        <w:rPr>
          <w:bCs/>
          <w:lang w:val="es-ES_tradnl"/>
        </w:rPr>
        <w:t xml:space="preserve">, de acuerdo con el alcance establecido para la evaluación, utilizando tanto la información recabada en campo como en gabinete, es decir considerar la normatividad y lo realizado en la práctica. Asimismo, debe analizar la pertinencia de la gestión de los procesos en </w:t>
      </w:r>
    </w:p>
    <w:p w14:paraId="02482862" w14:textId="77777777" w:rsidR="00BF6EF4" w:rsidRPr="00826BBF" w:rsidRDefault="00BF6EF4" w:rsidP="00BF6EF4">
      <w:pPr>
        <w:pStyle w:val="ListParagraph"/>
        <w:tabs>
          <w:tab w:val="left" w:pos="801"/>
        </w:tabs>
        <w:ind w:left="800" w:right="115" w:firstLine="0"/>
        <w:jc w:val="left"/>
        <w:rPr>
          <w:bCs/>
          <w:lang w:val="es-ES_tradnl"/>
        </w:rPr>
      </w:pPr>
    </w:p>
    <w:p w14:paraId="544C145F" w14:textId="69A1E12B" w:rsidR="00076A46" w:rsidRPr="00826BBF" w:rsidRDefault="00076A46" w:rsidP="002B05C6">
      <w:pPr>
        <w:tabs>
          <w:tab w:val="left" w:pos="801"/>
        </w:tabs>
        <w:ind w:left="810" w:right="115"/>
        <w:jc w:val="both"/>
        <w:rPr>
          <w:bCs/>
          <w:lang w:val="es-ES_tradnl"/>
        </w:rPr>
      </w:pPr>
      <w:r w:rsidRPr="00826BBF">
        <w:rPr>
          <w:bCs/>
          <w:lang w:val="es-ES_tradnl"/>
        </w:rPr>
        <w:lastRenderedPageBreak/>
        <w:t xml:space="preserve">el contexto institucional en el que operan, la articulación entre procesos y su incidencia en el alcance de los objetivos y metas programadas. </w:t>
      </w:r>
    </w:p>
    <w:p w14:paraId="6E851593" w14:textId="188D367E" w:rsidR="00CD61F0" w:rsidRPr="00826BBF" w:rsidRDefault="00076A46" w:rsidP="00CD61F0">
      <w:pPr>
        <w:pStyle w:val="ListParagraph"/>
        <w:numPr>
          <w:ilvl w:val="1"/>
          <w:numId w:val="2"/>
        </w:numPr>
        <w:tabs>
          <w:tab w:val="left" w:pos="801"/>
        </w:tabs>
        <w:ind w:right="115"/>
        <w:rPr>
          <w:bCs/>
          <w:lang w:val="es-ES_tradnl"/>
        </w:rPr>
      </w:pPr>
      <w:r w:rsidRPr="00826BBF">
        <w:rPr>
          <w:bCs/>
          <w:lang w:val="es-ES_tradnl"/>
        </w:rPr>
        <w:t xml:space="preserve">La descripción y análisis de los procesos se debe realizar tomando como base el "Modelo general de procesos", </w:t>
      </w:r>
      <w:r w:rsidR="00CD61F0" w:rsidRPr="00826BBF">
        <w:rPr>
          <w:bCs/>
          <w:lang w:val="es-ES_tradnl"/>
        </w:rPr>
        <w:t xml:space="preserve">se </w:t>
      </w:r>
      <w:r w:rsidR="00876624" w:rsidRPr="00826BBF">
        <w:rPr>
          <w:bCs/>
          <w:lang w:val="es-ES_tradnl"/>
        </w:rPr>
        <w:t xml:space="preserve">deberán </w:t>
      </w:r>
      <w:r w:rsidR="00CD61F0" w:rsidRPr="00826BBF">
        <w:rPr>
          <w:bCs/>
          <w:lang w:val="es-ES_tradnl"/>
        </w:rPr>
        <w:t>considerar los siguientes temas a tratar:</w:t>
      </w:r>
    </w:p>
    <w:p w14:paraId="2E271252" w14:textId="77777777" w:rsidR="0025205A" w:rsidRPr="00826BBF" w:rsidRDefault="00CD61F0" w:rsidP="0025205A">
      <w:pPr>
        <w:pStyle w:val="ListParagraph"/>
        <w:numPr>
          <w:ilvl w:val="2"/>
          <w:numId w:val="2"/>
        </w:numPr>
        <w:tabs>
          <w:tab w:val="left" w:pos="801"/>
        </w:tabs>
        <w:ind w:right="115"/>
        <w:rPr>
          <w:bCs/>
          <w:lang w:val="es-ES_tradnl"/>
        </w:rPr>
      </w:pPr>
      <w:r w:rsidRPr="00826BBF">
        <w:rPr>
          <w:bCs/>
          <w:lang w:val="es-ES_tradnl"/>
        </w:rPr>
        <w:t>Descripción detallada de las actividades, los componentes y los actores que integran el desarrollo de</w:t>
      </w:r>
      <w:r w:rsidR="0025205A" w:rsidRPr="00826BBF">
        <w:rPr>
          <w:bCs/>
          <w:lang w:val="es-ES_tradnl"/>
        </w:rPr>
        <w:t xml:space="preserve"> cada</w:t>
      </w:r>
      <w:r w:rsidRPr="00826BBF">
        <w:rPr>
          <w:bCs/>
          <w:lang w:val="es-ES_tradnl"/>
        </w:rPr>
        <w:t xml:space="preserve"> proceso.</w:t>
      </w:r>
    </w:p>
    <w:p w14:paraId="546BBC6D" w14:textId="77777777" w:rsidR="0025205A" w:rsidRPr="00826BBF" w:rsidRDefault="0025205A" w:rsidP="0025205A">
      <w:pPr>
        <w:pStyle w:val="ListParagraph"/>
        <w:numPr>
          <w:ilvl w:val="2"/>
          <w:numId w:val="2"/>
        </w:numPr>
        <w:tabs>
          <w:tab w:val="left" w:pos="801"/>
        </w:tabs>
        <w:ind w:right="115"/>
        <w:rPr>
          <w:bCs/>
          <w:lang w:val="es-ES_tradnl"/>
        </w:rPr>
      </w:pPr>
      <w:r w:rsidRPr="00826BBF">
        <w:rPr>
          <w:bCs/>
          <w:lang w:val="es-ES_tradnl"/>
        </w:rPr>
        <w:t>L</w:t>
      </w:r>
      <w:r w:rsidR="00CD61F0" w:rsidRPr="00826BBF">
        <w:rPr>
          <w:bCs/>
          <w:lang w:val="es-ES_tradnl"/>
        </w:rPr>
        <w:t>ímites del proceso y su articulación con otros.</w:t>
      </w:r>
    </w:p>
    <w:p w14:paraId="28261A97"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Insumos y recursos: determinar si los insumos y los recursos disponibles son suficientes y adecuados para el funcionamiento del proceso.</w:t>
      </w:r>
    </w:p>
    <w:p w14:paraId="17001007"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 xml:space="preserve">Tiempo: ¿el tiempo en que se realiza el proceso es el adecuado y acorde a lo planificado? </w:t>
      </w:r>
    </w:p>
    <w:p w14:paraId="77113BB5"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Personal: ¿el personal es suficiente, tiene el perfil y cuenta con la capacitación para realizar sus funciones?</w:t>
      </w:r>
    </w:p>
    <w:p w14:paraId="372445B2"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Recursos financieros: ¿los recursos financieros son suficientes para la operación del proceso?</w:t>
      </w:r>
    </w:p>
    <w:p w14:paraId="25B72E9B"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Infraestructura: ¿se cuenta con la infraestructura o capacidad instalada suficiente para llevar a cabo el proceso?</w:t>
      </w:r>
    </w:p>
    <w:p w14:paraId="00CF7286"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Productos: ¿los productos del proceso sirven de insumo para ejecutar el proceso subsecuente?</w:t>
      </w:r>
    </w:p>
    <w:p w14:paraId="7909EF0B"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 xml:space="preserve">Sistemas de información: ¿Los sistemas de información en las distintas etapas del Programa funcionan como una fuente de información para los sistemas de monitoreo a nivel central y para los ejecutores? </w:t>
      </w:r>
    </w:p>
    <w:p w14:paraId="663AC47C"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 xml:space="preserve">Coordinación: ¿la coordinación entre los actores, órdenes de gobierno o dependencias involucradas es adecuada para la implementación del proceso? </w:t>
      </w:r>
    </w:p>
    <w:p w14:paraId="63EB79A3" w14:textId="77777777" w:rsidR="0065606E" w:rsidRPr="00826BBF" w:rsidRDefault="00CD61F0" w:rsidP="0065606E">
      <w:pPr>
        <w:pStyle w:val="ListParagraph"/>
        <w:numPr>
          <w:ilvl w:val="2"/>
          <w:numId w:val="2"/>
        </w:numPr>
        <w:tabs>
          <w:tab w:val="left" w:pos="801"/>
        </w:tabs>
        <w:ind w:right="115"/>
        <w:rPr>
          <w:bCs/>
          <w:lang w:val="es-ES_tradnl"/>
        </w:rPr>
      </w:pPr>
      <w:r w:rsidRPr="00826BBF">
        <w:rPr>
          <w:bCs/>
          <w:lang w:val="es-ES_tradnl"/>
        </w:rPr>
        <w:t>Evaluar la pertinencia del proceso en el contexto y condiciones en que se desarrolla.</w:t>
      </w:r>
    </w:p>
    <w:p w14:paraId="36266A07" w14:textId="3B59179B" w:rsidR="00CD61F0" w:rsidRPr="00826BBF" w:rsidRDefault="00CD61F0" w:rsidP="0065606E">
      <w:pPr>
        <w:pStyle w:val="ListParagraph"/>
        <w:numPr>
          <w:ilvl w:val="2"/>
          <w:numId w:val="2"/>
        </w:numPr>
        <w:tabs>
          <w:tab w:val="left" w:pos="801"/>
        </w:tabs>
        <w:ind w:right="115"/>
        <w:rPr>
          <w:bCs/>
          <w:lang w:val="es-ES_tradnl"/>
        </w:rPr>
      </w:pPr>
      <w:r w:rsidRPr="00826BBF">
        <w:rPr>
          <w:bCs/>
          <w:lang w:val="es-ES_tradnl"/>
        </w:rPr>
        <w:t>Identificar las características relacionadas con la importancia estratégica del proceso.</w:t>
      </w:r>
    </w:p>
    <w:p w14:paraId="52AE86F8" w14:textId="1A4B552F" w:rsidR="00CD61F0" w:rsidRPr="00826BBF" w:rsidRDefault="00CD61F0" w:rsidP="00CD61F0">
      <w:pPr>
        <w:pStyle w:val="ListParagraph"/>
        <w:numPr>
          <w:ilvl w:val="1"/>
          <w:numId w:val="2"/>
        </w:numPr>
        <w:tabs>
          <w:tab w:val="left" w:pos="801"/>
        </w:tabs>
        <w:ind w:right="115"/>
        <w:rPr>
          <w:bCs/>
          <w:lang w:val="es-ES_tradnl"/>
        </w:rPr>
      </w:pPr>
      <w:r w:rsidRPr="00826BBF">
        <w:rPr>
          <w:bCs/>
          <w:lang w:val="es-ES_tradnl"/>
        </w:rPr>
        <w:t>Además, se deberá analizar el grado de consolidación operativa de</w:t>
      </w:r>
      <w:r w:rsidR="00BF0513" w:rsidRPr="00826BBF">
        <w:rPr>
          <w:bCs/>
          <w:lang w:val="es-ES_tradnl"/>
        </w:rPr>
        <w:t xml:space="preserve"> </w:t>
      </w:r>
      <w:r w:rsidR="00042297" w:rsidRPr="00826BBF">
        <w:rPr>
          <w:bCs/>
          <w:lang w:val="es-ES_tradnl"/>
        </w:rPr>
        <w:t xml:space="preserve">la </w:t>
      </w:r>
      <w:r w:rsidR="00BF0513" w:rsidRPr="00826BBF">
        <w:rPr>
          <w:bCs/>
          <w:lang w:val="es-ES_tradnl"/>
        </w:rPr>
        <w:t>reforma</w:t>
      </w:r>
      <w:r w:rsidRPr="00826BBF">
        <w:rPr>
          <w:bCs/>
          <w:lang w:val="es-ES_tradnl"/>
        </w:rPr>
        <w:t xml:space="preserve">, considerando elementos como: </w:t>
      </w:r>
      <w:r w:rsidR="0059468E">
        <w:rPr>
          <w:bCs/>
          <w:lang w:val="es-ES_tradnl"/>
        </w:rPr>
        <w:t>(</w:t>
      </w:r>
      <w:r w:rsidRPr="00826BBF">
        <w:rPr>
          <w:bCs/>
          <w:lang w:val="es-ES_tradnl"/>
        </w:rPr>
        <w:t>1)</w:t>
      </w:r>
      <w:r w:rsidR="009E4F01">
        <w:rPr>
          <w:bCs/>
          <w:lang w:val="es-ES_tradnl"/>
        </w:rPr>
        <w:t> </w:t>
      </w:r>
      <w:r w:rsidRPr="00826BBF">
        <w:rPr>
          <w:bCs/>
          <w:lang w:val="es-ES_tradnl"/>
        </w:rPr>
        <w:t xml:space="preserve">si existen documentos que normen los procesos; </w:t>
      </w:r>
      <w:r w:rsidR="009E4F01">
        <w:rPr>
          <w:bCs/>
          <w:lang w:val="es-ES_tradnl"/>
        </w:rPr>
        <w:t>(</w:t>
      </w:r>
      <w:r w:rsidRPr="00826BBF">
        <w:rPr>
          <w:bCs/>
          <w:lang w:val="es-ES_tradnl"/>
        </w:rPr>
        <w:t>2)</w:t>
      </w:r>
      <w:r w:rsidR="009E4F01">
        <w:rPr>
          <w:bCs/>
          <w:lang w:val="es-ES_tradnl"/>
        </w:rPr>
        <w:t> </w:t>
      </w:r>
      <w:r w:rsidRPr="00826BBF">
        <w:rPr>
          <w:bCs/>
          <w:lang w:val="es-ES_tradnl"/>
        </w:rPr>
        <w:t xml:space="preserve">si son del conocimiento de todos los operadores los procesos que están documentados; </w:t>
      </w:r>
      <w:r w:rsidR="009E4F01">
        <w:rPr>
          <w:bCs/>
          <w:lang w:val="es-ES_tradnl"/>
        </w:rPr>
        <w:t>(</w:t>
      </w:r>
      <w:r w:rsidRPr="00826BBF">
        <w:rPr>
          <w:bCs/>
          <w:lang w:val="es-ES_tradnl"/>
        </w:rPr>
        <w:t>3)</w:t>
      </w:r>
      <w:r w:rsidR="009E4F01">
        <w:rPr>
          <w:bCs/>
          <w:lang w:val="es-ES_tradnl"/>
        </w:rPr>
        <w:t> </w:t>
      </w:r>
      <w:r w:rsidRPr="00826BBF">
        <w:rPr>
          <w:bCs/>
          <w:lang w:val="es-ES_tradnl"/>
        </w:rPr>
        <w:t xml:space="preserve">si los procesos están estandarizados, es decir son utilizados por todas la instancias ejecutoras; </w:t>
      </w:r>
      <w:r w:rsidR="009E4F01">
        <w:rPr>
          <w:bCs/>
          <w:lang w:val="es-ES_tradnl"/>
        </w:rPr>
        <w:t>(</w:t>
      </w:r>
      <w:r w:rsidRPr="00826BBF">
        <w:rPr>
          <w:bCs/>
          <w:lang w:val="es-ES_tradnl"/>
        </w:rPr>
        <w:t>4)</w:t>
      </w:r>
      <w:r w:rsidR="009E4F01">
        <w:rPr>
          <w:bCs/>
          <w:lang w:val="es-ES_tradnl"/>
        </w:rPr>
        <w:t> </w:t>
      </w:r>
      <w:r w:rsidRPr="00826BBF">
        <w:rPr>
          <w:bCs/>
          <w:lang w:val="es-ES_tradnl"/>
        </w:rPr>
        <w:t xml:space="preserve">si se cuenta con un sistema de monitoreo e indicadores de gestión que retroalimenten los procesos operativos que desarrollan los operadores; </w:t>
      </w:r>
      <w:r w:rsidR="009E4F01">
        <w:rPr>
          <w:bCs/>
          <w:lang w:val="es-ES_tradnl"/>
        </w:rPr>
        <w:t>y (</w:t>
      </w:r>
      <w:r w:rsidRPr="00826BBF">
        <w:rPr>
          <w:bCs/>
          <w:lang w:val="es-ES_tradnl"/>
        </w:rPr>
        <w:t>5)</w:t>
      </w:r>
      <w:r w:rsidR="009E4F01">
        <w:rPr>
          <w:bCs/>
          <w:lang w:val="es-ES_tradnl"/>
        </w:rPr>
        <w:t> </w:t>
      </w:r>
      <w:r w:rsidRPr="00826BBF">
        <w:rPr>
          <w:bCs/>
          <w:lang w:val="es-ES_tradnl"/>
        </w:rPr>
        <w:t>si se cuenta con mecanismos para la implementación sistemática de mejoras. Se considera que existe un mayor grado de consolidación operativa cuando existen todos los elementos y disminuirá gradualmente conforme haga falta uno o más de ellos hasta el menor grado de consolidación que es cuando no existe ninguno de los elementos .</w:t>
      </w:r>
    </w:p>
    <w:p w14:paraId="5257B491" w14:textId="5BCA84BA" w:rsidR="00CD61F0" w:rsidRPr="00826BBF" w:rsidRDefault="00CD61F0" w:rsidP="00CD61F0">
      <w:pPr>
        <w:pStyle w:val="ListParagraph"/>
        <w:numPr>
          <w:ilvl w:val="1"/>
          <w:numId w:val="2"/>
        </w:numPr>
        <w:tabs>
          <w:tab w:val="left" w:pos="801"/>
        </w:tabs>
        <w:ind w:right="115"/>
        <w:rPr>
          <w:bCs/>
          <w:lang w:val="es-ES_tradnl"/>
        </w:rPr>
      </w:pPr>
      <w:r w:rsidRPr="00826BBF">
        <w:rPr>
          <w:bCs/>
          <w:lang w:val="es-ES_tradnl"/>
        </w:rPr>
        <w:t xml:space="preserve">La descripción de los procesos </w:t>
      </w:r>
      <w:r w:rsidR="00042297" w:rsidRPr="00826BBF">
        <w:rPr>
          <w:bCs/>
          <w:lang w:val="es-ES_tradnl"/>
        </w:rPr>
        <w:t xml:space="preserve">de la reforma </w:t>
      </w:r>
      <w:r w:rsidRPr="00826BBF">
        <w:rPr>
          <w:bCs/>
          <w:lang w:val="es-ES_tradnl"/>
        </w:rPr>
        <w:t>deberá acompañarse de flujogramas para cada uno de los procesos analizados.</w:t>
      </w:r>
    </w:p>
    <w:p w14:paraId="083BFE0B" w14:textId="77777777" w:rsidR="00CD61F0" w:rsidRPr="00826BBF" w:rsidRDefault="00CD61F0" w:rsidP="003B086F">
      <w:pPr>
        <w:tabs>
          <w:tab w:val="left" w:pos="801"/>
        </w:tabs>
        <w:ind w:right="115"/>
        <w:rPr>
          <w:bCs/>
          <w:lang w:val="es-ES_tradnl"/>
        </w:rPr>
      </w:pPr>
    </w:p>
    <w:p w14:paraId="73F35988" w14:textId="28ECF152" w:rsidR="00733E6D" w:rsidRPr="00826BBF" w:rsidRDefault="00CD61F0" w:rsidP="00C77D08">
      <w:pPr>
        <w:pStyle w:val="ListParagraph"/>
        <w:numPr>
          <w:ilvl w:val="1"/>
          <w:numId w:val="2"/>
        </w:numPr>
        <w:tabs>
          <w:tab w:val="left" w:pos="801"/>
        </w:tabs>
        <w:ind w:right="115"/>
        <w:rPr>
          <w:lang w:val="es-ES_tradnl"/>
        </w:rPr>
      </w:pPr>
      <w:r w:rsidRPr="00826BBF">
        <w:rPr>
          <w:bCs/>
          <w:lang w:val="es-ES_tradnl"/>
        </w:rPr>
        <w:br w:type="column"/>
      </w:r>
      <w:r w:rsidR="009E4D55" w:rsidRPr="00826BBF">
        <w:rPr>
          <w:bCs/>
          <w:lang w:val="es-ES_tradnl"/>
        </w:rPr>
        <w:lastRenderedPageBreak/>
        <w:t>Planificación y presupuesto del programa de evaluación. En la Tabla III.B, se presenta el plan de trabajo para la implemen</w:t>
      </w:r>
      <w:r w:rsidR="009E4D55" w:rsidRPr="00826BBF">
        <w:rPr>
          <w:lang w:val="es-ES_tradnl"/>
        </w:rPr>
        <w:t>tación del Plan de Evaluación. Las tres evaluaciones planteadas se realizarán en el contexto de la preparación del PCR de la operación en 2024, y para tal efecto se contratará un consultor que será pagado con recursos transaccionales de LMK asignados a la preparación de PCR. Este consultor apoyará y coordinará con el personal del área de estadística de STPS, y en la evaluación también habrá asistencia técnica de personal de LMK (por lo que también se incluye un par de misiones de trabajo en temas de evaluación por parte de un especialista de evaluación de LMK).</w:t>
      </w:r>
    </w:p>
    <w:p w14:paraId="6392D919" w14:textId="77777777" w:rsidR="00FE0E68" w:rsidRPr="00826BBF" w:rsidRDefault="00FE0E68">
      <w:pPr>
        <w:pStyle w:val="Heading1"/>
        <w:spacing w:before="120"/>
        <w:ind w:left="1770" w:right="1087"/>
        <w:rPr>
          <w:lang w:val="es-ES_tradnl"/>
        </w:rPr>
      </w:pPr>
    </w:p>
    <w:p w14:paraId="59BEB928" w14:textId="36AE9B91" w:rsidR="00733E6D" w:rsidRPr="00F31F35" w:rsidRDefault="009E4D55">
      <w:pPr>
        <w:pStyle w:val="Heading1"/>
        <w:spacing w:before="120"/>
        <w:ind w:left="1770" w:right="1087"/>
        <w:rPr>
          <w:lang w:val="es-ES_tradnl"/>
        </w:rPr>
      </w:pPr>
      <w:r w:rsidRPr="00F31F35">
        <w:rPr>
          <w:lang w:val="es-ES_tradnl"/>
        </w:rPr>
        <w:t>Tabla III.B</w:t>
      </w:r>
    </w:p>
    <w:p w14:paraId="04D20C07" w14:textId="77777777" w:rsidR="00733E6D" w:rsidRPr="00F31F35" w:rsidRDefault="009E4D55">
      <w:pPr>
        <w:spacing w:before="1"/>
        <w:ind w:left="1771" w:right="1087"/>
        <w:jc w:val="center"/>
        <w:rPr>
          <w:b/>
          <w:lang w:val="es-ES_tradnl"/>
        </w:rPr>
      </w:pPr>
      <w:r w:rsidRPr="00F31F35">
        <w:rPr>
          <w:b/>
          <w:lang w:val="es-ES_tradnl"/>
        </w:rPr>
        <w:t>Planificación y Presupuesto del Programa de Evaluación</w:t>
      </w:r>
    </w:p>
    <w:p w14:paraId="21EC2CD0" w14:textId="77777777" w:rsidR="00733E6D" w:rsidRPr="00F31F35" w:rsidRDefault="00733E6D" w:rsidP="00FE0E68">
      <w:pPr>
        <w:pStyle w:val="BodyText"/>
        <w:keepNext/>
        <w:keepLines/>
        <w:spacing w:before="3"/>
        <w:rPr>
          <w:sz w:val="7"/>
          <w:lang w:val="es-ES_tradnl"/>
        </w:rPr>
      </w:pPr>
    </w:p>
    <w:tbl>
      <w:tblPr>
        <w:tblW w:w="8099" w:type="dxa"/>
        <w:tblInd w:w="9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29"/>
        <w:gridCol w:w="307"/>
        <w:gridCol w:w="386"/>
        <w:gridCol w:w="266"/>
        <w:gridCol w:w="318"/>
        <w:gridCol w:w="765"/>
        <w:gridCol w:w="2728"/>
      </w:tblGrid>
      <w:tr w:rsidR="00FE0E68" w:rsidRPr="00F31F35" w14:paraId="619D1362" w14:textId="77777777" w:rsidTr="0023758F">
        <w:trPr>
          <w:trHeight w:val="302"/>
        </w:trPr>
        <w:tc>
          <w:tcPr>
            <w:tcW w:w="3329" w:type="dxa"/>
            <w:shd w:val="clear" w:color="auto" w:fill="8DB4E1"/>
          </w:tcPr>
          <w:p w14:paraId="6BC8E57B" w14:textId="77777777" w:rsidR="00FE0E68" w:rsidRPr="00F31F35" w:rsidRDefault="00FE0E68" w:rsidP="00F86F1C">
            <w:pPr>
              <w:pStyle w:val="TableParagraph"/>
              <w:keepNext/>
              <w:keepLines/>
              <w:spacing w:before="44"/>
              <w:ind w:left="898"/>
              <w:rPr>
                <w:b/>
                <w:sz w:val="18"/>
                <w:lang w:val="es-ES_tradnl"/>
              </w:rPr>
            </w:pPr>
            <w:r w:rsidRPr="00F31F35">
              <w:rPr>
                <w:b/>
                <w:sz w:val="18"/>
                <w:lang w:val="es-ES_tradnl"/>
              </w:rPr>
              <w:t>Actividades</w:t>
            </w:r>
          </w:p>
        </w:tc>
        <w:tc>
          <w:tcPr>
            <w:tcW w:w="1277" w:type="dxa"/>
            <w:gridSpan w:val="4"/>
            <w:shd w:val="clear" w:color="auto" w:fill="8DB4E1"/>
          </w:tcPr>
          <w:p w14:paraId="15188E48" w14:textId="77777777" w:rsidR="00FE0E68" w:rsidRPr="00F31F35" w:rsidRDefault="00FE0E68" w:rsidP="00F86F1C">
            <w:pPr>
              <w:pStyle w:val="TableParagraph"/>
              <w:keepNext/>
              <w:keepLines/>
              <w:spacing w:before="44"/>
              <w:ind w:left="417" w:right="408"/>
              <w:jc w:val="center"/>
              <w:rPr>
                <w:b/>
                <w:sz w:val="18"/>
                <w:lang w:val="es-ES_tradnl"/>
              </w:rPr>
            </w:pPr>
            <w:r w:rsidRPr="00F31F35">
              <w:rPr>
                <w:b/>
                <w:sz w:val="18"/>
                <w:lang w:val="es-ES_tradnl"/>
              </w:rPr>
              <w:t>2023</w:t>
            </w:r>
          </w:p>
        </w:tc>
        <w:tc>
          <w:tcPr>
            <w:tcW w:w="765" w:type="dxa"/>
            <w:shd w:val="clear" w:color="auto" w:fill="8DB4E1"/>
          </w:tcPr>
          <w:p w14:paraId="6A171787" w14:textId="77777777" w:rsidR="00FE0E68" w:rsidRPr="00F31F35" w:rsidRDefault="00FE0E68" w:rsidP="00F86F1C">
            <w:pPr>
              <w:pStyle w:val="TableParagraph"/>
              <w:keepNext/>
              <w:keepLines/>
              <w:spacing w:before="44"/>
              <w:ind w:left="129"/>
              <w:rPr>
                <w:b/>
                <w:sz w:val="18"/>
                <w:lang w:val="es-ES_tradnl"/>
              </w:rPr>
            </w:pPr>
            <w:r w:rsidRPr="00F31F35">
              <w:rPr>
                <w:b/>
                <w:sz w:val="18"/>
                <w:lang w:val="es-ES_tradnl"/>
              </w:rPr>
              <w:t>Costo</w:t>
            </w:r>
          </w:p>
        </w:tc>
        <w:tc>
          <w:tcPr>
            <w:tcW w:w="2728" w:type="dxa"/>
            <w:shd w:val="clear" w:color="auto" w:fill="8DB4E1"/>
          </w:tcPr>
          <w:p w14:paraId="12EE78CD" w14:textId="77777777" w:rsidR="00FE0E68" w:rsidRPr="00F31F35" w:rsidRDefault="00FE0E68" w:rsidP="00F86F1C">
            <w:pPr>
              <w:pStyle w:val="TableParagraph"/>
              <w:keepNext/>
              <w:keepLines/>
              <w:spacing w:before="44"/>
              <w:ind w:left="120"/>
              <w:rPr>
                <w:b/>
                <w:sz w:val="18"/>
                <w:lang w:val="es-ES_tradnl"/>
              </w:rPr>
            </w:pPr>
            <w:r w:rsidRPr="00F31F35">
              <w:rPr>
                <w:b/>
                <w:sz w:val="18"/>
                <w:lang w:val="es-ES_tradnl"/>
              </w:rPr>
              <w:t>Fuente financiamiento</w:t>
            </w:r>
          </w:p>
        </w:tc>
      </w:tr>
      <w:tr w:rsidR="00733E6D" w:rsidRPr="00390A0B" w14:paraId="33D42506" w14:textId="77777777" w:rsidTr="0023758F">
        <w:trPr>
          <w:trHeight w:val="1190"/>
        </w:trPr>
        <w:tc>
          <w:tcPr>
            <w:tcW w:w="3329" w:type="dxa"/>
          </w:tcPr>
          <w:p w14:paraId="5147B1B1" w14:textId="392288F9" w:rsidR="00733E6D" w:rsidRPr="00F31F35" w:rsidRDefault="009E4D55" w:rsidP="00405986">
            <w:pPr>
              <w:pStyle w:val="TableParagraph"/>
              <w:keepNext/>
              <w:keepLines/>
              <w:spacing w:line="276" w:lineRule="auto"/>
              <w:ind w:left="107" w:right="87"/>
              <w:rPr>
                <w:sz w:val="18"/>
                <w:lang w:val="es-ES_tradnl"/>
              </w:rPr>
            </w:pPr>
            <w:r w:rsidRPr="00F31F35">
              <w:rPr>
                <w:sz w:val="18"/>
                <w:lang w:val="es-ES_tradnl"/>
              </w:rPr>
              <w:t>Consultor para apoyar a STPS en procesamiento de datos para las evaluaciones y redacción de informe de evaluación como</w:t>
            </w:r>
            <w:r w:rsidR="00405986" w:rsidRPr="00F31F35">
              <w:rPr>
                <w:sz w:val="18"/>
                <w:lang w:val="es-ES_tradnl"/>
              </w:rPr>
              <w:t xml:space="preserve"> </w:t>
            </w:r>
            <w:r w:rsidRPr="00F31F35">
              <w:rPr>
                <w:sz w:val="18"/>
                <w:lang w:val="es-ES_tradnl"/>
              </w:rPr>
              <w:t>parte el PCR.</w:t>
            </w:r>
          </w:p>
        </w:tc>
        <w:tc>
          <w:tcPr>
            <w:tcW w:w="307" w:type="dxa"/>
          </w:tcPr>
          <w:p w14:paraId="4678A772" w14:textId="77777777" w:rsidR="00733E6D" w:rsidRPr="00F31F35" w:rsidRDefault="009E4D55" w:rsidP="00FE0E68">
            <w:pPr>
              <w:pStyle w:val="TableParagraph"/>
              <w:keepNext/>
              <w:keepLines/>
              <w:spacing w:line="206" w:lineRule="exact"/>
              <w:ind w:left="108"/>
              <w:rPr>
                <w:sz w:val="18"/>
                <w:lang w:val="es-ES_tradnl"/>
              </w:rPr>
            </w:pPr>
            <w:r w:rsidRPr="00F31F35">
              <w:rPr>
                <w:sz w:val="18"/>
                <w:lang w:val="es-ES_tradnl"/>
              </w:rPr>
              <w:t>x</w:t>
            </w:r>
          </w:p>
        </w:tc>
        <w:tc>
          <w:tcPr>
            <w:tcW w:w="386" w:type="dxa"/>
          </w:tcPr>
          <w:p w14:paraId="1DBC9995" w14:textId="77777777" w:rsidR="00733E6D" w:rsidRPr="00F31F35" w:rsidRDefault="009E4D55" w:rsidP="00FE0E68">
            <w:pPr>
              <w:pStyle w:val="TableParagraph"/>
              <w:keepNext/>
              <w:keepLines/>
              <w:spacing w:line="206" w:lineRule="exact"/>
              <w:ind w:left="108"/>
              <w:rPr>
                <w:sz w:val="18"/>
                <w:lang w:val="es-ES_tradnl"/>
              </w:rPr>
            </w:pPr>
            <w:r w:rsidRPr="00F31F35">
              <w:rPr>
                <w:sz w:val="18"/>
                <w:lang w:val="es-ES_tradnl"/>
              </w:rPr>
              <w:t>x</w:t>
            </w:r>
          </w:p>
        </w:tc>
        <w:tc>
          <w:tcPr>
            <w:tcW w:w="266" w:type="dxa"/>
          </w:tcPr>
          <w:p w14:paraId="675CA272" w14:textId="77777777" w:rsidR="00733E6D" w:rsidRPr="00F31F35" w:rsidRDefault="00733E6D" w:rsidP="00FE0E68">
            <w:pPr>
              <w:pStyle w:val="TableParagraph"/>
              <w:keepNext/>
              <w:keepLines/>
              <w:rPr>
                <w:sz w:val="18"/>
                <w:lang w:val="es-ES_tradnl"/>
              </w:rPr>
            </w:pPr>
          </w:p>
        </w:tc>
        <w:tc>
          <w:tcPr>
            <w:tcW w:w="318" w:type="dxa"/>
          </w:tcPr>
          <w:p w14:paraId="67D0EDE4" w14:textId="77777777" w:rsidR="00733E6D" w:rsidRPr="00F31F35" w:rsidRDefault="00733E6D" w:rsidP="00FE0E68">
            <w:pPr>
              <w:pStyle w:val="TableParagraph"/>
              <w:keepNext/>
              <w:keepLines/>
              <w:rPr>
                <w:sz w:val="18"/>
                <w:lang w:val="es-ES_tradnl"/>
              </w:rPr>
            </w:pPr>
          </w:p>
        </w:tc>
        <w:tc>
          <w:tcPr>
            <w:tcW w:w="765" w:type="dxa"/>
          </w:tcPr>
          <w:p w14:paraId="5543350B" w14:textId="77777777" w:rsidR="00733E6D" w:rsidRPr="00F31F35" w:rsidRDefault="009E4D55" w:rsidP="00FE0E68">
            <w:pPr>
              <w:pStyle w:val="TableParagraph"/>
              <w:keepNext/>
              <w:keepLines/>
              <w:spacing w:line="206" w:lineRule="exact"/>
              <w:ind w:left="110"/>
              <w:rPr>
                <w:sz w:val="18"/>
                <w:lang w:val="es-ES_tradnl"/>
              </w:rPr>
            </w:pPr>
            <w:r w:rsidRPr="00F31F35">
              <w:rPr>
                <w:sz w:val="18"/>
                <w:lang w:val="es-ES_tradnl"/>
              </w:rPr>
              <w:t>30.000</w:t>
            </w:r>
          </w:p>
        </w:tc>
        <w:tc>
          <w:tcPr>
            <w:tcW w:w="2728" w:type="dxa"/>
          </w:tcPr>
          <w:p w14:paraId="0E56D272" w14:textId="77777777" w:rsidR="00733E6D" w:rsidRPr="00F31F35" w:rsidRDefault="009E4D55" w:rsidP="00FE0E68">
            <w:pPr>
              <w:pStyle w:val="TableParagraph"/>
              <w:keepNext/>
              <w:keepLines/>
              <w:spacing w:line="276" w:lineRule="auto"/>
              <w:ind w:left="110" w:right="339"/>
              <w:rPr>
                <w:sz w:val="18"/>
                <w:lang w:val="es-ES_tradnl"/>
              </w:rPr>
            </w:pPr>
            <w:r w:rsidRPr="00F31F35">
              <w:rPr>
                <w:sz w:val="18"/>
                <w:lang w:val="es-ES_tradnl"/>
              </w:rPr>
              <w:t>Recursos transaccionales y de preparación del PCR</w:t>
            </w:r>
          </w:p>
        </w:tc>
      </w:tr>
      <w:tr w:rsidR="00405986" w:rsidRPr="00F31F35" w14:paraId="5EB5397E" w14:textId="77777777" w:rsidTr="0023758F">
        <w:trPr>
          <w:trHeight w:val="714"/>
        </w:trPr>
        <w:tc>
          <w:tcPr>
            <w:tcW w:w="3329" w:type="dxa"/>
          </w:tcPr>
          <w:p w14:paraId="351602FF" w14:textId="3EDBF8C2" w:rsidR="00405986" w:rsidRPr="00F31F35" w:rsidRDefault="00405986" w:rsidP="00FE0E68">
            <w:pPr>
              <w:pStyle w:val="TableParagraph"/>
              <w:keepNext/>
              <w:keepLines/>
              <w:spacing w:line="276" w:lineRule="auto"/>
              <w:ind w:left="107" w:right="347"/>
              <w:rPr>
                <w:sz w:val="18"/>
                <w:lang w:val="es-ES_tradnl"/>
              </w:rPr>
            </w:pPr>
            <w:r w:rsidRPr="00F31F35">
              <w:rPr>
                <w:sz w:val="18"/>
                <w:lang w:val="es-ES_tradnl"/>
              </w:rPr>
              <w:t>Consultor para apoyar a STPS en procesamiento de datos para las evaluaciones y redacción de informe de evaluación como parte el PCR</w:t>
            </w:r>
          </w:p>
        </w:tc>
        <w:tc>
          <w:tcPr>
            <w:tcW w:w="307" w:type="dxa"/>
          </w:tcPr>
          <w:p w14:paraId="287DC814" w14:textId="77777777" w:rsidR="00405986" w:rsidRPr="00F31F35" w:rsidRDefault="00405986" w:rsidP="00FE0E68">
            <w:pPr>
              <w:pStyle w:val="TableParagraph"/>
              <w:keepNext/>
              <w:keepLines/>
              <w:rPr>
                <w:sz w:val="18"/>
                <w:lang w:val="es-ES_tradnl"/>
              </w:rPr>
            </w:pPr>
          </w:p>
        </w:tc>
        <w:tc>
          <w:tcPr>
            <w:tcW w:w="386" w:type="dxa"/>
          </w:tcPr>
          <w:p w14:paraId="7C718021" w14:textId="77777777" w:rsidR="00405986" w:rsidRPr="00F31F35" w:rsidRDefault="00405986" w:rsidP="00FE0E68">
            <w:pPr>
              <w:pStyle w:val="TableParagraph"/>
              <w:keepNext/>
              <w:keepLines/>
              <w:spacing w:line="206" w:lineRule="exact"/>
              <w:ind w:left="158"/>
              <w:rPr>
                <w:sz w:val="18"/>
                <w:lang w:val="es-ES_tradnl"/>
              </w:rPr>
            </w:pPr>
          </w:p>
        </w:tc>
        <w:tc>
          <w:tcPr>
            <w:tcW w:w="266" w:type="dxa"/>
          </w:tcPr>
          <w:p w14:paraId="294D5C2A" w14:textId="6A6E9C3C" w:rsidR="00405986" w:rsidRPr="00F31F35" w:rsidRDefault="00C77D08" w:rsidP="00FE0E68">
            <w:pPr>
              <w:pStyle w:val="TableParagraph"/>
              <w:keepNext/>
              <w:keepLines/>
              <w:rPr>
                <w:sz w:val="18"/>
                <w:lang w:val="es-ES_tradnl"/>
              </w:rPr>
            </w:pPr>
            <w:r w:rsidRPr="00F31F35">
              <w:rPr>
                <w:sz w:val="18"/>
                <w:lang w:val="es-ES_tradnl"/>
              </w:rPr>
              <w:t>X</w:t>
            </w:r>
          </w:p>
        </w:tc>
        <w:tc>
          <w:tcPr>
            <w:tcW w:w="318" w:type="dxa"/>
          </w:tcPr>
          <w:p w14:paraId="17D57992" w14:textId="306C98D8" w:rsidR="00405986" w:rsidRPr="00F31F35" w:rsidRDefault="00C77D08" w:rsidP="00FE0E68">
            <w:pPr>
              <w:pStyle w:val="TableParagraph"/>
              <w:keepNext/>
              <w:keepLines/>
              <w:rPr>
                <w:sz w:val="18"/>
                <w:lang w:val="es-ES_tradnl"/>
              </w:rPr>
            </w:pPr>
            <w:r w:rsidRPr="00F31F35">
              <w:rPr>
                <w:sz w:val="18"/>
                <w:lang w:val="es-ES_tradnl"/>
              </w:rPr>
              <w:t>X</w:t>
            </w:r>
          </w:p>
        </w:tc>
        <w:tc>
          <w:tcPr>
            <w:tcW w:w="765" w:type="dxa"/>
          </w:tcPr>
          <w:p w14:paraId="73A5A65C" w14:textId="16BFD3C0" w:rsidR="00405986" w:rsidRPr="00F31F35" w:rsidRDefault="00D4228A" w:rsidP="00FE0E68">
            <w:pPr>
              <w:pStyle w:val="TableParagraph"/>
              <w:keepNext/>
              <w:keepLines/>
              <w:spacing w:line="206" w:lineRule="exact"/>
              <w:ind w:left="110"/>
              <w:rPr>
                <w:sz w:val="18"/>
                <w:lang w:val="es-ES_tradnl"/>
              </w:rPr>
            </w:pPr>
            <w:r w:rsidRPr="00F31F35">
              <w:rPr>
                <w:sz w:val="18"/>
                <w:lang w:val="es-ES_tradnl"/>
              </w:rPr>
              <w:t>25</w:t>
            </w:r>
            <w:r w:rsidR="007D152F">
              <w:rPr>
                <w:sz w:val="18"/>
                <w:lang w:val="es-ES_tradnl"/>
              </w:rPr>
              <w:t>.</w:t>
            </w:r>
            <w:r w:rsidRPr="00F31F35">
              <w:rPr>
                <w:sz w:val="18"/>
                <w:lang w:val="es-ES_tradnl"/>
              </w:rPr>
              <w:t>000</w:t>
            </w:r>
          </w:p>
        </w:tc>
        <w:tc>
          <w:tcPr>
            <w:tcW w:w="2728" w:type="dxa"/>
          </w:tcPr>
          <w:p w14:paraId="5F397FD0" w14:textId="77777777" w:rsidR="00D4228A" w:rsidRPr="00F31F35" w:rsidRDefault="00D4228A" w:rsidP="00D4228A">
            <w:pPr>
              <w:pStyle w:val="TableParagraph"/>
              <w:keepNext/>
              <w:keepLines/>
              <w:spacing w:line="276" w:lineRule="auto"/>
              <w:ind w:left="110" w:right="339"/>
              <w:rPr>
                <w:sz w:val="18"/>
                <w:lang w:val="es-ES_tradnl"/>
              </w:rPr>
            </w:pPr>
            <w:r w:rsidRPr="00F31F35">
              <w:rPr>
                <w:sz w:val="18"/>
                <w:lang w:val="es-ES_tradnl"/>
              </w:rPr>
              <w:t xml:space="preserve">Recursos </w:t>
            </w:r>
            <w:r w:rsidRPr="00F31F35">
              <w:rPr>
                <w:w w:val="95"/>
                <w:sz w:val="18"/>
                <w:lang w:val="es-ES_tradnl"/>
              </w:rPr>
              <w:t>transaccionales</w:t>
            </w:r>
          </w:p>
          <w:p w14:paraId="34EC0CD6" w14:textId="4F5E2998" w:rsidR="00405986" w:rsidRPr="00F31F35" w:rsidRDefault="00C77D08" w:rsidP="00FE0E68">
            <w:pPr>
              <w:pStyle w:val="TableParagraph"/>
              <w:keepNext/>
              <w:keepLines/>
              <w:spacing w:line="276" w:lineRule="auto"/>
              <w:ind w:left="110" w:right="339"/>
              <w:rPr>
                <w:sz w:val="18"/>
                <w:lang w:val="es-ES_tradnl"/>
              </w:rPr>
            </w:pPr>
            <w:r w:rsidRPr="00F31F35">
              <w:rPr>
                <w:sz w:val="18"/>
                <w:lang w:val="es-ES_tradnl"/>
              </w:rPr>
              <w:t>SCL/LMK</w:t>
            </w:r>
          </w:p>
        </w:tc>
      </w:tr>
      <w:tr w:rsidR="00733E6D" w:rsidRPr="00F31F35" w14:paraId="078AF95D" w14:textId="77777777" w:rsidTr="0023758F">
        <w:trPr>
          <w:trHeight w:val="714"/>
        </w:trPr>
        <w:tc>
          <w:tcPr>
            <w:tcW w:w="3329" w:type="dxa"/>
          </w:tcPr>
          <w:p w14:paraId="6C9D2733" w14:textId="77777777" w:rsidR="00733E6D" w:rsidRPr="00F31F35" w:rsidRDefault="009E4D55" w:rsidP="00FE0E68">
            <w:pPr>
              <w:pStyle w:val="TableParagraph"/>
              <w:keepNext/>
              <w:keepLines/>
              <w:spacing w:line="276" w:lineRule="auto"/>
              <w:ind w:left="107" w:right="347"/>
              <w:rPr>
                <w:sz w:val="18"/>
                <w:lang w:val="es-ES_tradnl"/>
              </w:rPr>
            </w:pPr>
            <w:r w:rsidRPr="00F31F35">
              <w:rPr>
                <w:sz w:val="18"/>
                <w:lang w:val="es-ES_tradnl"/>
              </w:rPr>
              <w:t>Misión(es) de especialista de evaluación.</w:t>
            </w:r>
          </w:p>
        </w:tc>
        <w:tc>
          <w:tcPr>
            <w:tcW w:w="307" w:type="dxa"/>
          </w:tcPr>
          <w:p w14:paraId="63F5CF6E" w14:textId="77777777" w:rsidR="00733E6D" w:rsidRPr="00F31F35" w:rsidRDefault="00733E6D" w:rsidP="00FE0E68">
            <w:pPr>
              <w:pStyle w:val="TableParagraph"/>
              <w:keepNext/>
              <w:keepLines/>
              <w:rPr>
                <w:sz w:val="18"/>
                <w:lang w:val="es-ES_tradnl"/>
              </w:rPr>
            </w:pPr>
          </w:p>
        </w:tc>
        <w:tc>
          <w:tcPr>
            <w:tcW w:w="386" w:type="dxa"/>
          </w:tcPr>
          <w:p w14:paraId="68238B32" w14:textId="77777777" w:rsidR="00733E6D" w:rsidRPr="00F31F35" w:rsidRDefault="009E4D55" w:rsidP="00FE0E68">
            <w:pPr>
              <w:pStyle w:val="TableParagraph"/>
              <w:keepNext/>
              <w:keepLines/>
              <w:spacing w:line="206" w:lineRule="exact"/>
              <w:ind w:left="158"/>
              <w:rPr>
                <w:sz w:val="18"/>
                <w:lang w:val="es-ES_tradnl"/>
              </w:rPr>
            </w:pPr>
            <w:r w:rsidRPr="00F31F35">
              <w:rPr>
                <w:sz w:val="18"/>
                <w:lang w:val="es-ES_tradnl"/>
              </w:rPr>
              <w:t>X</w:t>
            </w:r>
          </w:p>
        </w:tc>
        <w:tc>
          <w:tcPr>
            <w:tcW w:w="266" w:type="dxa"/>
          </w:tcPr>
          <w:p w14:paraId="369FEE02" w14:textId="77777777" w:rsidR="00733E6D" w:rsidRPr="00F31F35" w:rsidRDefault="00733E6D" w:rsidP="00FE0E68">
            <w:pPr>
              <w:pStyle w:val="TableParagraph"/>
              <w:keepNext/>
              <w:keepLines/>
              <w:rPr>
                <w:sz w:val="18"/>
                <w:lang w:val="es-ES_tradnl"/>
              </w:rPr>
            </w:pPr>
          </w:p>
        </w:tc>
        <w:tc>
          <w:tcPr>
            <w:tcW w:w="318" w:type="dxa"/>
          </w:tcPr>
          <w:p w14:paraId="307A8B55" w14:textId="77777777" w:rsidR="00733E6D" w:rsidRPr="00F31F35" w:rsidRDefault="00733E6D" w:rsidP="00FE0E68">
            <w:pPr>
              <w:pStyle w:val="TableParagraph"/>
              <w:keepNext/>
              <w:keepLines/>
              <w:rPr>
                <w:sz w:val="18"/>
                <w:lang w:val="es-ES_tradnl"/>
              </w:rPr>
            </w:pPr>
          </w:p>
        </w:tc>
        <w:tc>
          <w:tcPr>
            <w:tcW w:w="765" w:type="dxa"/>
          </w:tcPr>
          <w:p w14:paraId="68401617" w14:textId="77777777" w:rsidR="00733E6D" w:rsidRPr="00F31F35" w:rsidRDefault="009E4D55" w:rsidP="00FE0E68">
            <w:pPr>
              <w:pStyle w:val="TableParagraph"/>
              <w:keepNext/>
              <w:keepLines/>
              <w:spacing w:line="206" w:lineRule="exact"/>
              <w:ind w:left="110"/>
              <w:rPr>
                <w:sz w:val="18"/>
                <w:lang w:val="es-ES_tradnl"/>
              </w:rPr>
            </w:pPr>
            <w:r w:rsidRPr="00F31F35">
              <w:rPr>
                <w:sz w:val="18"/>
                <w:lang w:val="es-ES_tradnl"/>
              </w:rPr>
              <w:t>5.000</w:t>
            </w:r>
          </w:p>
        </w:tc>
        <w:tc>
          <w:tcPr>
            <w:tcW w:w="2728" w:type="dxa"/>
          </w:tcPr>
          <w:p w14:paraId="7D9C64DE" w14:textId="77777777" w:rsidR="00733E6D" w:rsidRPr="00F31F35" w:rsidRDefault="009E4D55" w:rsidP="00FE0E68">
            <w:pPr>
              <w:pStyle w:val="TableParagraph"/>
              <w:keepNext/>
              <w:keepLines/>
              <w:spacing w:line="276" w:lineRule="auto"/>
              <w:ind w:left="110" w:right="339"/>
              <w:rPr>
                <w:sz w:val="18"/>
                <w:lang w:val="es-ES_tradnl"/>
              </w:rPr>
            </w:pPr>
            <w:r w:rsidRPr="00F31F35">
              <w:rPr>
                <w:sz w:val="18"/>
                <w:lang w:val="es-ES_tradnl"/>
              </w:rPr>
              <w:t xml:space="preserve">Recursos </w:t>
            </w:r>
            <w:r w:rsidRPr="00F31F35">
              <w:rPr>
                <w:w w:val="95"/>
                <w:sz w:val="18"/>
                <w:lang w:val="es-ES_tradnl"/>
              </w:rPr>
              <w:t>transaccionales</w:t>
            </w:r>
          </w:p>
          <w:p w14:paraId="73D683CB" w14:textId="77777777" w:rsidR="00733E6D" w:rsidRPr="00F31F35" w:rsidRDefault="009E4D55" w:rsidP="00FE0E68">
            <w:pPr>
              <w:pStyle w:val="TableParagraph"/>
              <w:keepNext/>
              <w:keepLines/>
              <w:ind w:left="110"/>
              <w:rPr>
                <w:sz w:val="18"/>
                <w:lang w:val="es-ES_tradnl"/>
              </w:rPr>
            </w:pPr>
            <w:r w:rsidRPr="00F31F35">
              <w:rPr>
                <w:sz w:val="18"/>
                <w:lang w:val="es-ES_tradnl"/>
              </w:rPr>
              <w:t>SCL/LMK</w:t>
            </w:r>
          </w:p>
        </w:tc>
      </w:tr>
    </w:tbl>
    <w:p w14:paraId="798D0693" w14:textId="77777777" w:rsidR="009E4D55" w:rsidRPr="00F31F35" w:rsidRDefault="009E4D55">
      <w:pPr>
        <w:rPr>
          <w:lang w:val="es-ES_tradnl"/>
        </w:rPr>
      </w:pPr>
    </w:p>
    <w:sectPr w:rsidR="009E4D55" w:rsidRPr="00F31F35">
      <w:headerReference w:type="default" r:id="rId16"/>
      <w:pgSz w:w="12240" w:h="15840"/>
      <w:pgMar w:top="1340" w:right="1680" w:bottom="280" w:left="1720" w:header="7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FAAE9F" w14:textId="77777777" w:rsidR="00723E84" w:rsidRDefault="00723E84">
      <w:r>
        <w:separator/>
      </w:r>
    </w:p>
  </w:endnote>
  <w:endnote w:type="continuationSeparator" w:id="0">
    <w:p w14:paraId="056465FD" w14:textId="77777777" w:rsidR="00723E84" w:rsidRDefault="00723E84">
      <w:r>
        <w:continuationSeparator/>
      </w:r>
    </w:p>
  </w:endnote>
  <w:endnote w:type="continuationNotice" w:id="1">
    <w:p w14:paraId="3647D118" w14:textId="77777777" w:rsidR="00723E84" w:rsidRDefault="00723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2B74B7" w14:textId="77777777" w:rsidR="00723E84" w:rsidRDefault="00723E84">
      <w:r>
        <w:separator/>
      </w:r>
    </w:p>
  </w:footnote>
  <w:footnote w:type="continuationSeparator" w:id="0">
    <w:p w14:paraId="5DAC5D42" w14:textId="77777777" w:rsidR="00723E84" w:rsidRDefault="00723E84">
      <w:r>
        <w:continuationSeparator/>
      </w:r>
    </w:p>
  </w:footnote>
  <w:footnote w:type="continuationNotice" w:id="1">
    <w:p w14:paraId="03DC61B2" w14:textId="77777777" w:rsidR="00723E84" w:rsidRDefault="00723E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336367"/>
      <w:docPartObj>
        <w:docPartGallery w:val="Page Numbers (Top of Page)"/>
        <w:docPartUnique/>
      </w:docPartObj>
    </w:sdtPr>
    <w:sdtEndPr/>
    <w:sdtContent>
      <w:p w14:paraId="772C5EB6" w14:textId="7FC6E6F0" w:rsidR="00F949E9" w:rsidRPr="00F949E9" w:rsidRDefault="00F949E9">
        <w:pPr>
          <w:pStyle w:val="Header"/>
          <w:jc w:val="right"/>
          <w:rPr>
            <w:lang w:val="es-ES_tradnl"/>
          </w:rPr>
        </w:pPr>
        <w:r w:rsidRPr="00F949E9">
          <w:rPr>
            <w:lang w:val="es-ES_tradnl"/>
          </w:rPr>
          <w:t>EER#3 ME-L</w:t>
        </w:r>
        <w:r>
          <w:rPr>
            <w:lang w:val="es-ES_tradnl"/>
          </w:rPr>
          <w:t>1289</w:t>
        </w:r>
      </w:p>
      <w:p w14:paraId="1BE23830" w14:textId="1FFAE4E8" w:rsidR="00F949E9" w:rsidRPr="00F949E9" w:rsidRDefault="00F949E9">
        <w:pPr>
          <w:pStyle w:val="Header"/>
          <w:jc w:val="right"/>
          <w:rPr>
            <w:lang w:val="es-ES_tradnl"/>
          </w:rPr>
        </w:pPr>
        <w:r w:rsidRPr="00F949E9">
          <w:rPr>
            <w:lang w:val="es-ES_tradnl"/>
          </w:rPr>
          <w:t xml:space="preserve">Página </w:t>
        </w:r>
        <w:r>
          <w:rPr>
            <w:b/>
            <w:bCs/>
            <w:sz w:val="24"/>
            <w:szCs w:val="24"/>
          </w:rPr>
          <w:fldChar w:fldCharType="begin"/>
        </w:r>
        <w:r w:rsidRPr="00F949E9">
          <w:rPr>
            <w:b/>
            <w:bCs/>
            <w:lang w:val="es-ES_tradnl"/>
          </w:rPr>
          <w:instrText xml:space="preserve"> PAGE </w:instrText>
        </w:r>
        <w:r>
          <w:rPr>
            <w:b/>
            <w:bCs/>
            <w:sz w:val="24"/>
            <w:szCs w:val="24"/>
          </w:rPr>
          <w:fldChar w:fldCharType="separate"/>
        </w:r>
        <w:r w:rsidRPr="00F949E9">
          <w:rPr>
            <w:b/>
            <w:bCs/>
            <w:noProof/>
            <w:lang w:val="es-ES_tradnl"/>
          </w:rPr>
          <w:t>2</w:t>
        </w:r>
        <w:r>
          <w:rPr>
            <w:b/>
            <w:bCs/>
            <w:sz w:val="24"/>
            <w:szCs w:val="24"/>
          </w:rPr>
          <w:fldChar w:fldCharType="end"/>
        </w:r>
        <w:r w:rsidRPr="00F949E9">
          <w:rPr>
            <w:lang w:val="es-ES_tradnl"/>
          </w:rPr>
          <w:t xml:space="preserve"> de </w:t>
        </w:r>
        <w:r>
          <w:rPr>
            <w:b/>
            <w:bCs/>
            <w:sz w:val="24"/>
            <w:szCs w:val="24"/>
          </w:rPr>
          <w:fldChar w:fldCharType="begin"/>
        </w:r>
        <w:r w:rsidRPr="00F949E9">
          <w:rPr>
            <w:b/>
            <w:bCs/>
            <w:lang w:val="es-ES_tradnl"/>
          </w:rPr>
          <w:instrText xml:space="preserve"> NUMPAGES  </w:instrText>
        </w:r>
        <w:r>
          <w:rPr>
            <w:b/>
            <w:bCs/>
            <w:sz w:val="24"/>
            <w:szCs w:val="24"/>
          </w:rPr>
          <w:fldChar w:fldCharType="separate"/>
        </w:r>
        <w:r w:rsidRPr="00F949E9">
          <w:rPr>
            <w:b/>
            <w:bCs/>
            <w:noProof/>
            <w:lang w:val="es-ES_tradnl"/>
          </w:rPr>
          <w:t>2</w:t>
        </w:r>
        <w:r>
          <w:rPr>
            <w:b/>
            <w:bCs/>
            <w:sz w:val="24"/>
            <w:szCs w:val="24"/>
          </w:rPr>
          <w:fldChar w:fldCharType="end"/>
        </w:r>
      </w:p>
    </w:sdtContent>
  </w:sdt>
  <w:p w14:paraId="7E0ACF09" w14:textId="2A3705B2" w:rsidR="00733E6D" w:rsidRPr="00F949E9" w:rsidRDefault="00733E6D">
    <w:pPr>
      <w:pStyle w:val="BodyText"/>
      <w:spacing w:line="14" w:lineRule="auto"/>
      <w:rPr>
        <w:sz w:val="20"/>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2CEF2" w14:textId="77777777" w:rsidR="00DE34B7" w:rsidRDefault="00DE34B7">
    <w:pPr>
      <w:pStyle w:val="BodyText"/>
      <w:spacing w:line="14" w:lineRule="auto"/>
      <w:rPr>
        <w:sz w:val="20"/>
      </w:rPr>
    </w:pPr>
  </w:p>
  <w:p w14:paraId="7433C02F" w14:textId="6F80D2C5" w:rsidR="00733E6D" w:rsidRDefault="00723E84">
    <w:pPr>
      <w:pStyle w:val="BodyText"/>
      <w:spacing w:line="14" w:lineRule="auto"/>
      <w:rPr>
        <w:sz w:val="20"/>
      </w:rPr>
    </w:pPr>
    <w:r>
      <w:pict w14:anchorId="6C4388D3">
        <v:shapetype id="_x0000_t202" coordsize="21600,21600" o:spt="202" path="m,l,21600r21600,l21600,xe">
          <v:stroke joinstyle="miter"/>
          <v:path gradientshapeok="t" o:connecttype="rect"/>
        </v:shapetype>
        <v:shape id="_x0000_s2052" type="#_x0000_t202" style="position:absolute;margin-left:434.25pt;margin-top:35.25pt;width:89pt;height:22.4pt;z-index:-251658240;mso-position-horizontal-relative:page;mso-position-vertical-relative:page" filled="f" stroked="f">
          <v:textbox style="mso-next-textbox:#_x0000_s2052" inset="0,0,0,0">
            <w:txbxContent>
              <w:sdt>
                <w:sdtPr>
                  <w:id w:val="-1162308042"/>
                  <w:docPartObj>
                    <w:docPartGallery w:val="Page Numbers (Top of Page)"/>
                    <w:docPartUnique/>
                  </w:docPartObj>
                </w:sdtPr>
                <w:sdtEndPr/>
                <w:sdtContent>
                  <w:p w14:paraId="730EBE5F" w14:textId="77777777" w:rsidR="00DE34B7" w:rsidRPr="00F949E9" w:rsidRDefault="00DE34B7" w:rsidP="00DE34B7">
                    <w:pPr>
                      <w:pStyle w:val="Header"/>
                      <w:jc w:val="right"/>
                      <w:rPr>
                        <w:lang w:val="es-ES_tradnl"/>
                      </w:rPr>
                    </w:pPr>
                    <w:r w:rsidRPr="00F949E9">
                      <w:rPr>
                        <w:lang w:val="es-ES_tradnl"/>
                      </w:rPr>
                      <w:t>EER#3 ME-L</w:t>
                    </w:r>
                    <w:r>
                      <w:rPr>
                        <w:lang w:val="es-ES_tradnl"/>
                      </w:rPr>
                      <w:t>1289</w:t>
                    </w:r>
                  </w:p>
                  <w:p w14:paraId="17AA2AD1" w14:textId="77777777" w:rsidR="00DE34B7" w:rsidRPr="00F949E9" w:rsidRDefault="00DE34B7" w:rsidP="00DE34B7">
                    <w:pPr>
                      <w:pStyle w:val="Header"/>
                      <w:jc w:val="right"/>
                      <w:rPr>
                        <w:lang w:val="es-ES_tradnl"/>
                      </w:rPr>
                    </w:pPr>
                    <w:r w:rsidRPr="00F949E9">
                      <w:rPr>
                        <w:lang w:val="es-ES_tradnl"/>
                      </w:rPr>
                      <w:t xml:space="preserve">Página </w:t>
                    </w:r>
                    <w:r>
                      <w:rPr>
                        <w:b/>
                        <w:bCs/>
                        <w:sz w:val="24"/>
                        <w:szCs w:val="24"/>
                      </w:rPr>
                      <w:fldChar w:fldCharType="begin"/>
                    </w:r>
                    <w:r w:rsidRPr="00F949E9">
                      <w:rPr>
                        <w:b/>
                        <w:bCs/>
                        <w:lang w:val="es-ES_tradnl"/>
                      </w:rPr>
                      <w:instrText xml:space="preserve"> PAGE </w:instrText>
                    </w:r>
                    <w:r>
                      <w:rPr>
                        <w:b/>
                        <w:bCs/>
                        <w:sz w:val="24"/>
                        <w:szCs w:val="24"/>
                      </w:rPr>
                      <w:fldChar w:fldCharType="separate"/>
                    </w:r>
                    <w:r w:rsidRPr="004E0DF7">
                      <w:rPr>
                        <w:b/>
                        <w:bCs/>
                        <w:sz w:val="24"/>
                        <w:szCs w:val="24"/>
                        <w:lang w:val="es-ES_tradnl"/>
                      </w:rPr>
                      <w:t>1</w:t>
                    </w:r>
                    <w:r>
                      <w:rPr>
                        <w:b/>
                        <w:bCs/>
                        <w:sz w:val="24"/>
                        <w:szCs w:val="24"/>
                      </w:rPr>
                      <w:fldChar w:fldCharType="end"/>
                    </w:r>
                    <w:r w:rsidRPr="00F949E9">
                      <w:rPr>
                        <w:lang w:val="es-ES_tradnl"/>
                      </w:rPr>
                      <w:t xml:space="preserve"> de </w:t>
                    </w:r>
                    <w:r>
                      <w:rPr>
                        <w:b/>
                        <w:bCs/>
                        <w:sz w:val="24"/>
                        <w:szCs w:val="24"/>
                      </w:rPr>
                      <w:fldChar w:fldCharType="begin"/>
                    </w:r>
                    <w:r w:rsidRPr="00F949E9">
                      <w:rPr>
                        <w:b/>
                        <w:bCs/>
                        <w:lang w:val="es-ES_tradnl"/>
                      </w:rPr>
                      <w:instrText xml:space="preserve"> NUMPAGES  </w:instrText>
                    </w:r>
                    <w:r>
                      <w:rPr>
                        <w:b/>
                        <w:bCs/>
                        <w:sz w:val="24"/>
                        <w:szCs w:val="24"/>
                      </w:rPr>
                      <w:fldChar w:fldCharType="separate"/>
                    </w:r>
                    <w:r w:rsidRPr="004E0DF7">
                      <w:rPr>
                        <w:b/>
                        <w:bCs/>
                        <w:sz w:val="24"/>
                        <w:szCs w:val="24"/>
                        <w:lang w:val="es-ES_tradnl"/>
                      </w:rPr>
                      <w:t>16</w:t>
                    </w:r>
                    <w:r>
                      <w:rPr>
                        <w:b/>
                        <w:bCs/>
                        <w:sz w:val="24"/>
                        <w:szCs w:val="24"/>
                      </w:rPr>
                      <w:fldChar w:fldCharType="end"/>
                    </w:r>
                  </w:p>
                </w:sdtContent>
              </w:sdt>
              <w:p w14:paraId="01190683" w14:textId="77777777" w:rsidR="00EC36CB" w:rsidRPr="00EC36CB" w:rsidRDefault="00EC36CB" w:rsidP="00EC36CB">
                <w:pPr>
                  <w:pStyle w:val="Header"/>
                  <w:jc w:val="right"/>
                  <w:rPr>
                    <w:lang w:val="es-ES_tradnl"/>
                  </w:rPr>
                </w:pPr>
                <w:r w:rsidRPr="00EC36CB" w:rsidDel="00EC36CB">
                  <w:rPr>
                    <w:lang w:val="es-ES_tradnl"/>
                  </w:rPr>
                  <w:t xml:space="preserve"> </w:t>
                </w:r>
              </w:p>
              <w:p w14:paraId="071A8D13" w14:textId="77777777" w:rsidR="00E4618F" w:rsidRPr="00E4618F" w:rsidRDefault="00E4618F" w:rsidP="00F949E9">
                <w:pPr>
                  <w:pStyle w:val="Header"/>
                  <w:jc w:val="right"/>
                  <w:rPr>
                    <w:lang w:val="es-ES_tradnl"/>
                  </w:rPr>
                </w:pPr>
              </w:p>
              <w:p w14:paraId="79AC8FA7" w14:textId="54C0C41E" w:rsidR="00733E6D" w:rsidRPr="00FE0E68" w:rsidRDefault="00733E6D">
                <w:pPr>
                  <w:spacing w:line="207" w:lineRule="exact"/>
                  <w:ind w:left="320"/>
                  <w:rPr>
                    <w:sz w:val="18"/>
                    <w:lang w:val="es-ES_tradnl"/>
                  </w:rPr>
                </w:pP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16422" w14:textId="77777777" w:rsidR="00733E6D" w:rsidRDefault="00723E84">
    <w:pPr>
      <w:pStyle w:val="BodyText"/>
      <w:spacing w:line="14" w:lineRule="auto"/>
      <w:rPr>
        <w:sz w:val="20"/>
      </w:rPr>
    </w:pPr>
    <w:r>
      <w:pict w14:anchorId="75E5079A">
        <v:shapetype id="_x0000_t202" coordsize="21600,21600" o:spt="202" path="m,l,21600r21600,l21600,xe">
          <v:stroke joinstyle="miter"/>
          <v:path gradientshapeok="t" o:connecttype="rect"/>
        </v:shapetype>
        <v:shape id="_x0000_s2051" type="#_x0000_t202" style="position:absolute;margin-left:567.7pt;margin-top:34.3pt;width:122.9pt;height:22.4pt;z-index:-251658239;mso-position-horizontal-relative:page;mso-position-vertical-relative:page" filled="f" stroked="f">
          <v:textbox inset="0,0,0,0">
            <w:txbxContent>
              <w:sdt>
                <w:sdtPr>
                  <w:id w:val="-2057541834"/>
                  <w:docPartObj>
                    <w:docPartGallery w:val="Page Numbers (Top of Page)"/>
                    <w:docPartUnique/>
                  </w:docPartObj>
                </w:sdtPr>
                <w:sdtEndPr/>
                <w:sdtContent>
                  <w:p w14:paraId="6F9020D9" w14:textId="77777777" w:rsidR="00940646" w:rsidRPr="00F949E9" w:rsidRDefault="00940646" w:rsidP="00940646">
                    <w:pPr>
                      <w:pStyle w:val="Header"/>
                      <w:jc w:val="right"/>
                      <w:rPr>
                        <w:lang w:val="es-ES_tradnl"/>
                      </w:rPr>
                    </w:pPr>
                    <w:r w:rsidRPr="00F949E9">
                      <w:rPr>
                        <w:lang w:val="es-ES_tradnl"/>
                      </w:rPr>
                      <w:t>EER#3 ME-L</w:t>
                    </w:r>
                    <w:r>
                      <w:rPr>
                        <w:lang w:val="es-ES_tradnl"/>
                      </w:rPr>
                      <w:t>1289</w:t>
                    </w:r>
                  </w:p>
                  <w:p w14:paraId="07490605" w14:textId="77777777" w:rsidR="00940646" w:rsidRPr="00F949E9" w:rsidRDefault="00940646" w:rsidP="00940646">
                    <w:pPr>
                      <w:pStyle w:val="Header"/>
                      <w:jc w:val="right"/>
                      <w:rPr>
                        <w:lang w:val="es-ES_tradnl"/>
                      </w:rPr>
                    </w:pPr>
                    <w:r w:rsidRPr="00F949E9">
                      <w:rPr>
                        <w:lang w:val="es-ES_tradnl"/>
                      </w:rPr>
                      <w:t xml:space="preserve">Página </w:t>
                    </w:r>
                    <w:r>
                      <w:rPr>
                        <w:b/>
                        <w:bCs/>
                        <w:sz w:val="24"/>
                        <w:szCs w:val="24"/>
                      </w:rPr>
                      <w:fldChar w:fldCharType="begin"/>
                    </w:r>
                    <w:r w:rsidRPr="00F949E9">
                      <w:rPr>
                        <w:b/>
                        <w:bCs/>
                        <w:lang w:val="es-ES_tradnl"/>
                      </w:rPr>
                      <w:instrText xml:space="preserve"> PAGE </w:instrText>
                    </w:r>
                    <w:r>
                      <w:rPr>
                        <w:b/>
                        <w:bCs/>
                        <w:sz w:val="24"/>
                        <w:szCs w:val="24"/>
                      </w:rPr>
                      <w:fldChar w:fldCharType="separate"/>
                    </w:r>
                    <w:r w:rsidRPr="004E0DF7">
                      <w:rPr>
                        <w:b/>
                        <w:bCs/>
                        <w:sz w:val="24"/>
                        <w:szCs w:val="24"/>
                        <w:lang w:val="es-ES_tradnl"/>
                      </w:rPr>
                      <w:t>1</w:t>
                    </w:r>
                    <w:r>
                      <w:rPr>
                        <w:b/>
                        <w:bCs/>
                        <w:sz w:val="24"/>
                        <w:szCs w:val="24"/>
                      </w:rPr>
                      <w:fldChar w:fldCharType="end"/>
                    </w:r>
                    <w:r w:rsidRPr="00F949E9">
                      <w:rPr>
                        <w:lang w:val="es-ES_tradnl"/>
                      </w:rPr>
                      <w:t xml:space="preserve"> de </w:t>
                    </w:r>
                    <w:r>
                      <w:rPr>
                        <w:b/>
                        <w:bCs/>
                        <w:sz w:val="24"/>
                        <w:szCs w:val="24"/>
                      </w:rPr>
                      <w:fldChar w:fldCharType="begin"/>
                    </w:r>
                    <w:r w:rsidRPr="00F949E9">
                      <w:rPr>
                        <w:b/>
                        <w:bCs/>
                        <w:lang w:val="es-ES_tradnl"/>
                      </w:rPr>
                      <w:instrText xml:space="preserve"> NUMPAGES  </w:instrText>
                    </w:r>
                    <w:r>
                      <w:rPr>
                        <w:b/>
                        <w:bCs/>
                        <w:sz w:val="24"/>
                        <w:szCs w:val="24"/>
                      </w:rPr>
                      <w:fldChar w:fldCharType="separate"/>
                    </w:r>
                    <w:r w:rsidRPr="004E0DF7">
                      <w:rPr>
                        <w:b/>
                        <w:bCs/>
                        <w:sz w:val="24"/>
                        <w:szCs w:val="24"/>
                        <w:lang w:val="es-ES_tradnl"/>
                      </w:rPr>
                      <w:t>16</w:t>
                    </w:r>
                    <w:r>
                      <w:rPr>
                        <w:b/>
                        <w:bCs/>
                        <w:sz w:val="24"/>
                        <w:szCs w:val="24"/>
                      </w:rPr>
                      <w:fldChar w:fldCharType="end"/>
                    </w:r>
                  </w:p>
                </w:sdtContent>
              </w:sdt>
              <w:p w14:paraId="32C7E530" w14:textId="52603E10" w:rsidR="00733E6D" w:rsidRPr="00FE0E68" w:rsidRDefault="00733E6D">
                <w:pPr>
                  <w:spacing w:line="207" w:lineRule="exact"/>
                  <w:ind w:left="320"/>
                  <w:rPr>
                    <w:sz w:val="18"/>
                    <w:lang w:val="es-ES_tradnl"/>
                  </w:rPr>
                </w:pP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8D9A1" w14:textId="77777777" w:rsidR="00733E6D" w:rsidRDefault="00733E6D">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7C0A" w14:textId="77777777" w:rsidR="00733E6D" w:rsidRDefault="00723E84">
    <w:pPr>
      <w:pStyle w:val="BodyText"/>
      <w:spacing w:line="14" w:lineRule="auto"/>
      <w:rPr>
        <w:sz w:val="20"/>
      </w:rPr>
    </w:pPr>
    <w:r>
      <w:pict w14:anchorId="6E619002">
        <v:shapetype id="_x0000_t202" coordsize="21600,21600" o:spt="202" path="m,l,21600r21600,l21600,xe">
          <v:stroke joinstyle="miter"/>
          <v:path gradientshapeok="t" o:connecttype="rect"/>
        </v:shapetype>
        <v:shape id="_x0000_s2050" type="#_x0000_t202" style="position:absolute;margin-left:623.9pt;margin-top:35.25pt;width:97.35pt;height:22.4pt;z-index:-251658238;mso-position-horizontal-relative:page;mso-position-vertical-relative:page" filled="f" stroked="f">
          <v:textbox inset="0,0,0,0">
            <w:txbxContent>
              <w:sdt>
                <w:sdtPr>
                  <w:id w:val="-1271461159"/>
                  <w:docPartObj>
                    <w:docPartGallery w:val="Page Numbers (Top of Page)"/>
                    <w:docPartUnique/>
                  </w:docPartObj>
                </w:sdtPr>
                <w:sdtEndPr/>
                <w:sdtContent>
                  <w:p w14:paraId="32D76606" w14:textId="77777777" w:rsidR="00006103" w:rsidRPr="00F949E9" w:rsidRDefault="00006103" w:rsidP="00006103">
                    <w:pPr>
                      <w:pStyle w:val="Header"/>
                      <w:jc w:val="right"/>
                      <w:rPr>
                        <w:lang w:val="es-ES_tradnl"/>
                      </w:rPr>
                    </w:pPr>
                    <w:r w:rsidRPr="00F949E9">
                      <w:rPr>
                        <w:lang w:val="es-ES_tradnl"/>
                      </w:rPr>
                      <w:t>EER#3 ME-L</w:t>
                    </w:r>
                    <w:r>
                      <w:rPr>
                        <w:lang w:val="es-ES_tradnl"/>
                      </w:rPr>
                      <w:t>1289</w:t>
                    </w:r>
                  </w:p>
                  <w:p w14:paraId="0C71CC60" w14:textId="77777777" w:rsidR="00006103" w:rsidRPr="00F949E9" w:rsidRDefault="00006103" w:rsidP="00006103">
                    <w:pPr>
                      <w:pStyle w:val="Header"/>
                      <w:jc w:val="right"/>
                      <w:rPr>
                        <w:lang w:val="es-ES_tradnl"/>
                      </w:rPr>
                    </w:pPr>
                    <w:r w:rsidRPr="00F949E9">
                      <w:rPr>
                        <w:lang w:val="es-ES_tradnl"/>
                      </w:rPr>
                      <w:t xml:space="preserve">Página </w:t>
                    </w:r>
                    <w:r>
                      <w:rPr>
                        <w:b/>
                        <w:bCs/>
                        <w:sz w:val="24"/>
                        <w:szCs w:val="24"/>
                      </w:rPr>
                      <w:fldChar w:fldCharType="begin"/>
                    </w:r>
                    <w:r w:rsidRPr="00F949E9">
                      <w:rPr>
                        <w:b/>
                        <w:bCs/>
                        <w:lang w:val="es-ES_tradnl"/>
                      </w:rPr>
                      <w:instrText xml:space="preserve"> PAGE </w:instrText>
                    </w:r>
                    <w:r>
                      <w:rPr>
                        <w:b/>
                        <w:bCs/>
                        <w:sz w:val="24"/>
                        <w:szCs w:val="24"/>
                      </w:rPr>
                      <w:fldChar w:fldCharType="separate"/>
                    </w:r>
                    <w:r w:rsidRPr="004E0DF7">
                      <w:rPr>
                        <w:b/>
                        <w:bCs/>
                        <w:sz w:val="24"/>
                        <w:szCs w:val="24"/>
                        <w:lang w:val="es-ES_tradnl"/>
                      </w:rPr>
                      <w:t>1</w:t>
                    </w:r>
                    <w:r>
                      <w:rPr>
                        <w:b/>
                        <w:bCs/>
                        <w:sz w:val="24"/>
                        <w:szCs w:val="24"/>
                      </w:rPr>
                      <w:fldChar w:fldCharType="end"/>
                    </w:r>
                    <w:r w:rsidRPr="00F949E9">
                      <w:rPr>
                        <w:lang w:val="es-ES_tradnl"/>
                      </w:rPr>
                      <w:t xml:space="preserve"> de </w:t>
                    </w:r>
                    <w:r>
                      <w:rPr>
                        <w:b/>
                        <w:bCs/>
                        <w:sz w:val="24"/>
                        <w:szCs w:val="24"/>
                      </w:rPr>
                      <w:fldChar w:fldCharType="begin"/>
                    </w:r>
                    <w:r w:rsidRPr="00F949E9">
                      <w:rPr>
                        <w:b/>
                        <w:bCs/>
                        <w:lang w:val="es-ES_tradnl"/>
                      </w:rPr>
                      <w:instrText xml:space="preserve"> NUMPAGES  </w:instrText>
                    </w:r>
                    <w:r>
                      <w:rPr>
                        <w:b/>
                        <w:bCs/>
                        <w:sz w:val="24"/>
                        <w:szCs w:val="24"/>
                      </w:rPr>
                      <w:fldChar w:fldCharType="separate"/>
                    </w:r>
                    <w:r w:rsidRPr="004E0DF7">
                      <w:rPr>
                        <w:b/>
                        <w:bCs/>
                        <w:sz w:val="24"/>
                        <w:szCs w:val="24"/>
                        <w:lang w:val="es-ES_tradnl"/>
                      </w:rPr>
                      <w:t>16</w:t>
                    </w:r>
                    <w:r>
                      <w:rPr>
                        <w:b/>
                        <w:bCs/>
                        <w:sz w:val="24"/>
                        <w:szCs w:val="24"/>
                      </w:rPr>
                      <w:fldChar w:fldCharType="end"/>
                    </w:r>
                  </w:p>
                </w:sdtContent>
              </w:sdt>
              <w:p w14:paraId="3EEA453D" w14:textId="77777777" w:rsidR="00006103" w:rsidRPr="00006103" w:rsidRDefault="00006103" w:rsidP="00006103">
                <w:pPr>
                  <w:pStyle w:val="Header"/>
                  <w:jc w:val="right"/>
                  <w:rPr>
                    <w:lang w:val="es-ES_tradnl"/>
                  </w:rPr>
                </w:pPr>
                <w:r w:rsidRPr="00006103" w:rsidDel="00006103">
                  <w:rPr>
                    <w:lang w:val="es-ES_tradnl"/>
                  </w:rPr>
                  <w:t xml:space="preserve"> </w:t>
                </w:r>
              </w:p>
              <w:p w14:paraId="7307E8CE" w14:textId="3D948C3D" w:rsidR="00733E6D" w:rsidRPr="00FE0E68" w:rsidRDefault="00733E6D">
                <w:pPr>
                  <w:spacing w:line="207" w:lineRule="exact"/>
                  <w:ind w:left="203" w:right="4"/>
                  <w:jc w:val="center"/>
                  <w:rPr>
                    <w:sz w:val="18"/>
                    <w:lang w:val="es-ES_tradnl"/>
                  </w:rPr>
                </w:pP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454BD" w14:textId="77777777" w:rsidR="00733E6D" w:rsidRDefault="00723E84">
    <w:pPr>
      <w:pStyle w:val="BodyText"/>
      <w:spacing w:line="14" w:lineRule="auto"/>
      <w:rPr>
        <w:sz w:val="20"/>
      </w:rPr>
    </w:pPr>
    <w:r>
      <w:pict w14:anchorId="2FDEA0AD">
        <v:shapetype id="_x0000_t202" coordsize="21600,21600" o:spt="202" path="m,l,21600r21600,l21600,xe">
          <v:stroke joinstyle="miter"/>
          <v:path gradientshapeok="t" o:connecttype="rect"/>
        </v:shapetype>
        <v:shape id="_x0000_s2049" type="#_x0000_t202" style="position:absolute;margin-left:445.5pt;margin-top:35.25pt;width:77.75pt;height:22.4pt;z-index:-251658237;mso-position-horizontal-relative:page;mso-position-vertical-relative:page" filled="f" stroked="f">
          <v:textbox inset="0,0,0,0">
            <w:txbxContent>
              <w:p w14:paraId="3BA9C6FC" w14:textId="77777777" w:rsidR="00733E6D" w:rsidRPr="00FE0E68" w:rsidRDefault="009E4D55">
                <w:pPr>
                  <w:spacing w:before="14" w:line="207" w:lineRule="exact"/>
                  <w:ind w:left="4" w:right="4"/>
                  <w:jc w:val="center"/>
                  <w:rPr>
                    <w:sz w:val="18"/>
                    <w:lang w:val="es-ES_tradnl"/>
                  </w:rPr>
                </w:pPr>
                <w:r w:rsidRPr="00FE0E68">
                  <w:rPr>
                    <w:sz w:val="18"/>
                    <w:lang w:val="es-ES_tradnl"/>
                  </w:rPr>
                  <w:t>EER</w:t>
                </w:r>
                <w:r w:rsidRPr="00FE0E68">
                  <w:rPr>
                    <w:spacing w:val="-5"/>
                    <w:sz w:val="18"/>
                    <w:lang w:val="es-ES_tradnl"/>
                  </w:rPr>
                  <w:t xml:space="preserve"> </w:t>
                </w:r>
                <w:r w:rsidRPr="00FE0E68">
                  <w:rPr>
                    <w:sz w:val="18"/>
                    <w:lang w:val="es-ES_tradnl"/>
                  </w:rPr>
                  <w:t>#3-ME-L1289</w:t>
                </w:r>
              </w:p>
              <w:p w14:paraId="7B438A8F" w14:textId="06D4DD00" w:rsidR="00733E6D" w:rsidRPr="00FE0E68" w:rsidRDefault="009E4D55">
                <w:pPr>
                  <w:spacing w:line="207" w:lineRule="exact"/>
                  <w:ind w:left="203" w:right="4"/>
                  <w:jc w:val="center"/>
                  <w:rPr>
                    <w:sz w:val="18"/>
                    <w:lang w:val="es-ES_tradnl"/>
                  </w:rPr>
                </w:pPr>
                <w:r w:rsidRPr="00FE0E68">
                  <w:rPr>
                    <w:sz w:val="18"/>
                    <w:lang w:val="es-ES_tradnl"/>
                  </w:rPr>
                  <w:t xml:space="preserve">Página </w:t>
                </w:r>
                <w:r>
                  <w:fldChar w:fldCharType="begin"/>
                </w:r>
                <w:r w:rsidRPr="00FE0E68">
                  <w:rPr>
                    <w:sz w:val="18"/>
                    <w:lang w:val="es-ES_tradnl"/>
                  </w:rPr>
                  <w:instrText xml:space="preserve"> PAGE </w:instrText>
                </w:r>
                <w:r>
                  <w:fldChar w:fldCharType="separate"/>
                </w:r>
                <w:r w:rsidRPr="00FE0E68">
                  <w:rPr>
                    <w:lang w:val="es-ES_tradnl"/>
                  </w:rPr>
                  <w:t>11</w:t>
                </w:r>
                <w:r>
                  <w:fldChar w:fldCharType="end"/>
                </w:r>
                <w:r w:rsidRPr="00FE0E68">
                  <w:rPr>
                    <w:sz w:val="18"/>
                    <w:lang w:val="es-ES_tradnl"/>
                  </w:rPr>
                  <w:t xml:space="preserve"> de</w:t>
                </w:r>
                <w:r w:rsidR="00E71CF3">
                  <w:rPr>
                    <w:sz w:val="18"/>
                    <w:lang w:val="es-ES_tradnl"/>
                  </w:rPr>
                  <w:t xml:space="preserve"> 16</w:t>
                </w:r>
                <w:r w:rsidRPr="00FE0E68">
                  <w:rPr>
                    <w:spacing w:val="-6"/>
                    <w:sz w:val="18"/>
                    <w:lang w:val="es-ES_tradnl"/>
                  </w:rPr>
                  <w:t xml:space="preserve"> </w:t>
                </w:r>
                <w:r w:rsidR="00E71CF3">
                  <w:rPr>
                    <w:sz w:val="18"/>
                    <w:lang w:val="es-ES_tradnl"/>
                  </w:rPr>
                  <w:t>16</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17EF9"/>
    <w:multiLevelType w:val="hybridMultilevel"/>
    <w:tmpl w:val="6A2CBBEE"/>
    <w:lvl w:ilvl="0" w:tplc="8E247942">
      <w:start w:val="1"/>
      <w:numFmt w:val="lowerRoman"/>
      <w:lvlText w:val="%1."/>
      <w:lvlJc w:val="left"/>
      <w:pPr>
        <w:ind w:left="1160" w:hanging="360"/>
      </w:pPr>
      <w:rPr>
        <w:rFonts w:hint="default"/>
      </w:rPr>
    </w:lvl>
    <w:lvl w:ilvl="1" w:tplc="04090003">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 w15:restartNumberingAfterBreak="0">
    <w:nsid w:val="0F6E2468"/>
    <w:multiLevelType w:val="hybridMultilevel"/>
    <w:tmpl w:val="DE96D554"/>
    <w:lvl w:ilvl="0" w:tplc="92B4AC08">
      <w:start w:val="4"/>
      <w:numFmt w:val="lowerLetter"/>
      <w:lvlText w:val="%1."/>
      <w:lvlJc w:val="left"/>
      <w:pPr>
        <w:ind w:left="1232" w:hanging="432"/>
      </w:pPr>
      <w:rPr>
        <w:rFonts w:ascii="Arial" w:eastAsia="Arial" w:hAnsi="Arial" w:cs="Arial" w:hint="default"/>
        <w:spacing w:val="-1"/>
        <w:w w:val="100"/>
        <w:sz w:val="22"/>
        <w:szCs w:val="22"/>
        <w:lang w:val="en-US" w:eastAsia="en-US" w:bidi="en-US"/>
      </w:rPr>
    </w:lvl>
    <w:lvl w:ilvl="1" w:tplc="3BE8C6A2">
      <w:numFmt w:val="bullet"/>
      <w:lvlText w:val="•"/>
      <w:lvlJc w:val="left"/>
      <w:pPr>
        <w:ind w:left="2000" w:hanging="432"/>
      </w:pPr>
      <w:rPr>
        <w:rFonts w:hint="default"/>
        <w:lang w:val="en-US" w:eastAsia="en-US" w:bidi="en-US"/>
      </w:rPr>
    </w:lvl>
    <w:lvl w:ilvl="2" w:tplc="F2AC4300">
      <w:numFmt w:val="bullet"/>
      <w:lvlText w:val="•"/>
      <w:lvlJc w:val="left"/>
      <w:pPr>
        <w:ind w:left="2760" w:hanging="432"/>
      </w:pPr>
      <w:rPr>
        <w:rFonts w:hint="default"/>
        <w:lang w:val="en-US" w:eastAsia="en-US" w:bidi="en-US"/>
      </w:rPr>
    </w:lvl>
    <w:lvl w:ilvl="3" w:tplc="C9F43108">
      <w:numFmt w:val="bullet"/>
      <w:lvlText w:val="•"/>
      <w:lvlJc w:val="left"/>
      <w:pPr>
        <w:ind w:left="3520" w:hanging="432"/>
      </w:pPr>
      <w:rPr>
        <w:rFonts w:hint="default"/>
        <w:lang w:val="en-US" w:eastAsia="en-US" w:bidi="en-US"/>
      </w:rPr>
    </w:lvl>
    <w:lvl w:ilvl="4" w:tplc="60B8E24E">
      <w:numFmt w:val="bullet"/>
      <w:lvlText w:val="•"/>
      <w:lvlJc w:val="left"/>
      <w:pPr>
        <w:ind w:left="4280" w:hanging="432"/>
      </w:pPr>
      <w:rPr>
        <w:rFonts w:hint="default"/>
        <w:lang w:val="en-US" w:eastAsia="en-US" w:bidi="en-US"/>
      </w:rPr>
    </w:lvl>
    <w:lvl w:ilvl="5" w:tplc="51744AE0">
      <w:numFmt w:val="bullet"/>
      <w:lvlText w:val="•"/>
      <w:lvlJc w:val="left"/>
      <w:pPr>
        <w:ind w:left="5040" w:hanging="432"/>
      </w:pPr>
      <w:rPr>
        <w:rFonts w:hint="default"/>
        <w:lang w:val="en-US" w:eastAsia="en-US" w:bidi="en-US"/>
      </w:rPr>
    </w:lvl>
    <w:lvl w:ilvl="6" w:tplc="F44A47F2">
      <w:numFmt w:val="bullet"/>
      <w:lvlText w:val="•"/>
      <w:lvlJc w:val="left"/>
      <w:pPr>
        <w:ind w:left="5800" w:hanging="432"/>
      </w:pPr>
      <w:rPr>
        <w:rFonts w:hint="default"/>
        <w:lang w:val="en-US" w:eastAsia="en-US" w:bidi="en-US"/>
      </w:rPr>
    </w:lvl>
    <w:lvl w:ilvl="7" w:tplc="9D44D55E">
      <w:numFmt w:val="bullet"/>
      <w:lvlText w:val="•"/>
      <w:lvlJc w:val="left"/>
      <w:pPr>
        <w:ind w:left="6560" w:hanging="432"/>
      </w:pPr>
      <w:rPr>
        <w:rFonts w:hint="default"/>
        <w:lang w:val="en-US" w:eastAsia="en-US" w:bidi="en-US"/>
      </w:rPr>
    </w:lvl>
    <w:lvl w:ilvl="8" w:tplc="325A0756">
      <w:numFmt w:val="bullet"/>
      <w:lvlText w:val="•"/>
      <w:lvlJc w:val="left"/>
      <w:pPr>
        <w:ind w:left="7320" w:hanging="432"/>
      </w:pPr>
      <w:rPr>
        <w:rFonts w:hint="default"/>
        <w:lang w:val="en-US" w:eastAsia="en-US" w:bidi="en-US"/>
      </w:rPr>
    </w:lvl>
  </w:abstractNum>
  <w:abstractNum w:abstractNumId="2" w15:restartNumberingAfterBreak="0">
    <w:nsid w:val="120B54CF"/>
    <w:multiLevelType w:val="hybridMultilevel"/>
    <w:tmpl w:val="88C68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00E68"/>
    <w:multiLevelType w:val="hybridMultilevel"/>
    <w:tmpl w:val="A238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F7071"/>
    <w:multiLevelType w:val="multilevel"/>
    <w:tmpl w:val="A3546C8A"/>
    <w:lvl w:ilvl="0">
      <w:start w:val="1"/>
      <w:numFmt w:val="decimal"/>
      <w:lvlText w:val="%1"/>
      <w:lvlJc w:val="left"/>
      <w:pPr>
        <w:ind w:left="1000" w:hanging="720"/>
      </w:pPr>
      <w:rPr>
        <w:rFonts w:hint="default"/>
        <w:lang w:val="en-US" w:eastAsia="en-US" w:bidi="en-US"/>
      </w:rPr>
    </w:lvl>
    <w:lvl w:ilvl="1">
      <w:start w:val="1"/>
      <w:numFmt w:val="decimal"/>
      <w:lvlText w:val="%1.%2"/>
      <w:lvlJc w:val="left"/>
      <w:pPr>
        <w:ind w:left="1000" w:hanging="720"/>
      </w:pPr>
      <w:rPr>
        <w:rFonts w:ascii="Arial" w:eastAsia="Arial" w:hAnsi="Arial" w:cs="Arial" w:hint="default"/>
        <w:w w:val="100"/>
        <w:sz w:val="22"/>
        <w:szCs w:val="22"/>
        <w:lang w:val="en-US" w:eastAsia="en-US" w:bidi="en-US"/>
      </w:rPr>
    </w:lvl>
    <w:lvl w:ilvl="2">
      <w:numFmt w:val="bullet"/>
      <w:lvlText w:val="•"/>
      <w:lvlJc w:val="left"/>
      <w:pPr>
        <w:ind w:left="2628" w:hanging="720"/>
      </w:pPr>
      <w:rPr>
        <w:rFonts w:hint="default"/>
        <w:lang w:val="en-US" w:eastAsia="en-US" w:bidi="en-US"/>
      </w:rPr>
    </w:lvl>
    <w:lvl w:ilvl="3">
      <w:numFmt w:val="bullet"/>
      <w:lvlText w:val="•"/>
      <w:lvlJc w:val="left"/>
      <w:pPr>
        <w:ind w:left="3442" w:hanging="720"/>
      </w:pPr>
      <w:rPr>
        <w:rFonts w:hint="default"/>
        <w:lang w:val="en-US" w:eastAsia="en-US" w:bidi="en-US"/>
      </w:rPr>
    </w:lvl>
    <w:lvl w:ilvl="4">
      <w:numFmt w:val="bullet"/>
      <w:lvlText w:val="•"/>
      <w:lvlJc w:val="left"/>
      <w:pPr>
        <w:ind w:left="4256" w:hanging="720"/>
      </w:pPr>
      <w:rPr>
        <w:rFonts w:hint="default"/>
        <w:lang w:val="en-US" w:eastAsia="en-US" w:bidi="en-US"/>
      </w:rPr>
    </w:lvl>
    <w:lvl w:ilvl="5">
      <w:numFmt w:val="bullet"/>
      <w:lvlText w:val="•"/>
      <w:lvlJc w:val="left"/>
      <w:pPr>
        <w:ind w:left="5070" w:hanging="720"/>
      </w:pPr>
      <w:rPr>
        <w:rFonts w:hint="default"/>
        <w:lang w:val="en-US" w:eastAsia="en-US" w:bidi="en-US"/>
      </w:rPr>
    </w:lvl>
    <w:lvl w:ilvl="6">
      <w:numFmt w:val="bullet"/>
      <w:lvlText w:val="•"/>
      <w:lvlJc w:val="left"/>
      <w:pPr>
        <w:ind w:left="5884" w:hanging="720"/>
      </w:pPr>
      <w:rPr>
        <w:rFonts w:hint="default"/>
        <w:lang w:val="en-US" w:eastAsia="en-US" w:bidi="en-US"/>
      </w:rPr>
    </w:lvl>
    <w:lvl w:ilvl="7">
      <w:numFmt w:val="bullet"/>
      <w:lvlText w:val="•"/>
      <w:lvlJc w:val="left"/>
      <w:pPr>
        <w:ind w:left="6698" w:hanging="720"/>
      </w:pPr>
      <w:rPr>
        <w:rFonts w:hint="default"/>
        <w:lang w:val="en-US" w:eastAsia="en-US" w:bidi="en-US"/>
      </w:rPr>
    </w:lvl>
    <w:lvl w:ilvl="8">
      <w:numFmt w:val="bullet"/>
      <w:lvlText w:val="•"/>
      <w:lvlJc w:val="left"/>
      <w:pPr>
        <w:ind w:left="7512" w:hanging="720"/>
      </w:pPr>
      <w:rPr>
        <w:rFonts w:hint="default"/>
        <w:lang w:val="en-US" w:eastAsia="en-US" w:bidi="en-US"/>
      </w:rPr>
    </w:lvl>
  </w:abstractNum>
  <w:abstractNum w:abstractNumId="5" w15:restartNumberingAfterBreak="0">
    <w:nsid w:val="25805C6C"/>
    <w:multiLevelType w:val="multilevel"/>
    <w:tmpl w:val="E4C61A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5850BA"/>
    <w:multiLevelType w:val="multilevel"/>
    <w:tmpl w:val="67DE166A"/>
    <w:lvl w:ilvl="0">
      <w:start w:val="2"/>
      <w:numFmt w:val="decimal"/>
      <w:lvlText w:val="%1"/>
      <w:lvlJc w:val="left"/>
      <w:pPr>
        <w:ind w:left="1000" w:hanging="900"/>
      </w:pPr>
      <w:rPr>
        <w:rFonts w:hint="default"/>
        <w:lang w:val="en-US" w:eastAsia="en-US" w:bidi="en-US"/>
      </w:rPr>
    </w:lvl>
    <w:lvl w:ilvl="1">
      <w:start w:val="1"/>
      <w:numFmt w:val="decimal"/>
      <w:lvlText w:val="%1.%2"/>
      <w:lvlJc w:val="left"/>
      <w:pPr>
        <w:ind w:left="1000" w:hanging="900"/>
      </w:pPr>
      <w:rPr>
        <w:rFonts w:ascii="Arial" w:eastAsia="Arial" w:hAnsi="Arial" w:cs="Arial" w:hint="default"/>
        <w:w w:val="100"/>
        <w:sz w:val="22"/>
        <w:szCs w:val="22"/>
        <w:lang w:val="en-US" w:eastAsia="en-US" w:bidi="en-US"/>
      </w:rPr>
    </w:lvl>
    <w:lvl w:ilvl="2">
      <w:numFmt w:val="bullet"/>
      <w:lvlText w:val="•"/>
      <w:lvlJc w:val="left"/>
      <w:pPr>
        <w:ind w:left="2628" w:hanging="900"/>
      </w:pPr>
      <w:rPr>
        <w:rFonts w:hint="default"/>
        <w:lang w:val="en-US" w:eastAsia="en-US" w:bidi="en-US"/>
      </w:rPr>
    </w:lvl>
    <w:lvl w:ilvl="3">
      <w:numFmt w:val="bullet"/>
      <w:lvlText w:val="•"/>
      <w:lvlJc w:val="left"/>
      <w:pPr>
        <w:ind w:left="3442" w:hanging="900"/>
      </w:pPr>
      <w:rPr>
        <w:rFonts w:hint="default"/>
        <w:lang w:val="en-US" w:eastAsia="en-US" w:bidi="en-US"/>
      </w:rPr>
    </w:lvl>
    <w:lvl w:ilvl="4">
      <w:numFmt w:val="bullet"/>
      <w:lvlText w:val="•"/>
      <w:lvlJc w:val="left"/>
      <w:pPr>
        <w:ind w:left="4256" w:hanging="900"/>
      </w:pPr>
      <w:rPr>
        <w:rFonts w:hint="default"/>
        <w:lang w:val="en-US" w:eastAsia="en-US" w:bidi="en-US"/>
      </w:rPr>
    </w:lvl>
    <w:lvl w:ilvl="5">
      <w:numFmt w:val="bullet"/>
      <w:lvlText w:val="•"/>
      <w:lvlJc w:val="left"/>
      <w:pPr>
        <w:ind w:left="5070" w:hanging="900"/>
      </w:pPr>
      <w:rPr>
        <w:rFonts w:hint="default"/>
        <w:lang w:val="en-US" w:eastAsia="en-US" w:bidi="en-US"/>
      </w:rPr>
    </w:lvl>
    <w:lvl w:ilvl="6">
      <w:numFmt w:val="bullet"/>
      <w:lvlText w:val="•"/>
      <w:lvlJc w:val="left"/>
      <w:pPr>
        <w:ind w:left="5884" w:hanging="900"/>
      </w:pPr>
      <w:rPr>
        <w:rFonts w:hint="default"/>
        <w:lang w:val="en-US" w:eastAsia="en-US" w:bidi="en-US"/>
      </w:rPr>
    </w:lvl>
    <w:lvl w:ilvl="7">
      <w:numFmt w:val="bullet"/>
      <w:lvlText w:val="•"/>
      <w:lvlJc w:val="left"/>
      <w:pPr>
        <w:ind w:left="6698" w:hanging="900"/>
      </w:pPr>
      <w:rPr>
        <w:rFonts w:hint="default"/>
        <w:lang w:val="en-US" w:eastAsia="en-US" w:bidi="en-US"/>
      </w:rPr>
    </w:lvl>
    <w:lvl w:ilvl="8">
      <w:numFmt w:val="bullet"/>
      <w:lvlText w:val="•"/>
      <w:lvlJc w:val="left"/>
      <w:pPr>
        <w:ind w:left="7512" w:hanging="900"/>
      </w:pPr>
      <w:rPr>
        <w:rFonts w:hint="default"/>
        <w:lang w:val="en-US" w:eastAsia="en-US" w:bidi="en-US"/>
      </w:rPr>
    </w:lvl>
  </w:abstractNum>
  <w:abstractNum w:abstractNumId="7" w15:restartNumberingAfterBreak="0">
    <w:nsid w:val="4D0508A9"/>
    <w:multiLevelType w:val="hybridMultilevel"/>
    <w:tmpl w:val="D750A3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185FC4"/>
    <w:multiLevelType w:val="hybridMultilevel"/>
    <w:tmpl w:val="76AE7BF6"/>
    <w:lvl w:ilvl="0" w:tplc="17EE8AA8">
      <w:start w:val="1"/>
      <w:numFmt w:val="upperLetter"/>
      <w:lvlText w:val="%1."/>
      <w:lvlJc w:val="left"/>
      <w:pPr>
        <w:ind w:left="1000" w:hanging="720"/>
      </w:pPr>
      <w:rPr>
        <w:rFonts w:ascii="Arial" w:eastAsia="Arial" w:hAnsi="Arial" w:cs="Arial" w:hint="default"/>
        <w:b/>
        <w:bCs/>
        <w:spacing w:val="0"/>
        <w:w w:val="100"/>
        <w:sz w:val="22"/>
        <w:szCs w:val="22"/>
        <w:lang w:val="en-US" w:eastAsia="en-US" w:bidi="en-US"/>
      </w:rPr>
    </w:lvl>
    <w:lvl w:ilvl="1" w:tplc="E8885E1A">
      <w:numFmt w:val="bullet"/>
      <w:lvlText w:val="•"/>
      <w:lvlJc w:val="left"/>
      <w:pPr>
        <w:ind w:left="1814" w:hanging="720"/>
      </w:pPr>
      <w:rPr>
        <w:rFonts w:hint="default"/>
        <w:lang w:val="en-US" w:eastAsia="en-US" w:bidi="en-US"/>
      </w:rPr>
    </w:lvl>
    <w:lvl w:ilvl="2" w:tplc="7F0A34EC">
      <w:numFmt w:val="bullet"/>
      <w:lvlText w:val="•"/>
      <w:lvlJc w:val="left"/>
      <w:pPr>
        <w:ind w:left="2628" w:hanging="720"/>
      </w:pPr>
      <w:rPr>
        <w:rFonts w:hint="default"/>
        <w:lang w:val="en-US" w:eastAsia="en-US" w:bidi="en-US"/>
      </w:rPr>
    </w:lvl>
    <w:lvl w:ilvl="3" w:tplc="AFD4C662">
      <w:numFmt w:val="bullet"/>
      <w:lvlText w:val="•"/>
      <w:lvlJc w:val="left"/>
      <w:pPr>
        <w:ind w:left="3442" w:hanging="720"/>
      </w:pPr>
      <w:rPr>
        <w:rFonts w:hint="default"/>
        <w:lang w:val="en-US" w:eastAsia="en-US" w:bidi="en-US"/>
      </w:rPr>
    </w:lvl>
    <w:lvl w:ilvl="4" w:tplc="3E3CDE30">
      <w:numFmt w:val="bullet"/>
      <w:lvlText w:val="•"/>
      <w:lvlJc w:val="left"/>
      <w:pPr>
        <w:ind w:left="4256" w:hanging="720"/>
      </w:pPr>
      <w:rPr>
        <w:rFonts w:hint="default"/>
        <w:lang w:val="en-US" w:eastAsia="en-US" w:bidi="en-US"/>
      </w:rPr>
    </w:lvl>
    <w:lvl w:ilvl="5" w:tplc="63CAC2FA">
      <w:numFmt w:val="bullet"/>
      <w:lvlText w:val="•"/>
      <w:lvlJc w:val="left"/>
      <w:pPr>
        <w:ind w:left="5070" w:hanging="720"/>
      </w:pPr>
      <w:rPr>
        <w:rFonts w:hint="default"/>
        <w:lang w:val="en-US" w:eastAsia="en-US" w:bidi="en-US"/>
      </w:rPr>
    </w:lvl>
    <w:lvl w:ilvl="6" w:tplc="9EE8BF0A">
      <w:numFmt w:val="bullet"/>
      <w:lvlText w:val="•"/>
      <w:lvlJc w:val="left"/>
      <w:pPr>
        <w:ind w:left="5884" w:hanging="720"/>
      </w:pPr>
      <w:rPr>
        <w:rFonts w:hint="default"/>
        <w:lang w:val="en-US" w:eastAsia="en-US" w:bidi="en-US"/>
      </w:rPr>
    </w:lvl>
    <w:lvl w:ilvl="7" w:tplc="8D86C32C">
      <w:numFmt w:val="bullet"/>
      <w:lvlText w:val="•"/>
      <w:lvlJc w:val="left"/>
      <w:pPr>
        <w:ind w:left="6698" w:hanging="720"/>
      </w:pPr>
      <w:rPr>
        <w:rFonts w:hint="default"/>
        <w:lang w:val="en-US" w:eastAsia="en-US" w:bidi="en-US"/>
      </w:rPr>
    </w:lvl>
    <w:lvl w:ilvl="8" w:tplc="EABA69C6">
      <w:numFmt w:val="bullet"/>
      <w:lvlText w:val="•"/>
      <w:lvlJc w:val="left"/>
      <w:pPr>
        <w:ind w:left="7512" w:hanging="720"/>
      </w:pPr>
      <w:rPr>
        <w:rFonts w:hint="default"/>
        <w:lang w:val="en-US" w:eastAsia="en-US" w:bidi="en-US"/>
      </w:rPr>
    </w:lvl>
  </w:abstractNum>
  <w:abstractNum w:abstractNumId="9" w15:restartNumberingAfterBreak="0">
    <w:nsid w:val="64C702C3"/>
    <w:multiLevelType w:val="hybridMultilevel"/>
    <w:tmpl w:val="A4445C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7E49C3"/>
    <w:multiLevelType w:val="hybridMultilevel"/>
    <w:tmpl w:val="DF16ED32"/>
    <w:lvl w:ilvl="0" w:tplc="5B1E268A">
      <w:start w:val="1"/>
      <w:numFmt w:val="upperRoman"/>
      <w:lvlText w:val="%1."/>
      <w:lvlJc w:val="left"/>
      <w:pPr>
        <w:ind w:left="4255" w:hanging="493"/>
        <w:jc w:val="right"/>
      </w:pPr>
      <w:rPr>
        <w:rFonts w:ascii="Arial" w:eastAsia="Arial" w:hAnsi="Arial" w:cs="Arial" w:hint="default"/>
        <w:b/>
        <w:bCs/>
        <w:spacing w:val="0"/>
        <w:w w:val="100"/>
        <w:sz w:val="22"/>
        <w:szCs w:val="22"/>
        <w:lang w:val="en-US" w:eastAsia="en-US" w:bidi="en-US"/>
      </w:rPr>
    </w:lvl>
    <w:lvl w:ilvl="1" w:tplc="EBBAC854">
      <w:numFmt w:val="bullet"/>
      <w:lvlText w:val="•"/>
      <w:lvlJc w:val="left"/>
      <w:pPr>
        <w:ind w:left="4748" w:hanging="493"/>
      </w:pPr>
      <w:rPr>
        <w:rFonts w:hint="default"/>
        <w:lang w:val="en-US" w:eastAsia="en-US" w:bidi="en-US"/>
      </w:rPr>
    </w:lvl>
    <w:lvl w:ilvl="2" w:tplc="E82C8D70">
      <w:numFmt w:val="bullet"/>
      <w:lvlText w:val="•"/>
      <w:lvlJc w:val="left"/>
      <w:pPr>
        <w:ind w:left="5236" w:hanging="493"/>
      </w:pPr>
      <w:rPr>
        <w:rFonts w:hint="default"/>
        <w:lang w:val="en-US" w:eastAsia="en-US" w:bidi="en-US"/>
      </w:rPr>
    </w:lvl>
    <w:lvl w:ilvl="3" w:tplc="6FE2AFC8">
      <w:numFmt w:val="bullet"/>
      <w:lvlText w:val="•"/>
      <w:lvlJc w:val="left"/>
      <w:pPr>
        <w:ind w:left="5724" w:hanging="493"/>
      </w:pPr>
      <w:rPr>
        <w:rFonts w:hint="default"/>
        <w:lang w:val="en-US" w:eastAsia="en-US" w:bidi="en-US"/>
      </w:rPr>
    </w:lvl>
    <w:lvl w:ilvl="4" w:tplc="01B86382">
      <w:numFmt w:val="bullet"/>
      <w:lvlText w:val="•"/>
      <w:lvlJc w:val="left"/>
      <w:pPr>
        <w:ind w:left="6212" w:hanging="493"/>
      </w:pPr>
      <w:rPr>
        <w:rFonts w:hint="default"/>
        <w:lang w:val="en-US" w:eastAsia="en-US" w:bidi="en-US"/>
      </w:rPr>
    </w:lvl>
    <w:lvl w:ilvl="5" w:tplc="E230E892">
      <w:numFmt w:val="bullet"/>
      <w:lvlText w:val="•"/>
      <w:lvlJc w:val="left"/>
      <w:pPr>
        <w:ind w:left="6700" w:hanging="493"/>
      </w:pPr>
      <w:rPr>
        <w:rFonts w:hint="default"/>
        <w:lang w:val="en-US" w:eastAsia="en-US" w:bidi="en-US"/>
      </w:rPr>
    </w:lvl>
    <w:lvl w:ilvl="6" w:tplc="DB502844">
      <w:numFmt w:val="bullet"/>
      <w:lvlText w:val="•"/>
      <w:lvlJc w:val="left"/>
      <w:pPr>
        <w:ind w:left="7188" w:hanging="493"/>
      </w:pPr>
      <w:rPr>
        <w:rFonts w:hint="default"/>
        <w:lang w:val="en-US" w:eastAsia="en-US" w:bidi="en-US"/>
      </w:rPr>
    </w:lvl>
    <w:lvl w:ilvl="7" w:tplc="1C96F3A4">
      <w:numFmt w:val="bullet"/>
      <w:lvlText w:val="•"/>
      <w:lvlJc w:val="left"/>
      <w:pPr>
        <w:ind w:left="7676" w:hanging="493"/>
      </w:pPr>
      <w:rPr>
        <w:rFonts w:hint="default"/>
        <w:lang w:val="en-US" w:eastAsia="en-US" w:bidi="en-US"/>
      </w:rPr>
    </w:lvl>
    <w:lvl w:ilvl="8" w:tplc="5E4C10B0">
      <w:numFmt w:val="bullet"/>
      <w:lvlText w:val="•"/>
      <w:lvlJc w:val="left"/>
      <w:pPr>
        <w:ind w:left="8164" w:hanging="493"/>
      </w:pPr>
      <w:rPr>
        <w:rFonts w:hint="default"/>
        <w:lang w:val="en-US" w:eastAsia="en-US" w:bidi="en-US"/>
      </w:rPr>
    </w:lvl>
  </w:abstractNum>
  <w:abstractNum w:abstractNumId="11" w15:restartNumberingAfterBreak="0">
    <w:nsid w:val="73AE35EC"/>
    <w:multiLevelType w:val="multilevel"/>
    <w:tmpl w:val="292E23E4"/>
    <w:lvl w:ilvl="0">
      <w:start w:val="3"/>
      <w:numFmt w:val="decimal"/>
      <w:lvlText w:val="%1"/>
      <w:lvlJc w:val="left"/>
      <w:pPr>
        <w:ind w:left="800" w:hanging="629"/>
      </w:pPr>
      <w:rPr>
        <w:rFonts w:hint="default"/>
        <w:lang w:val="en-US" w:eastAsia="en-US" w:bidi="en-US"/>
      </w:rPr>
    </w:lvl>
    <w:lvl w:ilvl="1">
      <w:start w:val="1"/>
      <w:numFmt w:val="decimal"/>
      <w:lvlText w:val="%1.%2"/>
      <w:lvlJc w:val="left"/>
      <w:pPr>
        <w:ind w:left="800" w:hanging="629"/>
      </w:pPr>
      <w:rPr>
        <w:rFonts w:ascii="Arial" w:eastAsia="Arial" w:hAnsi="Arial" w:cs="Arial" w:hint="default"/>
        <w:w w:val="100"/>
        <w:sz w:val="22"/>
        <w:szCs w:val="22"/>
        <w:lang w:val="en-US" w:eastAsia="en-US" w:bidi="en-US"/>
      </w:rPr>
    </w:lvl>
    <w:lvl w:ilvl="2">
      <w:start w:val="1"/>
      <w:numFmt w:val="lowerLetter"/>
      <w:lvlText w:val="%3."/>
      <w:lvlJc w:val="left"/>
      <w:pPr>
        <w:ind w:left="1232" w:hanging="432"/>
      </w:pPr>
      <w:rPr>
        <w:rFonts w:ascii="Arial" w:eastAsia="Arial" w:hAnsi="Arial" w:cs="Arial" w:hint="default"/>
        <w:spacing w:val="-1"/>
        <w:w w:val="100"/>
        <w:sz w:val="22"/>
        <w:szCs w:val="22"/>
        <w:lang w:val="en-US" w:eastAsia="en-US" w:bidi="en-US"/>
      </w:rPr>
    </w:lvl>
    <w:lvl w:ilvl="3">
      <w:numFmt w:val="bullet"/>
      <w:lvlText w:val="•"/>
      <w:lvlJc w:val="left"/>
      <w:pPr>
        <w:ind w:left="2928" w:hanging="432"/>
      </w:pPr>
      <w:rPr>
        <w:rFonts w:hint="default"/>
        <w:lang w:val="en-US" w:eastAsia="en-US" w:bidi="en-US"/>
      </w:rPr>
    </w:lvl>
    <w:lvl w:ilvl="4">
      <w:numFmt w:val="bullet"/>
      <w:lvlText w:val="•"/>
      <w:lvlJc w:val="left"/>
      <w:pPr>
        <w:ind w:left="3773" w:hanging="432"/>
      </w:pPr>
      <w:rPr>
        <w:rFonts w:hint="default"/>
        <w:lang w:val="en-US" w:eastAsia="en-US" w:bidi="en-US"/>
      </w:rPr>
    </w:lvl>
    <w:lvl w:ilvl="5">
      <w:numFmt w:val="bullet"/>
      <w:lvlText w:val="•"/>
      <w:lvlJc w:val="left"/>
      <w:pPr>
        <w:ind w:left="4617" w:hanging="432"/>
      </w:pPr>
      <w:rPr>
        <w:rFonts w:hint="default"/>
        <w:lang w:val="en-US" w:eastAsia="en-US" w:bidi="en-US"/>
      </w:rPr>
    </w:lvl>
    <w:lvl w:ilvl="6">
      <w:numFmt w:val="bullet"/>
      <w:lvlText w:val="•"/>
      <w:lvlJc w:val="left"/>
      <w:pPr>
        <w:ind w:left="5462" w:hanging="432"/>
      </w:pPr>
      <w:rPr>
        <w:rFonts w:hint="default"/>
        <w:lang w:val="en-US" w:eastAsia="en-US" w:bidi="en-US"/>
      </w:rPr>
    </w:lvl>
    <w:lvl w:ilvl="7">
      <w:numFmt w:val="bullet"/>
      <w:lvlText w:val="•"/>
      <w:lvlJc w:val="left"/>
      <w:pPr>
        <w:ind w:left="6306" w:hanging="432"/>
      </w:pPr>
      <w:rPr>
        <w:rFonts w:hint="default"/>
        <w:lang w:val="en-US" w:eastAsia="en-US" w:bidi="en-US"/>
      </w:rPr>
    </w:lvl>
    <w:lvl w:ilvl="8">
      <w:numFmt w:val="bullet"/>
      <w:lvlText w:val="•"/>
      <w:lvlJc w:val="left"/>
      <w:pPr>
        <w:ind w:left="7151" w:hanging="432"/>
      </w:pPr>
      <w:rPr>
        <w:rFonts w:hint="default"/>
        <w:lang w:val="en-US" w:eastAsia="en-US" w:bidi="en-US"/>
      </w:rPr>
    </w:lvl>
  </w:abstractNum>
  <w:num w:numId="1">
    <w:abstractNumId w:val="1"/>
  </w:num>
  <w:num w:numId="2">
    <w:abstractNumId w:val="11"/>
  </w:num>
  <w:num w:numId="3">
    <w:abstractNumId w:val="6"/>
  </w:num>
  <w:num w:numId="4">
    <w:abstractNumId w:val="8"/>
  </w:num>
  <w:num w:numId="5">
    <w:abstractNumId w:val="4"/>
  </w:num>
  <w:num w:numId="6">
    <w:abstractNumId w:val="10"/>
  </w:num>
  <w:num w:numId="7">
    <w:abstractNumId w:val="5"/>
  </w:num>
  <w:num w:numId="8">
    <w:abstractNumId w:val="9"/>
  </w:num>
  <w:num w:numId="9">
    <w:abstractNumId w:val="3"/>
  </w:num>
  <w:num w:numId="10">
    <w:abstractNumId w:val="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lTrailSpace/>
    <w:compatSetting w:name="compatibilityMode" w:uri="http://schemas.microsoft.com/office/word" w:val="12"/>
    <w:compatSetting w:name="useWord2013TrackBottomHyphenation" w:uri="http://schemas.microsoft.com/office/word" w:val="1"/>
  </w:compat>
  <w:rsids>
    <w:rsidRoot w:val="00733E6D"/>
    <w:rsid w:val="0000072B"/>
    <w:rsid w:val="00006103"/>
    <w:rsid w:val="00016E0A"/>
    <w:rsid w:val="000262A7"/>
    <w:rsid w:val="00030025"/>
    <w:rsid w:val="0003489F"/>
    <w:rsid w:val="00042297"/>
    <w:rsid w:val="00050E83"/>
    <w:rsid w:val="0005324F"/>
    <w:rsid w:val="000562B9"/>
    <w:rsid w:val="00076A46"/>
    <w:rsid w:val="000819DD"/>
    <w:rsid w:val="00086B40"/>
    <w:rsid w:val="00096A30"/>
    <w:rsid w:val="000A24D2"/>
    <w:rsid w:val="000A5CB2"/>
    <w:rsid w:val="000C7F87"/>
    <w:rsid w:val="000D0B84"/>
    <w:rsid w:val="000D1613"/>
    <w:rsid w:val="000F0C76"/>
    <w:rsid w:val="001115C7"/>
    <w:rsid w:val="00123E7C"/>
    <w:rsid w:val="001330B4"/>
    <w:rsid w:val="001523E8"/>
    <w:rsid w:val="0018355A"/>
    <w:rsid w:val="00192C17"/>
    <w:rsid w:val="001A598E"/>
    <w:rsid w:val="001B64D6"/>
    <w:rsid w:val="001E077C"/>
    <w:rsid w:val="001F08BC"/>
    <w:rsid w:val="002105B0"/>
    <w:rsid w:val="00222DC7"/>
    <w:rsid w:val="00225800"/>
    <w:rsid w:val="00235715"/>
    <w:rsid w:val="00236C3E"/>
    <w:rsid w:val="0023758F"/>
    <w:rsid w:val="00246750"/>
    <w:rsid w:val="002503D0"/>
    <w:rsid w:val="0025205A"/>
    <w:rsid w:val="00282F3E"/>
    <w:rsid w:val="00286482"/>
    <w:rsid w:val="00295023"/>
    <w:rsid w:val="00295128"/>
    <w:rsid w:val="002A0464"/>
    <w:rsid w:val="002B05C6"/>
    <w:rsid w:val="002B1982"/>
    <w:rsid w:val="002D3FC2"/>
    <w:rsid w:val="002E6459"/>
    <w:rsid w:val="002E776D"/>
    <w:rsid w:val="0031357A"/>
    <w:rsid w:val="0034210A"/>
    <w:rsid w:val="00343FAF"/>
    <w:rsid w:val="003650D5"/>
    <w:rsid w:val="00367B54"/>
    <w:rsid w:val="00383910"/>
    <w:rsid w:val="00390A0B"/>
    <w:rsid w:val="003A15CD"/>
    <w:rsid w:val="003A7541"/>
    <w:rsid w:val="003B086F"/>
    <w:rsid w:val="003B1F51"/>
    <w:rsid w:val="003B4C49"/>
    <w:rsid w:val="003C6A25"/>
    <w:rsid w:val="003C6BDF"/>
    <w:rsid w:val="003D60F0"/>
    <w:rsid w:val="003E3A83"/>
    <w:rsid w:val="003E5CCB"/>
    <w:rsid w:val="004029B0"/>
    <w:rsid w:val="0040493A"/>
    <w:rsid w:val="00405986"/>
    <w:rsid w:val="00410405"/>
    <w:rsid w:val="004404C6"/>
    <w:rsid w:val="00442206"/>
    <w:rsid w:val="00443337"/>
    <w:rsid w:val="004700AC"/>
    <w:rsid w:val="004762DD"/>
    <w:rsid w:val="00482CED"/>
    <w:rsid w:val="004843A2"/>
    <w:rsid w:val="00491CBF"/>
    <w:rsid w:val="00493B90"/>
    <w:rsid w:val="004A49AA"/>
    <w:rsid w:val="004A52C7"/>
    <w:rsid w:val="004A539A"/>
    <w:rsid w:val="004A7122"/>
    <w:rsid w:val="004E0DF7"/>
    <w:rsid w:val="004E613B"/>
    <w:rsid w:val="004F1E66"/>
    <w:rsid w:val="004F5ECB"/>
    <w:rsid w:val="00501800"/>
    <w:rsid w:val="00514395"/>
    <w:rsid w:val="005204E6"/>
    <w:rsid w:val="005300FB"/>
    <w:rsid w:val="00543BAF"/>
    <w:rsid w:val="00566E87"/>
    <w:rsid w:val="005706F5"/>
    <w:rsid w:val="00573431"/>
    <w:rsid w:val="005771BC"/>
    <w:rsid w:val="00587924"/>
    <w:rsid w:val="0059468E"/>
    <w:rsid w:val="005A2B00"/>
    <w:rsid w:val="005C58C9"/>
    <w:rsid w:val="005E6D58"/>
    <w:rsid w:val="00601CFA"/>
    <w:rsid w:val="00603ACF"/>
    <w:rsid w:val="00613F2F"/>
    <w:rsid w:val="00620A3F"/>
    <w:rsid w:val="00641EC0"/>
    <w:rsid w:val="0065606E"/>
    <w:rsid w:val="0067161B"/>
    <w:rsid w:val="00675B84"/>
    <w:rsid w:val="00683F16"/>
    <w:rsid w:val="0068434F"/>
    <w:rsid w:val="00685CDB"/>
    <w:rsid w:val="006873B8"/>
    <w:rsid w:val="006915FB"/>
    <w:rsid w:val="006A04C5"/>
    <w:rsid w:val="006B362B"/>
    <w:rsid w:val="006C15C2"/>
    <w:rsid w:val="006F4828"/>
    <w:rsid w:val="00701664"/>
    <w:rsid w:val="007021FA"/>
    <w:rsid w:val="00723E84"/>
    <w:rsid w:val="00731C9B"/>
    <w:rsid w:val="00733E6D"/>
    <w:rsid w:val="0073507B"/>
    <w:rsid w:val="007442B9"/>
    <w:rsid w:val="00775B20"/>
    <w:rsid w:val="00797009"/>
    <w:rsid w:val="007A5B06"/>
    <w:rsid w:val="007B4E4A"/>
    <w:rsid w:val="007D152F"/>
    <w:rsid w:val="007D3D84"/>
    <w:rsid w:val="00804F2B"/>
    <w:rsid w:val="00826BBF"/>
    <w:rsid w:val="00830A08"/>
    <w:rsid w:val="00832FCD"/>
    <w:rsid w:val="00836B1B"/>
    <w:rsid w:val="00843DC6"/>
    <w:rsid w:val="00852F16"/>
    <w:rsid w:val="00855D2D"/>
    <w:rsid w:val="00873DBD"/>
    <w:rsid w:val="00876624"/>
    <w:rsid w:val="0088099B"/>
    <w:rsid w:val="0088416D"/>
    <w:rsid w:val="00897225"/>
    <w:rsid w:val="008974F5"/>
    <w:rsid w:val="008D1222"/>
    <w:rsid w:val="008E0763"/>
    <w:rsid w:val="008F0FE9"/>
    <w:rsid w:val="00913D21"/>
    <w:rsid w:val="00915FEB"/>
    <w:rsid w:val="009230E1"/>
    <w:rsid w:val="00926F5F"/>
    <w:rsid w:val="0093017F"/>
    <w:rsid w:val="00930EF5"/>
    <w:rsid w:val="0093407D"/>
    <w:rsid w:val="009358AF"/>
    <w:rsid w:val="009376AC"/>
    <w:rsid w:val="00940646"/>
    <w:rsid w:val="00975FBD"/>
    <w:rsid w:val="00983B7C"/>
    <w:rsid w:val="00991DE7"/>
    <w:rsid w:val="00996FFE"/>
    <w:rsid w:val="009A1482"/>
    <w:rsid w:val="009A3A79"/>
    <w:rsid w:val="009C3232"/>
    <w:rsid w:val="009D41DC"/>
    <w:rsid w:val="009E4D55"/>
    <w:rsid w:val="009E4F01"/>
    <w:rsid w:val="009E7C02"/>
    <w:rsid w:val="009F6FF8"/>
    <w:rsid w:val="009F77BE"/>
    <w:rsid w:val="00A26092"/>
    <w:rsid w:val="00A36147"/>
    <w:rsid w:val="00A969BA"/>
    <w:rsid w:val="00AD6B1E"/>
    <w:rsid w:val="00AF5B65"/>
    <w:rsid w:val="00B0734E"/>
    <w:rsid w:val="00B509E9"/>
    <w:rsid w:val="00B50F16"/>
    <w:rsid w:val="00B6016F"/>
    <w:rsid w:val="00B73445"/>
    <w:rsid w:val="00B75661"/>
    <w:rsid w:val="00B92426"/>
    <w:rsid w:val="00B95D63"/>
    <w:rsid w:val="00BA1B67"/>
    <w:rsid w:val="00BA4268"/>
    <w:rsid w:val="00BC254B"/>
    <w:rsid w:val="00BC4477"/>
    <w:rsid w:val="00BC7917"/>
    <w:rsid w:val="00BD2F68"/>
    <w:rsid w:val="00BE1885"/>
    <w:rsid w:val="00BE2ED4"/>
    <w:rsid w:val="00BF0513"/>
    <w:rsid w:val="00BF6EF4"/>
    <w:rsid w:val="00C122FE"/>
    <w:rsid w:val="00C12969"/>
    <w:rsid w:val="00C26ED7"/>
    <w:rsid w:val="00C338E5"/>
    <w:rsid w:val="00C64284"/>
    <w:rsid w:val="00C651F3"/>
    <w:rsid w:val="00C71E95"/>
    <w:rsid w:val="00C72B0A"/>
    <w:rsid w:val="00C77D08"/>
    <w:rsid w:val="00C86BA2"/>
    <w:rsid w:val="00CA6AB1"/>
    <w:rsid w:val="00CB04C6"/>
    <w:rsid w:val="00CC5748"/>
    <w:rsid w:val="00CD61F0"/>
    <w:rsid w:val="00CE5A10"/>
    <w:rsid w:val="00CF0002"/>
    <w:rsid w:val="00CF56F2"/>
    <w:rsid w:val="00D01E73"/>
    <w:rsid w:val="00D07B79"/>
    <w:rsid w:val="00D104B7"/>
    <w:rsid w:val="00D25464"/>
    <w:rsid w:val="00D26EBB"/>
    <w:rsid w:val="00D40D55"/>
    <w:rsid w:val="00D4228A"/>
    <w:rsid w:val="00D522A7"/>
    <w:rsid w:val="00D533CE"/>
    <w:rsid w:val="00D650DB"/>
    <w:rsid w:val="00D65D19"/>
    <w:rsid w:val="00D6663C"/>
    <w:rsid w:val="00D743E2"/>
    <w:rsid w:val="00D746B6"/>
    <w:rsid w:val="00D75D95"/>
    <w:rsid w:val="00D76BE7"/>
    <w:rsid w:val="00D847DF"/>
    <w:rsid w:val="00D86EDD"/>
    <w:rsid w:val="00D90255"/>
    <w:rsid w:val="00DC69F8"/>
    <w:rsid w:val="00DC6A91"/>
    <w:rsid w:val="00DD1FE9"/>
    <w:rsid w:val="00DE34B7"/>
    <w:rsid w:val="00DE41AD"/>
    <w:rsid w:val="00DE484E"/>
    <w:rsid w:val="00DE5B35"/>
    <w:rsid w:val="00DF497F"/>
    <w:rsid w:val="00E110EA"/>
    <w:rsid w:val="00E116D2"/>
    <w:rsid w:val="00E13F46"/>
    <w:rsid w:val="00E17692"/>
    <w:rsid w:val="00E17DB7"/>
    <w:rsid w:val="00E36E2F"/>
    <w:rsid w:val="00E40007"/>
    <w:rsid w:val="00E4618F"/>
    <w:rsid w:val="00E60319"/>
    <w:rsid w:val="00E71CF3"/>
    <w:rsid w:val="00E80FD2"/>
    <w:rsid w:val="00E90A59"/>
    <w:rsid w:val="00E91627"/>
    <w:rsid w:val="00E953EE"/>
    <w:rsid w:val="00E959CE"/>
    <w:rsid w:val="00EC36CB"/>
    <w:rsid w:val="00EC6948"/>
    <w:rsid w:val="00EC743F"/>
    <w:rsid w:val="00ED0E4C"/>
    <w:rsid w:val="00ED7F00"/>
    <w:rsid w:val="00EE2A1D"/>
    <w:rsid w:val="00EF0491"/>
    <w:rsid w:val="00F058E0"/>
    <w:rsid w:val="00F31F35"/>
    <w:rsid w:val="00F36403"/>
    <w:rsid w:val="00F40629"/>
    <w:rsid w:val="00F63C1B"/>
    <w:rsid w:val="00F7131B"/>
    <w:rsid w:val="00F86F1C"/>
    <w:rsid w:val="00F949E9"/>
    <w:rsid w:val="00FA4A91"/>
    <w:rsid w:val="00FB781F"/>
    <w:rsid w:val="00FD7C24"/>
    <w:rsid w:val="00FE0E68"/>
    <w:rsid w:val="03F8EABE"/>
    <w:rsid w:val="155EE47B"/>
    <w:rsid w:val="1CA3B711"/>
    <w:rsid w:val="1E446BA6"/>
    <w:rsid w:val="26EA38F6"/>
    <w:rsid w:val="34DC461A"/>
    <w:rsid w:val="431FDE05"/>
    <w:rsid w:val="4FE05382"/>
    <w:rsid w:val="59B5328A"/>
  </w:rsids>
  <m:mathPr>
    <m:mathFont m:val="Cambria Math"/>
    <m:brkBin m:val="before"/>
    <m:brkBinSub m:val="--"/>
    <m:smallFrac m:val="0"/>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ACB185A"/>
  <w15:docId w15:val="{0011E986-D445-4BD0-9AFC-7D582CD7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1000"/>
      <w:jc w:val="center"/>
      <w:outlineLvl w:val="0"/>
    </w:pPr>
    <w:rPr>
      <w:b/>
      <w:bCs/>
    </w:rPr>
  </w:style>
  <w:style w:type="paragraph" w:styleId="Heading2">
    <w:name w:val="heading 2"/>
    <w:basedOn w:val="Normal"/>
    <w:next w:val="Normal"/>
    <w:link w:val="Heading2Char"/>
    <w:uiPriority w:val="9"/>
    <w:semiHidden/>
    <w:unhideWhenUsed/>
    <w:qFormat/>
    <w:rsid w:val="004A52C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34"/>
    <w:qFormat/>
    <w:pPr>
      <w:spacing w:before="121"/>
      <w:ind w:left="1000" w:hanging="72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semiHidden/>
    <w:rsid w:val="004A52C7"/>
    <w:rPr>
      <w:rFonts w:asciiTheme="majorHAnsi" w:eastAsiaTheme="majorEastAsia" w:hAnsiTheme="majorHAnsi" w:cstheme="majorBidi"/>
      <w:color w:val="365F91" w:themeColor="accent1" w:themeShade="BF"/>
      <w:sz w:val="26"/>
      <w:szCs w:val="26"/>
      <w:lang w:bidi="en-US"/>
    </w:rPr>
  </w:style>
  <w:style w:type="character" w:styleId="Hyperlink">
    <w:name w:val="Hyperlink"/>
    <w:basedOn w:val="DefaultParagraphFont"/>
    <w:uiPriority w:val="99"/>
    <w:unhideWhenUsed/>
    <w:rsid w:val="004A52C7"/>
    <w:rPr>
      <w:color w:val="0000FF" w:themeColor="hyperlink"/>
      <w:u w:val="single"/>
    </w:r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4A52C7"/>
    <w:pPr>
      <w:widowControl/>
      <w:autoSpaceDE/>
      <w:autoSpaceDN/>
    </w:pPr>
    <w:rPr>
      <w:rFonts w:ascii="Times New Roman" w:eastAsia="Times New Roman" w:hAnsi="Times New Roman" w:cs="Times New Roman"/>
      <w:sz w:val="20"/>
      <w:szCs w:val="20"/>
      <w:lang w:bidi="ar-SA"/>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basedOn w:val="DefaultParagraphFont"/>
    <w:link w:val="FootnoteText"/>
    <w:rsid w:val="004A52C7"/>
    <w:rPr>
      <w:rFonts w:ascii="Times New Roman" w:eastAsia="Times New Roman" w:hAnsi="Times New Roman" w:cs="Times New Roman"/>
      <w:sz w:val="20"/>
      <w:szCs w:val="20"/>
    </w:rPr>
  </w:style>
  <w:style w:type="character" w:styleId="FootnoteReference">
    <w:name w:val="footnote reference"/>
    <w:aliases w:val="16 Point,Superscript 6 Point,ftref,Ref,de nota al pie,referencia nota al pie,Fußnotenzeichen DISS,Footnote Referencefra,FC,BVI fnr,Знак сноски 1,titulo 2,Style 24,pie pddes,Footnote Reference.SES,Referência de rodapé,fr"/>
    <w:uiPriority w:val="99"/>
    <w:qFormat/>
    <w:rsid w:val="004A52C7"/>
    <w:rPr>
      <w:vertAlign w:val="superscript"/>
    </w:rPr>
  </w:style>
  <w:style w:type="character" w:customStyle="1" w:styleId="ListParagraphChar">
    <w:name w:val="List Paragraph Char"/>
    <w:link w:val="ListParagraph"/>
    <w:uiPriority w:val="34"/>
    <w:locked/>
    <w:rsid w:val="004A52C7"/>
    <w:rPr>
      <w:rFonts w:ascii="Arial" w:eastAsia="Arial" w:hAnsi="Arial" w:cs="Arial"/>
      <w:lang w:bidi="en-US"/>
    </w:rPr>
  </w:style>
  <w:style w:type="paragraph" w:styleId="BalloonText">
    <w:name w:val="Balloon Text"/>
    <w:basedOn w:val="Normal"/>
    <w:link w:val="BalloonTextChar"/>
    <w:uiPriority w:val="99"/>
    <w:semiHidden/>
    <w:unhideWhenUsed/>
    <w:rsid w:val="00DE48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84E"/>
    <w:rPr>
      <w:rFonts w:ascii="Segoe UI" w:eastAsia="Arial" w:hAnsi="Segoe UI" w:cs="Segoe UI"/>
      <w:sz w:val="18"/>
      <w:szCs w:val="18"/>
      <w:lang w:bidi="en-US"/>
    </w:rPr>
  </w:style>
  <w:style w:type="paragraph" w:styleId="Header">
    <w:name w:val="header"/>
    <w:basedOn w:val="Normal"/>
    <w:link w:val="HeaderChar"/>
    <w:uiPriority w:val="99"/>
    <w:unhideWhenUsed/>
    <w:rsid w:val="00930EF5"/>
    <w:pPr>
      <w:tabs>
        <w:tab w:val="center" w:pos="4513"/>
        <w:tab w:val="right" w:pos="9026"/>
      </w:tabs>
    </w:pPr>
  </w:style>
  <w:style w:type="character" w:customStyle="1" w:styleId="HeaderChar">
    <w:name w:val="Header Char"/>
    <w:basedOn w:val="DefaultParagraphFont"/>
    <w:link w:val="Header"/>
    <w:uiPriority w:val="99"/>
    <w:rsid w:val="00930EF5"/>
    <w:rPr>
      <w:rFonts w:ascii="Arial" w:eastAsia="Arial" w:hAnsi="Arial" w:cs="Arial"/>
      <w:lang w:bidi="en-US"/>
    </w:rPr>
  </w:style>
  <w:style w:type="paragraph" w:styleId="Footer">
    <w:name w:val="footer"/>
    <w:basedOn w:val="Normal"/>
    <w:link w:val="FooterChar"/>
    <w:uiPriority w:val="99"/>
    <w:unhideWhenUsed/>
    <w:rsid w:val="00930EF5"/>
    <w:pPr>
      <w:tabs>
        <w:tab w:val="center" w:pos="4513"/>
        <w:tab w:val="right" w:pos="9026"/>
      </w:tabs>
    </w:pPr>
  </w:style>
  <w:style w:type="character" w:customStyle="1" w:styleId="FooterChar">
    <w:name w:val="Footer Char"/>
    <w:basedOn w:val="DefaultParagraphFont"/>
    <w:link w:val="Footer"/>
    <w:uiPriority w:val="99"/>
    <w:rsid w:val="00930EF5"/>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5026/OC-ME;</Approval_x0020_Number>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IS-LPO</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34</Value>
      <Value>19</Value>
      <Value>213</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ME-L1289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EZSHARE-792148771-17</_dlc_DocId>
    <_dlc_DocIdUrl xmlns="cdc7663a-08f0-4737-9e8c-148ce897a09c">
      <Url>https://idbg.sharepoint.com/teams/EZ-ME-LON/ME-L1289/_layouts/15/DocIdRedir.aspx?ID=EZSHARE-792148771-17</Url>
      <Description>EZSHARE-792148771-17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B75F04DABA8EC46BE54B31EE4025B56" ma:contentTypeVersion="2701" ma:contentTypeDescription="A content type to manage public (operations) IDB documents" ma:contentTypeScope="" ma:versionID="906dba6fa605b9dd7baca0a1a7616f33">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C24538-3EA8-4D48-90B6-54225F7EC071}">
  <ds:schemaRefs>
    <ds:schemaRef ds:uri="http://schemas.microsoft.com/sharepoint/v3/contenttype/forms"/>
  </ds:schemaRefs>
</ds:datastoreItem>
</file>

<file path=customXml/itemProps2.xml><?xml version="1.0" encoding="utf-8"?>
<ds:datastoreItem xmlns:ds="http://schemas.openxmlformats.org/officeDocument/2006/customXml" ds:itemID="{79137E64-60FB-45BE-9975-25DE3FB57F8D}"/>
</file>

<file path=customXml/itemProps3.xml><?xml version="1.0" encoding="utf-8"?>
<ds:datastoreItem xmlns:ds="http://schemas.openxmlformats.org/officeDocument/2006/customXml" ds:itemID="{108DB95B-39B4-463D-9671-E59470F944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2831F4-2C4A-4410-AB8C-D2691AEAEE09}">
  <ds:schemaRefs>
    <ds:schemaRef ds:uri="http://schemas.openxmlformats.org/officeDocument/2006/bibliography"/>
  </ds:schemaRefs>
</ds:datastoreItem>
</file>

<file path=customXml/itemProps5.xml><?xml version="1.0" encoding="utf-8"?>
<ds:datastoreItem xmlns:ds="http://schemas.openxmlformats.org/officeDocument/2006/customXml" ds:itemID="{AAC9E633-5127-4189-987B-2D49D35A810D}"/>
</file>

<file path=customXml/itemProps6.xml><?xml version="1.0" encoding="utf-8"?>
<ds:datastoreItem xmlns:ds="http://schemas.openxmlformats.org/officeDocument/2006/customXml" ds:itemID="{69075180-B912-4D7B-9CC6-9A07F1F898E3}"/>
</file>

<file path=customXml/itemProps7.xml><?xml version="1.0" encoding="utf-8"?>
<ds:datastoreItem xmlns:ds="http://schemas.openxmlformats.org/officeDocument/2006/customXml" ds:itemID="{0FC48706-2AC7-4A44-9CB1-2E425BB517AC}"/>
</file>

<file path=docProps/app.xml><?xml version="1.0" encoding="utf-8"?>
<Properties xmlns="http://schemas.openxmlformats.org/officeDocument/2006/extended-properties" xmlns:vt="http://schemas.openxmlformats.org/officeDocument/2006/docPropsVTypes">
  <Template>Normal.dotm</Template>
  <TotalTime>2</TotalTime>
  <Pages>16</Pages>
  <Words>6115</Words>
  <Characters>33635</Characters>
  <Application>Microsoft Office Word</Application>
  <DocSecurity>0</DocSecurity>
  <Lines>280</Lines>
  <Paragraphs>79</Paragraphs>
  <ScaleCrop>false</ScaleCrop>
  <Company/>
  <LinksUpToDate>false</LinksUpToDate>
  <CharactersWithSpaces>39671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Alaimo, Veronica</dc:creator>
  <cp:keywords/>
  <cp:lastModifiedBy>Muhlstein, Ethel Rosa</cp:lastModifiedBy>
  <cp:revision>177</cp:revision>
  <dcterms:created xsi:type="dcterms:W3CDTF">2020-03-11T14:37:00Z</dcterms:created>
  <dcterms:modified xsi:type="dcterms:W3CDTF">2020-04-27T17:19:00Z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for Office 365</vt:lpwstr>
  </property>
  <property fmtid="{D5CDD505-2E9C-101B-9397-08002B2CF9AE}" pid="4" name="LastSaved">
    <vt:filetime>2020-02-26T00:00:00Z</vt:filetime>
  </property>
  <property fmtid="{D5CDD505-2E9C-101B-9397-08002B2CF9AE}" pid="5" name="TaxKeyword">
    <vt:lpwstr/>
  </property>
  <property fmtid="{D5CDD505-2E9C-101B-9397-08002B2CF9AE}" pid="6" name="Function Operations IDB">
    <vt:lpwstr>1;#Project Preparation Planning and Design|29ca0c72-1fc4-435f-a09c-28585cb5eac9</vt:lpwstr>
  </property>
  <property fmtid="{D5CDD505-2E9C-101B-9397-08002B2CF9AE}" pid="7" name="Disclosure Activity">
    <vt:lpwstr>Proposal for Operation Development</vt:lpwstr>
  </property>
  <property fmtid="{D5CDD505-2E9C-101B-9397-08002B2CF9AE}" pid="9" name="TaxKeywordTaxHTField">
    <vt:lpwstr/>
  </property>
  <property fmtid="{D5CDD505-2E9C-101B-9397-08002B2CF9AE}" pid="10" name="Sub-Sector">
    <vt:lpwstr>213;#IS-LPO|e71f91eb-7c75-452b-8d19-3a449ce1e247</vt:lpwstr>
  </property>
  <property fmtid="{D5CDD505-2E9C-101B-9397-08002B2CF9AE}" pid="11" name="Series Operations IDB">
    <vt:lpwstr/>
  </property>
  <property fmtid="{D5CDD505-2E9C-101B-9397-08002B2CF9AE}" pid="12" name="Country">
    <vt:lpwstr>19;#ME|0eba6470-e7ea-46fd-a959-d4c243acaf26</vt:lpwstr>
  </property>
  <property fmtid="{D5CDD505-2E9C-101B-9397-08002B2CF9AE}" pid="13" name="Fund IDB">
    <vt:lpwstr/>
  </property>
  <property fmtid="{D5CDD505-2E9C-101B-9397-08002B2CF9AE}" pid="14" name="_dlc_DocIdItemGuid">
    <vt:lpwstr>3d296559-bff9-4729-9f55-74bee446630a</vt:lpwstr>
  </property>
  <property fmtid="{D5CDD505-2E9C-101B-9397-08002B2CF9AE}" pid="15" name="Webtopic">
    <vt:lpwstr/>
  </property>
  <property fmtid="{D5CDD505-2E9C-101B-9397-08002B2CF9AE}" pid="16" name="Sector IDB">
    <vt:lpwstr>34;#IS|3f908695-d5b5-49f6-941f-76876b39564f</vt:lpwstr>
  </property>
  <property fmtid="{D5CDD505-2E9C-101B-9397-08002B2CF9AE}" pid="17" name="ContentTypeId">
    <vt:lpwstr>0x0101001A458A224826124E8B45B1D613300CFC009B75F04DABA8EC46BE54B31EE4025B56</vt:lpwstr>
  </property>
</Properties>
</file>