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2C1B9" w14:textId="54DDAF48" w:rsidR="007352FD" w:rsidRPr="00106665" w:rsidRDefault="001B20CB">
      <w:pPr>
        <w:spacing w:before="200" w:after="200"/>
        <w:jc w:val="center"/>
        <w:rPr>
          <w:lang w:val="es-419"/>
        </w:rPr>
      </w:pPr>
      <w:r w:rsidRPr="00106665">
        <w:rPr>
          <w:rFonts w:ascii="Arial" w:hAnsi="Arial" w:cs="Arial"/>
          <w:b/>
          <w:lang w:val="es-419"/>
        </w:rPr>
        <w:t>ABSTRACT</w:t>
      </w:r>
      <w:r w:rsidR="003B4997" w:rsidRPr="00106665">
        <w:rPr>
          <w:rFonts w:ascii="Arial" w:hAnsi="Arial" w:cs="Arial"/>
          <w:b/>
          <w:lang w:val="es-419"/>
        </w:rPr>
        <w:t>O DE CT</w:t>
      </w:r>
    </w:p>
    <w:p w14:paraId="142E97C6" w14:textId="0C241489" w:rsidR="007352FD" w:rsidRPr="00106665" w:rsidRDefault="001B20CB">
      <w:pPr>
        <w:spacing w:before="120" w:after="120"/>
        <w:ind w:left="579" w:hanging="579"/>
        <w:rPr>
          <w:lang w:val="es-419"/>
        </w:rPr>
      </w:pPr>
      <w:r w:rsidRPr="00106665">
        <w:rPr>
          <w:rFonts w:ascii="Arial" w:hAnsi="Arial" w:cs="Arial"/>
          <w:b/>
          <w:lang w:val="es-419"/>
        </w:rPr>
        <w:t>I.</w:t>
      </w:r>
      <w:r w:rsidRPr="00106665">
        <w:rPr>
          <w:rFonts w:ascii="Arial" w:hAnsi="Arial" w:cs="Arial"/>
          <w:b/>
          <w:lang w:val="es-419"/>
        </w:rPr>
        <w:tab/>
      </w:r>
      <w:r w:rsidR="00106665" w:rsidRPr="00106665">
        <w:rPr>
          <w:rFonts w:ascii="Arial" w:hAnsi="Arial" w:cs="Arial"/>
          <w:b/>
          <w:lang w:val="es-419"/>
        </w:rPr>
        <w:t>Información Bá</w:t>
      </w:r>
      <w:r w:rsidRPr="00106665">
        <w:rPr>
          <w:rFonts w:ascii="Arial" w:hAnsi="Arial" w:cs="Arial"/>
          <w:b/>
          <w:lang w:val="es-419"/>
        </w:rPr>
        <w:t>sic</w:t>
      </w:r>
      <w:r w:rsidR="00106665" w:rsidRPr="00106665">
        <w:rPr>
          <w:rFonts w:ascii="Arial" w:hAnsi="Arial" w:cs="Arial"/>
          <w:b/>
          <w:lang w:val="es-419"/>
        </w:rPr>
        <w:t xml:space="preserve">a de </w:t>
      </w:r>
      <w:r w:rsidRPr="00106665">
        <w:rPr>
          <w:rFonts w:ascii="Arial" w:hAnsi="Arial" w:cs="Arial"/>
          <w:b/>
          <w:lang w:val="es-419"/>
        </w:rPr>
        <w:t>Pro</w:t>
      </w:r>
      <w:r w:rsidR="00106665" w:rsidRPr="00106665">
        <w:rPr>
          <w:rFonts w:ascii="Arial" w:hAnsi="Arial" w:cs="Arial"/>
          <w:b/>
          <w:lang w:val="es-419"/>
        </w:rPr>
        <w:t>y</w:t>
      </w:r>
      <w:r w:rsidRPr="00106665">
        <w:rPr>
          <w:rFonts w:ascii="Arial" w:hAnsi="Arial" w:cs="Arial"/>
          <w:b/>
          <w:lang w:val="es-419"/>
        </w:rPr>
        <w:t>ec</w:t>
      </w:r>
      <w:r w:rsidR="00106665" w:rsidRPr="00106665">
        <w:rPr>
          <w:rFonts w:ascii="Arial" w:hAnsi="Arial" w:cs="Arial"/>
          <w:b/>
          <w:lang w:val="es-419"/>
        </w:rPr>
        <w:t>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48"/>
        <w:gridCol w:w="4972"/>
      </w:tblGrid>
      <w:tr w:rsidR="00B32311" w14:paraId="31EE8A24" w14:textId="77777777" w:rsidTr="00910F6A">
        <w:trPr>
          <w:jc w:val="center"/>
        </w:trPr>
        <w:tc>
          <w:tcPr>
            <w:tcW w:w="4048" w:type="dxa"/>
          </w:tcPr>
          <w:p w14:paraId="5A8137EE" w14:textId="2AAAF8D7" w:rsidR="007352FD" w:rsidRDefault="001B20CB">
            <w:pPr>
              <w:spacing w:before="40" w:after="40"/>
              <w:ind w:left="115" w:hanging="115"/>
            </w:pPr>
            <w:r>
              <w:rPr>
                <w:rFonts w:ascii="Arial" w:hAnsi="Arial" w:cs="Arial"/>
                <w:sz w:val="18"/>
                <w:szCs w:val="18"/>
              </w:rPr>
              <w:t xml:space="preserve">▪ </w:t>
            </w:r>
            <w:r w:rsidR="00106665">
              <w:rPr>
                <w:rFonts w:ascii="Arial" w:hAnsi="Arial" w:cs="Arial"/>
                <w:sz w:val="18"/>
                <w:szCs w:val="18"/>
              </w:rPr>
              <w:t>País</w:t>
            </w:r>
            <w:r>
              <w:rPr>
                <w:rFonts w:ascii="Arial" w:hAnsi="Arial" w:cs="Arial"/>
                <w:sz w:val="18"/>
                <w:szCs w:val="18"/>
              </w:rPr>
              <w:t>/Regi</w:t>
            </w:r>
            <w:r w:rsidR="00106665">
              <w:rPr>
                <w:rFonts w:ascii="Arial" w:hAnsi="Arial" w:cs="Arial"/>
                <w:sz w:val="18"/>
                <w:szCs w:val="18"/>
              </w:rPr>
              <w:t>ó</w:t>
            </w:r>
            <w:r>
              <w:rPr>
                <w:rFonts w:ascii="Arial" w:hAnsi="Arial" w:cs="Arial"/>
                <w:sz w:val="18"/>
                <w:szCs w:val="18"/>
              </w:rPr>
              <w:t>n:</w:t>
            </w:r>
          </w:p>
        </w:tc>
        <w:tc>
          <w:tcPr>
            <w:tcW w:w="4972" w:type="dxa"/>
          </w:tcPr>
          <w:p w14:paraId="2A4B9DB9" w14:textId="3841044F" w:rsidR="007352FD" w:rsidRDefault="001B20CB">
            <w:pPr>
              <w:spacing w:before="40" w:after="40"/>
            </w:pPr>
            <w:r>
              <w:rPr>
                <w:rFonts w:ascii="Arial" w:hAnsi="Arial" w:cs="Arial"/>
                <w:sz w:val="18"/>
                <w:szCs w:val="18"/>
              </w:rPr>
              <w:t>ECUADOR/CAN</w:t>
            </w:r>
          </w:p>
        </w:tc>
      </w:tr>
      <w:tr w:rsidR="007C1542" w:rsidRPr="00747482" w14:paraId="5364C75F" w14:textId="77777777" w:rsidTr="00910F6A">
        <w:trPr>
          <w:jc w:val="center"/>
        </w:trPr>
        <w:tc>
          <w:tcPr>
            <w:tcW w:w="4048" w:type="dxa"/>
          </w:tcPr>
          <w:p w14:paraId="273648F1" w14:textId="77C63E09" w:rsidR="007352FD" w:rsidRDefault="001B20CB">
            <w:pPr>
              <w:spacing w:before="40" w:after="40"/>
              <w:ind w:left="115" w:hanging="115"/>
            </w:pPr>
            <w:r>
              <w:rPr>
                <w:rFonts w:ascii="Arial" w:hAnsi="Arial" w:cs="Arial"/>
                <w:sz w:val="18"/>
                <w:szCs w:val="18"/>
              </w:rPr>
              <w:t>▪ N</w:t>
            </w:r>
            <w:r w:rsidR="002B445B">
              <w:rPr>
                <w:rFonts w:ascii="Arial" w:hAnsi="Arial" w:cs="Arial"/>
                <w:sz w:val="18"/>
                <w:szCs w:val="18"/>
              </w:rPr>
              <w:t>o</w:t>
            </w:r>
            <w:r>
              <w:rPr>
                <w:rFonts w:ascii="Arial" w:hAnsi="Arial" w:cs="Arial"/>
                <w:sz w:val="18"/>
                <w:szCs w:val="18"/>
              </w:rPr>
              <w:t>m</w:t>
            </w:r>
            <w:r w:rsidR="002B445B">
              <w:rPr>
                <w:rFonts w:ascii="Arial" w:hAnsi="Arial" w:cs="Arial"/>
                <w:sz w:val="18"/>
                <w:szCs w:val="18"/>
              </w:rPr>
              <w:t>bre de CT</w:t>
            </w:r>
            <w:r>
              <w:rPr>
                <w:rFonts w:ascii="Arial" w:hAnsi="Arial" w:cs="Arial"/>
                <w:sz w:val="18"/>
                <w:szCs w:val="18"/>
              </w:rPr>
              <w:t>:</w:t>
            </w:r>
          </w:p>
        </w:tc>
        <w:tc>
          <w:tcPr>
            <w:tcW w:w="4972" w:type="dxa"/>
          </w:tcPr>
          <w:p w14:paraId="6899126D" w14:textId="306367C4" w:rsidR="007352FD" w:rsidRPr="00747482" w:rsidRDefault="00747482">
            <w:pPr>
              <w:spacing w:before="40" w:after="40"/>
              <w:rPr>
                <w:lang w:val="es-419"/>
              </w:rPr>
            </w:pPr>
            <w:r w:rsidRPr="00747482">
              <w:rPr>
                <w:rFonts w:ascii="Arial" w:hAnsi="Arial" w:cs="Arial"/>
                <w:sz w:val="18"/>
                <w:szCs w:val="18"/>
                <w:lang w:val="es-419"/>
              </w:rPr>
              <w:t>Apoyo a la Digitalizaci</w:t>
            </w:r>
            <w:r w:rsidR="00DF0B00">
              <w:rPr>
                <w:rFonts w:ascii="Arial" w:hAnsi="Arial" w:cs="Arial"/>
                <w:sz w:val="18"/>
                <w:szCs w:val="18"/>
                <w:lang w:val="es-419"/>
              </w:rPr>
              <w:t>ó</w:t>
            </w:r>
            <w:r w:rsidRPr="00747482">
              <w:rPr>
                <w:rFonts w:ascii="Arial" w:hAnsi="Arial" w:cs="Arial"/>
                <w:sz w:val="18"/>
                <w:szCs w:val="18"/>
                <w:lang w:val="es-419"/>
              </w:rPr>
              <w:t>n de la Operaci</w:t>
            </w:r>
            <w:r w:rsidR="00DF0B00">
              <w:rPr>
                <w:rFonts w:ascii="Arial" w:hAnsi="Arial" w:cs="Arial"/>
                <w:sz w:val="18"/>
                <w:szCs w:val="18"/>
                <w:lang w:val="es-419"/>
              </w:rPr>
              <w:t>ó</w:t>
            </w:r>
            <w:r w:rsidRPr="00747482">
              <w:rPr>
                <w:rFonts w:ascii="Arial" w:hAnsi="Arial" w:cs="Arial"/>
                <w:sz w:val="18"/>
                <w:szCs w:val="18"/>
                <w:lang w:val="es-419"/>
              </w:rPr>
              <w:t>n en la Infraestructura en las Empresas El</w:t>
            </w:r>
            <w:r w:rsidR="00DF0B00">
              <w:rPr>
                <w:rFonts w:ascii="Arial" w:hAnsi="Arial" w:cs="Arial"/>
                <w:sz w:val="18"/>
                <w:szCs w:val="18"/>
                <w:lang w:val="es-419"/>
              </w:rPr>
              <w:t>é</w:t>
            </w:r>
            <w:r w:rsidRPr="00747482">
              <w:rPr>
                <w:rFonts w:ascii="Arial" w:hAnsi="Arial" w:cs="Arial"/>
                <w:sz w:val="18"/>
                <w:szCs w:val="18"/>
                <w:lang w:val="es-419"/>
              </w:rPr>
              <w:t>ctricas de Distribuci</w:t>
            </w:r>
            <w:r w:rsidR="002B445B">
              <w:rPr>
                <w:rFonts w:ascii="Arial" w:hAnsi="Arial" w:cs="Arial"/>
                <w:sz w:val="18"/>
                <w:szCs w:val="18"/>
                <w:lang w:val="es-419"/>
              </w:rPr>
              <w:t>ó</w:t>
            </w:r>
            <w:r w:rsidRPr="00747482">
              <w:rPr>
                <w:rFonts w:ascii="Arial" w:hAnsi="Arial" w:cs="Arial"/>
                <w:sz w:val="18"/>
                <w:szCs w:val="18"/>
                <w:lang w:val="es-419"/>
              </w:rPr>
              <w:t>n en Ecuador</w:t>
            </w:r>
          </w:p>
        </w:tc>
      </w:tr>
      <w:tr w:rsidR="00B32311" w14:paraId="24C6A081" w14:textId="77777777" w:rsidTr="00910F6A">
        <w:trPr>
          <w:jc w:val="center"/>
        </w:trPr>
        <w:tc>
          <w:tcPr>
            <w:tcW w:w="4048" w:type="dxa"/>
          </w:tcPr>
          <w:p w14:paraId="5C41774E" w14:textId="0E26CBED" w:rsidR="007352FD" w:rsidRDefault="001B20CB">
            <w:pPr>
              <w:spacing w:before="40" w:after="40"/>
              <w:ind w:left="115" w:hanging="115"/>
            </w:pPr>
            <w:r>
              <w:rPr>
                <w:rFonts w:ascii="Arial" w:hAnsi="Arial" w:cs="Arial"/>
                <w:sz w:val="18"/>
                <w:szCs w:val="18"/>
              </w:rPr>
              <w:t>▪ N</w:t>
            </w:r>
            <w:r w:rsidR="00E34324">
              <w:rPr>
                <w:rFonts w:ascii="Arial" w:hAnsi="Arial" w:cs="Arial"/>
                <w:sz w:val="18"/>
                <w:szCs w:val="18"/>
              </w:rPr>
              <w:t>úmero de CT</w:t>
            </w:r>
            <w:r>
              <w:rPr>
                <w:rFonts w:ascii="Arial" w:hAnsi="Arial" w:cs="Arial"/>
                <w:sz w:val="18"/>
                <w:szCs w:val="18"/>
              </w:rPr>
              <w:t>:</w:t>
            </w:r>
          </w:p>
        </w:tc>
        <w:tc>
          <w:tcPr>
            <w:tcW w:w="4972" w:type="dxa"/>
          </w:tcPr>
          <w:p w14:paraId="568AC579" w14:textId="77777777" w:rsidR="007352FD" w:rsidRDefault="001B20CB">
            <w:pPr>
              <w:spacing w:before="40" w:after="40"/>
            </w:pPr>
            <w:r>
              <w:rPr>
                <w:rFonts w:ascii="Arial" w:hAnsi="Arial" w:cs="Arial"/>
                <w:sz w:val="18"/>
                <w:szCs w:val="18"/>
              </w:rPr>
              <w:t>EC-T1459</w:t>
            </w:r>
          </w:p>
        </w:tc>
      </w:tr>
      <w:tr w:rsidR="007C1542" w:rsidRPr="002C73A0" w14:paraId="2B97C0EA" w14:textId="77777777" w:rsidTr="00910F6A">
        <w:trPr>
          <w:jc w:val="center"/>
        </w:trPr>
        <w:tc>
          <w:tcPr>
            <w:tcW w:w="4048" w:type="dxa"/>
          </w:tcPr>
          <w:p w14:paraId="73083DC4" w14:textId="17D205D4" w:rsidR="007352FD" w:rsidRPr="00F01682" w:rsidRDefault="001B20CB">
            <w:pPr>
              <w:spacing w:before="40" w:after="40"/>
              <w:ind w:left="115" w:hanging="115"/>
              <w:rPr>
                <w:lang w:val="es-419"/>
              </w:rPr>
            </w:pPr>
            <w:r w:rsidRPr="00F01682">
              <w:rPr>
                <w:rFonts w:ascii="Arial" w:hAnsi="Arial" w:cs="Arial"/>
                <w:sz w:val="18"/>
                <w:szCs w:val="18"/>
                <w:lang w:val="es-419"/>
              </w:rPr>
              <w:t>▪ L</w:t>
            </w:r>
            <w:r w:rsidR="00AF296E" w:rsidRPr="00F01682">
              <w:rPr>
                <w:rFonts w:ascii="Arial" w:hAnsi="Arial" w:cs="Arial"/>
                <w:sz w:val="18"/>
                <w:szCs w:val="18"/>
                <w:lang w:val="es-419"/>
              </w:rPr>
              <w:t>íder de Equipo</w:t>
            </w:r>
            <w:r w:rsidRPr="00F01682">
              <w:rPr>
                <w:rFonts w:ascii="Arial" w:hAnsi="Arial" w:cs="Arial"/>
                <w:sz w:val="18"/>
                <w:szCs w:val="18"/>
                <w:lang w:val="es-419"/>
              </w:rPr>
              <w:t>/M</w:t>
            </w:r>
            <w:r w:rsidR="00AF296E" w:rsidRPr="00F01682">
              <w:rPr>
                <w:rFonts w:ascii="Arial" w:hAnsi="Arial" w:cs="Arial"/>
                <w:sz w:val="18"/>
                <w:szCs w:val="18"/>
                <w:lang w:val="es-419"/>
              </w:rPr>
              <w:t>iembros de Equipo</w:t>
            </w:r>
            <w:r w:rsidRPr="00F01682">
              <w:rPr>
                <w:rFonts w:ascii="Arial" w:hAnsi="Arial" w:cs="Arial"/>
                <w:sz w:val="18"/>
                <w:szCs w:val="18"/>
                <w:lang w:val="es-419"/>
              </w:rPr>
              <w:t>:</w:t>
            </w:r>
          </w:p>
        </w:tc>
        <w:tc>
          <w:tcPr>
            <w:tcW w:w="4972" w:type="dxa"/>
          </w:tcPr>
          <w:p w14:paraId="1E367E4B" w14:textId="406B55FF" w:rsidR="007352FD" w:rsidRPr="002C73A0" w:rsidRDefault="00F01682">
            <w:pPr>
              <w:spacing w:before="40" w:after="40"/>
              <w:rPr>
                <w:lang w:val="es-419"/>
              </w:rPr>
            </w:pPr>
            <w:r w:rsidRPr="002C73A0">
              <w:rPr>
                <w:rFonts w:ascii="Arial" w:hAnsi="Arial" w:cs="Arial"/>
                <w:sz w:val="18"/>
                <w:szCs w:val="18"/>
                <w:lang w:val="es-419"/>
              </w:rPr>
              <w:t>K</w:t>
            </w:r>
            <w:r w:rsidR="002C73A0">
              <w:rPr>
                <w:rFonts w:ascii="Arial" w:hAnsi="Arial" w:cs="Arial"/>
                <w:sz w:val="18"/>
                <w:szCs w:val="18"/>
                <w:lang w:val="es-419"/>
              </w:rPr>
              <w:t xml:space="preserve">enol Pierre Thys </w:t>
            </w:r>
            <w:r w:rsidR="001B20CB" w:rsidRPr="002C73A0">
              <w:rPr>
                <w:rFonts w:ascii="Arial" w:hAnsi="Arial" w:cs="Arial"/>
                <w:sz w:val="18"/>
                <w:szCs w:val="18"/>
                <w:lang w:val="es-419"/>
              </w:rPr>
              <w:t>(INE/ENE)</w:t>
            </w:r>
            <w:r w:rsidR="00C87285">
              <w:rPr>
                <w:rFonts w:ascii="Arial" w:hAnsi="Arial" w:cs="Arial"/>
                <w:sz w:val="18"/>
                <w:szCs w:val="18"/>
                <w:lang w:val="es-419"/>
              </w:rPr>
              <w:t>,</w:t>
            </w:r>
            <w:r w:rsidR="001B20CB" w:rsidRPr="002C73A0">
              <w:rPr>
                <w:rFonts w:ascii="Arial" w:hAnsi="Arial" w:cs="Arial"/>
                <w:sz w:val="18"/>
                <w:szCs w:val="18"/>
                <w:lang w:val="es-419"/>
              </w:rPr>
              <w:t xml:space="preserve"> </w:t>
            </w:r>
            <w:r w:rsidR="002218D2">
              <w:rPr>
                <w:rFonts w:ascii="Arial" w:hAnsi="Arial" w:cs="Arial"/>
                <w:sz w:val="18"/>
                <w:szCs w:val="18"/>
                <w:lang w:val="es-419"/>
              </w:rPr>
              <w:t>Líder de Equipo</w:t>
            </w:r>
            <w:r w:rsidR="001B20CB" w:rsidRPr="002C73A0">
              <w:rPr>
                <w:rFonts w:ascii="Arial" w:hAnsi="Arial" w:cs="Arial"/>
                <w:sz w:val="18"/>
                <w:szCs w:val="18"/>
                <w:lang w:val="es-419"/>
              </w:rPr>
              <w:t xml:space="preserve">; </w:t>
            </w:r>
            <w:r w:rsidR="002F3AA4">
              <w:rPr>
                <w:rFonts w:ascii="Arial" w:hAnsi="Arial" w:cs="Arial"/>
                <w:sz w:val="18"/>
                <w:szCs w:val="18"/>
                <w:lang w:val="es-419"/>
              </w:rPr>
              <w:t>Virginia Snyder</w:t>
            </w:r>
            <w:r w:rsidR="001B20CB" w:rsidRPr="002C73A0">
              <w:rPr>
                <w:rFonts w:ascii="Arial" w:hAnsi="Arial" w:cs="Arial"/>
                <w:sz w:val="18"/>
                <w:szCs w:val="18"/>
                <w:lang w:val="es-419"/>
              </w:rPr>
              <w:t xml:space="preserve"> (INE/ENE)</w:t>
            </w:r>
            <w:r w:rsidR="00C87285">
              <w:rPr>
                <w:rFonts w:ascii="Arial" w:hAnsi="Arial" w:cs="Arial"/>
                <w:sz w:val="18"/>
                <w:szCs w:val="18"/>
                <w:lang w:val="es-419"/>
              </w:rPr>
              <w:t>,</w:t>
            </w:r>
            <w:r w:rsidR="001B20CB" w:rsidRPr="002C73A0">
              <w:rPr>
                <w:rFonts w:ascii="Arial" w:hAnsi="Arial" w:cs="Arial"/>
                <w:sz w:val="18"/>
                <w:szCs w:val="18"/>
                <w:lang w:val="es-419"/>
              </w:rPr>
              <w:t xml:space="preserve"> </w:t>
            </w:r>
            <w:r w:rsidR="006650B6">
              <w:rPr>
                <w:rFonts w:ascii="Arial" w:hAnsi="Arial" w:cs="Arial"/>
                <w:sz w:val="18"/>
                <w:szCs w:val="18"/>
                <w:lang w:val="es-419"/>
              </w:rPr>
              <w:t>Líder de Equipo Alterno</w:t>
            </w:r>
            <w:r w:rsidR="001B20CB" w:rsidRPr="002C73A0">
              <w:rPr>
                <w:rFonts w:ascii="Arial" w:hAnsi="Arial" w:cs="Arial"/>
                <w:sz w:val="18"/>
                <w:szCs w:val="18"/>
                <w:lang w:val="es-419"/>
              </w:rPr>
              <w:t>;</w:t>
            </w:r>
            <w:r w:rsidR="00615221">
              <w:rPr>
                <w:rFonts w:ascii="Arial" w:hAnsi="Arial" w:cs="Arial"/>
                <w:sz w:val="18"/>
                <w:szCs w:val="18"/>
                <w:lang w:val="es-419"/>
              </w:rPr>
              <w:t xml:space="preserve"> Carlos B. Echeverrí</w:t>
            </w:r>
            <w:r w:rsidR="001307E9">
              <w:rPr>
                <w:rFonts w:ascii="Arial" w:hAnsi="Arial" w:cs="Arial"/>
                <w:sz w:val="18"/>
                <w:szCs w:val="18"/>
                <w:lang w:val="es-419"/>
              </w:rPr>
              <w:t>a</w:t>
            </w:r>
            <w:r w:rsidR="00615221">
              <w:rPr>
                <w:rFonts w:ascii="Arial" w:hAnsi="Arial" w:cs="Arial"/>
                <w:sz w:val="18"/>
                <w:szCs w:val="18"/>
                <w:lang w:val="es-419"/>
              </w:rPr>
              <w:t>;</w:t>
            </w:r>
            <w:r w:rsidR="00C96A6B">
              <w:rPr>
                <w:rFonts w:ascii="Arial" w:hAnsi="Arial" w:cs="Arial"/>
                <w:sz w:val="18"/>
                <w:szCs w:val="18"/>
                <w:lang w:val="es-419"/>
              </w:rPr>
              <w:t xml:space="preserve"> José Antonio Urteaga;</w:t>
            </w:r>
            <w:r w:rsidR="00C87285">
              <w:rPr>
                <w:rFonts w:ascii="Arial" w:hAnsi="Arial" w:cs="Arial"/>
                <w:sz w:val="18"/>
                <w:szCs w:val="18"/>
                <w:lang w:val="es-419"/>
              </w:rPr>
              <w:t xml:space="preserve"> Fidel</w:t>
            </w:r>
            <w:r w:rsidR="001B20CB" w:rsidRPr="002C73A0">
              <w:rPr>
                <w:rFonts w:ascii="Arial" w:hAnsi="Arial" w:cs="Arial"/>
                <w:sz w:val="18"/>
                <w:szCs w:val="18"/>
                <w:lang w:val="es-419"/>
              </w:rPr>
              <w:t xml:space="preserve"> M</w:t>
            </w:r>
            <w:r w:rsidR="00C87285">
              <w:rPr>
                <w:rFonts w:ascii="Arial" w:hAnsi="Arial" w:cs="Arial"/>
                <w:sz w:val="18"/>
                <w:szCs w:val="18"/>
                <w:lang w:val="es-419"/>
              </w:rPr>
              <w:t>árquez</w:t>
            </w:r>
            <w:r w:rsidR="001B20CB" w:rsidRPr="002C73A0">
              <w:rPr>
                <w:rFonts w:ascii="Arial" w:hAnsi="Arial" w:cs="Arial"/>
                <w:sz w:val="18"/>
                <w:szCs w:val="18"/>
                <w:lang w:val="es-419"/>
              </w:rPr>
              <w:t xml:space="preserve"> (INE/ENE);</w:t>
            </w:r>
            <w:r w:rsidR="00260361">
              <w:rPr>
                <w:rFonts w:ascii="Arial" w:hAnsi="Arial" w:cs="Arial"/>
                <w:sz w:val="18"/>
                <w:szCs w:val="18"/>
                <w:lang w:val="es-419"/>
              </w:rPr>
              <w:t xml:space="preserve"> </w:t>
            </w:r>
            <w:r w:rsidR="00260361">
              <w:rPr>
                <w:rFonts w:ascii="Arial" w:hAnsi="Arial" w:cs="Arial"/>
                <w:sz w:val="18"/>
                <w:szCs w:val="18"/>
                <w:lang w:val="es-419"/>
              </w:rPr>
              <w:t>María Julia Molina</w:t>
            </w:r>
            <w:r w:rsidR="001B20CB" w:rsidRPr="002C73A0">
              <w:rPr>
                <w:rFonts w:ascii="Arial" w:hAnsi="Arial" w:cs="Arial"/>
                <w:sz w:val="18"/>
                <w:szCs w:val="18"/>
                <w:lang w:val="es-419"/>
              </w:rPr>
              <w:t xml:space="preserve"> (CAN/CEC)</w:t>
            </w:r>
            <w:r w:rsidR="00C96A6B">
              <w:rPr>
                <w:rFonts w:ascii="Arial" w:hAnsi="Arial" w:cs="Arial"/>
                <w:sz w:val="18"/>
                <w:szCs w:val="18"/>
                <w:lang w:val="es-419"/>
              </w:rPr>
              <w:t>.</w:t>
            </w:r>
          </w:p>
        </w:tc>
      </w:tr>
      <w:tr w:rsidR="00B32311" w14:paraId="3DE9F0DD" w14:textId="77777777" w:rsidTr="00910F6A">
        <w:trPr>
          <w:jc w:val="center"/>
        </w:trPr>
        <w:tc>
          <w:tcPr>
            <w:tcW w:w="4048" w:type="dxa"/>
          </w:tcPr>
          <w:p w14:paraId="77D0974A" w14:textId="64F78757" w:rsidR="007352FD" w:rsidRDefault="001B20CB">
            <w:pPr>
              <w:spacing w:before="40" w:after="40"/>
              <w:ind w:left="115" w:hanging="115"/>
            </w:pPr>
            <w:r>
              <w:rPr>
                <w:rFonts w:ascii="Arial" w:hAnsi="Arial" w:cs="Arial"/>
                <w:sz w:val="18"/>
                <w:szCs w:val="18"/>
              </w:rPr>
              <w:t>▪ Taxono</w:t>
            </w:r>
            <w:r w:rsidR="00F447E6">
              <w:rPr>
                <w:rFonts w:ascii="Arial" w:hAnsi="Arial" w:cs="Arial"/>
                <w:sz w:val="18"/>
                <w:szCs w:val="18"/>
              </w:rPr>
              <w:t>mía</w:t>
            </w:r>
            <w:r>
              <w:rPr>
                <w:rFonts w:ascii="Arial" w:hAnsi="Arial" w:cs="Arial"/>
                <w:sz w:val="18"/>
                <w:szCs w:val="18"/>
              </w:rPr>
              <w:t>:</w:t>
            </w:r>
          </w:p>
        </w:tc>
        <w:tc>
          <w:tcPr>
            <w:tcW w:w="4972" w:type="dxa"/>
          </w:tcPr>
          <w:p w14:paraId="1848DA43" w14:textId="5EDCDEDF" w:rsidR="007352FD" w:rsidRPr="00F447E6" w:rsidRDefault="00F447E6" w:rsidP="00F447E6">
            <w:pPr>
              <w:spacing w:before="40" w:after="40"/>
              <w:ind w:left="115" w:hanging="115"/>
              <w:rPr>
                <w:rFonts w:ascii="Arial" w:hAnsi="Arial" w:cs="Arial"/>
                <w:sz w:val="18"/>
                <w:szCs w:val="18"/>
              </w:rPr>
            </w:pPr>
            <w:r w:rsidRPr="00F447E6">
              <w:rPr>
                <w:rFonts w:ascii="Arial" w:hAnsi="Arial" w:cs="Arial"/>
                <w:sz w:val="18"/>
                <w:szCs w:val="18"/>
              </w:rPr>
              <w:t>Apoyo al cliente</w:t>
            </w:r>
          </w:p>
        </w:tc>
      </w:tr>
      <w:tr w:rsidR="00B32311" w14:paraId="72899585" w14:textId="77777777" w:rsidTr="00910F6A">
        <w:trPr>
          <w:jc w:val="center"/>
        </w:trPr>
        <w:tc>
          <w:tcPr>
            <w:tcW w:w="4048" w:type="dxa"/>
          </w:tcPr>
          <w:p w14:paraId="52CA34C9" w14:textId="612D92EC" w:rsidR="007352FD" w:rsidRPr="0021562C" w:rsidRDefault="001B20CB">
            <w:pPr>
              <w:spacing w:before="40" w:after="40"/>
              <w:ind w:left="115" w:hanging="115"/>
              <w:rPr>
                <w:lang w:val="es-419"/>
              </w:rPr>
            </w:pPr>
            <w:r w:rsidRPr="0021562C">
              <w:rPr>
                <w:rFonts w:ascii="Arial" w:hAnsi="Arial" w:cs="Arial"/>
                <w:sz w:val="18"/>
                <w:szCs w:val="18"/>
                <w:lang w:val="es-419"/>
              </w:rPr>
              <w:t>▪ N</w:t>
            </w:r>
            <w:r w:rsidR="00F447E6" w:rsidRPr="0021562C">
              <w:rPr>
                <w:rFonts w:ascii="Arial" w:hAnsi="Arial" w:cs="Arial"/>
                <w:sz w:val="18"/>
                <w:szCs w:val="18"/>
                <w:lang w:val="es-419"/>
              </w:rPr>
              <w:t xml:space="preserve">úmero </w:t>
            </w:r>
            <w:r w:rsidR="0021562C" w:rsidRPr="0021562C">
              <w:rPr>
                <w:rFonts w:ascii="Arial" w:hAnsi="Arial" w:cs="Arial"/>
                <w:sz w:val="18"/>
                <w:szCs w:val="18"/>
                <w:lang w:val="es-419"/>
              </w:rPr>
              <w:t xml:space="preserve">y nombre de la operación a la cual apoya la </w:t>
            </w:r>
            <w:r w:rsidR="0021562C">
              <w:rPr>
                <w:rFonts w:ascii="Arial" w:hAnsi="Arial" w:cs="Arial"/>
                <w:sz w:val="18"/>
                <w:szCs w:val="18"/>
                <w:lang w:val="es-419"/>
              </w:rPr>
              <w:t>CT</w:t>
            </w:r>
            <w:r w:rsidRPr="0021562C">
              <w:rPr>
                <w:rFonts w:ascii="Arial" w:hAnsi="Arial" w:cs="Arial"/>
                <w:sz w:val="18"/>
                <w:szCs w:val="18"/>
                <w:lang w:val="es-419"/>
              </w:rPr>
              <w:t>:</w:t>
            </w:r>
          </w:p>
        </w:tc>
        <w:tc>
          <w:tcPr>
            <w:tcW w:w="4972" w:type="dxa"/>
          </w:tcPr>
          <w:p w14:paraId="3257EF71" w14:textId="77777777" w:rsidR="007352FD" w:rsidRDefault="001B20CB">
            <w:pPr>
              <w:spacing w:before="40" w:after="40"/>
            </w:pPr>
            <w:r>
              <w:rPr>
                <w:rFonts w:ascii="Arial" w:hAnsi="Arial" w:cs="Arial"/>
                <w:sz w:val="18"/>
                <w:szCs w:val="18"/>
              </w:rPr>
              <w:t>N/A</w:t>
            </w:r>
          </w:p>
        </w:tc>
      </w:tr>
      <w:tr w:rsidR="00B32311" w14:paraId="293FA5B1" w14:textId="77777777" w:rsidTr="00910F6A">
        <w:trPr>
          <w:jc w:val="center"/>
        </w:trPr>
        <w:tc>
          <w:tcPr>
            <w:tcW w:w="4048" w:type="dxa"/>
          </w:tcPr>
          <w:p w14:paraId="2339F67F" w14:textId="26B7AFFA" w:rsidR="007352FD" w:rsidRPr="005169DB" w:rsidRDefault="001B20CB">
            <w:pPr>
              <w:spacing w:before="40" w:after="40"/>
              <w:ind w:left="115" w:hanging="115"/>
              <w:rPr>
                <w:lang w:val="es-419"/>
              </w:rPr>
            </w:pPr>
            <w:r w:rsidRPr="005169DB">
              <w:rPr>
                <w:rFonts w:ascii="Arial" w:hAnsi="Arial" w:cs="Arial"/>
                <w:sz w:val="18"/>
                <w:szCs w:val="18"/>
                <w:lang w:val="es-419"/>
              </w:rPr>
              <w:t xml:space="preserve">▪ </w:t>
            </w:r>
            <w:r w:rsidR="0021562C" w:rsidRPr="005169DB">
              <w:rPr>
                <w:rFonts w:ascii="Arial" w:hAnsi="Arial" w:cs="Arial"/>
                <w:sz w:val="18"/>
                <w:szCs w:val="18"/>
                <w:lang w:val="es-419"/>
              </w:rPr>
              <w:t xml:space="preserve">Fecha de </w:t>
            </w:r>
            <w:r w:rsidR="00BC231D" w:rsidRPr="005169DB">
              <w:rPr>
                <w:rFonts w:ascii="Arial" w:hAnsi="Arial" w:cs="Arial"/>
                <w:sz w:val="18"/>
                <w:szCs w:val="18"/>
                <w:lang w:val="es-419"/>
              </w:rPr>
              <w:t>Autorización del Abstracto de CT</w:t>
            </w:r>
            <w:r w:rsidRPr="005169DB">
              <w:rPr>
                <w:rFonts w:ascii="Arial" w:hAnsi="Arial" w:cs="Arial"/>
                <w:sz w:val="18"/>
                <w:szCs w:val="18"/>
                <w:lang w:val="es-419"/>
              </w:rPr>
              <w:t>:</w:t>
            </w:r>
          </w:p>
        </w:tc>
        <w:tc>
          <w:tcPr>
            <w:tcW w:w="4972" w:type="dxa"/>
          </w:tcPr>
          <w:p w14:paraId="01B21E43" w14:textId="77BD0BA6" w:rsidR="007352FD" w:rsidRDefault="001B20CB">
            <w:pPr>
              <w:spacing w:before="40" w:after="40"/>
            </w:pPr>
            <w:r>
              <w:rPr>
                <w:rFonts w:ascii="Arial" w:hAnsi="Arial" w:cs="Arial"/>
                <w:sz w:val="18"/>
                <w:szCs w:val="18"/>
              </w:rPr>
              <w:t xml:space="preserve">12 </w:t>
            </w:r>
            <w:r w:rsidR="005169DB">
              <w:rPr>
                <w:rFonts w:ascii="Arial" w:hAnsi="Arial" w:cs="Arial"/>
                <w:sz w:val="18"/>
                <w:szCs w:val="18"/>
              </w:rPr>
              <w:t xml:space="preserve">de </w:t>
            </w:r>
            <w:r>
              <w:rPr>
                <w:rFonts w:ascii="Arial" w:hAnsi="Arial" w:cs="Arial"/>
                <w:sz w:val="18"/>
                <w:szCs w:val="18"/>
              </w:rPr>
              <w:t>Mar</w:t>
            </w:r>
            <w:r w:rsidR="005169DB">
              <w:rPr>
                <w:rFonts w:ascii="Arial" w:hAnsi="Arial" w:cs="Arial"/>
                <w:sz w:val="18"/>
                <w:szCs w:val="18"/>
              </w:rPr>
              <w:t>zo</w:t>
            </w:r>
            <w:r>
              <w:rPr>
                <w:rFonts w:ascii="Arial" w:hAnsi="Arial" w:cs="Arial"/>
                <w:sz w:val="18"/>
                <w:szCs w:val="18"/>
              </w:rPr>
              <w:t xml:space="preserve"> 2021</w:t>
            </w:r>
          </w:p>
        </w:tc>
      </w:tr>
      <w:tr w:rsidR="007C1542" w:rsidRPr="003B4997" w14:paraId="0390040D" w14:textId="77777777" w:rsidTr="00910F6A">
        <w:trPr>
          <w:jc w:val="center"/>
        </w:trPr>
        <w:tc>
          <w:tcPr>
            <w:tcW w:w="4048" w:type="dxa"/>
          </w:tcPr>
          <w:p w14:paraId="09C4375F" w14:textId="35AFF4EF" w:rsidR="007352FD" w:rsidRDefault="001B20CB">
            <w:pPr>
              <w:spacing w:before="40" w:after="40"/>
              <w:ind w:left="115" w:hanging="115"/>
            </w:pPr>
            <w:r>
              <w:rPr>
                <w:rFonts w:ascii="Arial" w:hAnsi="Arial" w:cs="Arial"/>
                <w:sz w:val="18"/>
                <w:szCs w:val="18"/>
              </w:rPr>
              <w:t>▪ Beneficia</w:t>
            </w:r>
            <w:r w:rsidR="001A5284">
              <w:rPr>
                <w:rFonts w:ascii="Arial" w:hAnsi="Arial" w:cs="Arial"/>
                <w:sz w:val="18"/>
                <w:szCs w:val="18"/>
              </w:rPr>
              <w:t>rio</w:t>
            </w:r>
            <w:r>
              <w:rPr>
                <w:rFonts w:ascii="Arial" w:hAnsi="Arial" w:cs="Arial"/>
                <w:sz w:val="18"/>
                <w:szCs w:val="18"/>
              </w:rPr>
              <w:t>:</w:t>
            </w:r>
            <w:r w:rsidR="001A5284">
              <w:rPr>
                <w:rFonts w:ascii="Arial" w:hAnsi="Arial" w:cs="Arial"/>
                <w:sz w:val="18"/>
                <w:szCs w:val="18"/>
              </w:rPr>
              <w:t>f</w:t>
            </w:r>
          </w:p>
        </w:tc>
        <w:tc>
          <w:tcPr>
            <w:tcW w:w="4972" w:type="dxa"/>
          </w:tcPr>
          <w:p w14:paraId="478CE73E" w14:textId="77777777" w:rsidR="007352FD" w:rsidRPr="001B20CB" w:rsidRDefault="001B20CB">
            <w:pPr>
              <w:spacing w:before="40" w:after="40"/>
              <w:rPr>
                <w:lang w:val="es-419"/>
              </w:rPr>
            </w:pPr>
            <w:r w:rsidRPr="001B20CB">
              <w:rPr>
                <w:rFonts w:ascii="Arial" w:hAnsi="Arial" w:cs="Arial"/>
                <w:sz w:val="18"/>
                <w:szCs w:val="18"/>
                <w:lang w:val="es-419"/>
              </w:rPr>
              <w:t>Ministerio de Energía y Recursos Naturales No Renovables</w:t>
            </w:r>
          </w:p>
        </w:tc>
      </w:tr>
      <w:tr w:rsidR="007C1542" w:rsidRPr="007C1542" w14:paraId="07A1E1CD" w14:textId="77777777" w:rsidTr="00910F6A">
        <w:trPr>
          <w:jc w:val="center"/>
        </w:trPr>
        <w:tc>
          <w:tcPr>
            <w:tcW w:w="4048" w:type="dxa"/>
          </w:tcPr>
          <w:p w14:paraId="46F827FC" w14:textId="010E8512" w:rsidR="007352FD" w:rsidRDefault="001B20CB">
            <w:pPr>
              <w:spacing w:before="40" w:after="40"/>
              <w:ind w:left="115" w:hanging="115"/>
            </w:pPr>
            <w:r>
              <w:rPr>
                <w:rFonts w:ascii="Arial" w:hAnsi="Arial" w:cs="Arial"/>
                <w:sz w:val="18"/>
                <w:szCs w:val="18"/>
              </w:rPr>
              <w:t xml:space="preserve">▪ </w:t>
            </w:r>
            <w:r w:rsidR="001A5284">
              <w:rPr>
                <w:rFonts w:ascii="Arial" w:hAnsi="Arial" w:cs="Arial"/>
                <w:sz w:val="18"/>
                <w:szCs w:val="18"/>
              </w:rPr>
              <w:t xml:space="preserve">Agencia </w:t>
            </w:r>
            <w:r w:rsidR="007C1542">
              <w:rPr>
                <w:rFonts w:ascii="Arial" w:hAnsi="Arial" w:cs="Arial"/>
                <w:sz w:val="18"/>
                <w:szCs w:val="18"/>
              </w:rPr>
              <w:t>Ejecutora</w:t>
            </w:r>
            <w:r>
              <w:rPr>
                <w:rFonts w:ascii="Arial" w:hAnsi="Arial" w:cs="Arial"/>
                <w:sz w:val="18"/>
                <w:szCs w:val="18"/>
              </w:rPr>
              <w:t>:</w:t>
            </w:r>
          </w:p>
        </w:tc>
        <w:tc>
          <w:tcPr>
            <w:tcW w:w="4972" w:type="dxa"/>
          </w:tcPr>
          <w:p w14:paraId="3922D067" w14:textId="26C09841" w:rsidR="007352FD" w:rsidRPr="007C1542" w:rsidRDefault="007C1542" w:rsidP="007C1542">
            <w:pPr>
              <w:spacing w:before="40" w:after="40"/>
              <w:ind w:left="115" w:hanging="115"/>
              <w:rPr>
                <w:lang w:val="es-419"/>
              </w:rPr>
            </w:pPr>
            <w:r w:rsidRPr="00B166C5">
              <w:rPr>
                <w:rFonts w:ascii="Arial" w:hAnsi="Arial" w:cs="Arial"/>
                <w:sz w:val="18"/>
                <w:szCs w:val="18"/>
                <w:lang w:val="es-419"/>
              </w:rPr>
              <w:t>Banco Interamericano de Desarrollo (BID)</w:t>
            </w:r>
          </w:p>
        </w:tc>
      </w:tr>
      <w:tr w:rsidR="00B32311" w14:paraId="0F73C102" w14:textId="77777777" w:rsidTr="00910F6A">
        <w:trPr>
          <w:jc w:val="center"/>
        </w:trPr>
        <w:tc>
          <w:tcPr>
            <w:tcW w:w="4048" w:type="dxa"/>
          </w:tcPr>
          <w:p w14:paraId="68603BE7" w14:textId="106DF729" w:rsidR="007352FD" w:rsidRDefault="001B20CB">
            <w:pPr>
              <w:spacing w:before="40" w:after="40"/>
              <w:ind w:left="115" w:hanging="115"/>
            </w:pPr>
            <w:r>
              <w:rPr>
                <w:rFonts w:ascii="Arial" w:hAnsi="Arial" w:cs="Arial"/>
                <w:sz w:val="18"/>
                <w:szCs w:val="18"/>
              </w:rPr>
              <w:t xml:space="preserve">▪ </w:t>
            </w:r>
            <w:r w:rsidR="00B77D2F">
              <w:rPr>
                <w:rFonts w:ascii="Arial" w:hAnsi="Arial" w:cs="Arial"/>
                <w:sz w:val="18"/>
                <w:szCs w:val="18"/>
              </w:rPr>
              <w:t xml:space="preserve">Fondos </w:t>
            </w:r>
            <w:r w:rsidR="00EA733A">
              <w:rPr>
                <w:rFonts w:ascii="Arial" w:hAnsi="Arial" w:cs="Arial"/>
                <w:sz w:val="18"/>
                <w:szCs w:val="18"/>
              </w:rPr>
              <w:t>solicitados al BID</w:t>
            </w:r>
            <w:r>
              <w:rPr>
                <w:rFonts w:ascii="Arial" w:hAnsi="Arial" w:cs="Arial"/>
                <w:sz w:val="18"/>
                <w:szCs w:val="18"/>
              </w:rPr>
              <w:t>:</w:t>
            </w:r>
          </w:p>
        </w:tc>
        <w:tc>
          <w:tcPr>
            <w:tcW w:w="4972" w:type="dxa"/>
          </w:tcPr>
          <w:p w14:paraId="4EE7033B" w14:textId="77777777" w:rsidR="007352FD" w:rsidRDefault="001B20CB" w:rsidP="009824D5">
            <w:pPr>
              <w:bidi/>
              <w:spacing w:before="40" w:after="40"/>
              <w:jc w:val="right"/>
            </w:pPr>
            <w:r>
              <w:rPr>
                <w:rFonts w:ascii="Arial" w:hAnsi="Arial" w:cs="Arial"/>
                <w:sz w:val="18"/>
                <w:szCs w:val="18"/>
              </w:rPr>
              <w:t>US$200,000.00</w:t>
            </w:r>
          </w:p>
        </w:tc>
      </w:tr>
      <w:tr w:rsidR="00B32311" w14:paraId="31AE714D" w14:textId="77777777" w:rsidTr="00910F6A">
        <w:trPr>
          <w:jc w:val="center"/>
        </w:trPr>
        <w:tc>
          <w:tcPr>
            <w:tcW w:w="4048" w:type="dxa"/>
          </w:tcPr>
          <w:p w14:paraId="66C023A5" w14:textId="4796C89D" w:rsidR="007352FD" w:rsidRDefault="001B20CB">
            <w:pPr>
              <w:spacing w:before="40" w:after="40"/>
              <w:ind w:left="115" w:hanging="115"/>
            </w:pPr>
            <w:r>
              <w:rPr>
                <w:rFonts w:ascii="Arial" w:hAnsi="Arial" w:cs="Arial"/>
                <w:sz w:val="18"/>
                <w:szCs w:val="18"/>
              </w:rPr>
              <w:t xml:space="preserve">▪ </w:t>
            </w:r>
            <w:r w:rsidR="004125F4">
              <w:rPr>
                <w:rFonts w:ascii="Arial" w:hAnsi="Arial" w:cs="Arial"/>
                <w:sz w:val="18"/>
                <w:szCs w:val="18"/>
              </w:rPr>
              <w:t>Fondos de contrapartida local</w:t>
            </w:r>
            <w:r>
              <w:rPr>
                <w:rFonts w:ascii="Arial" w:hAnsi="Arial" w:cs="Arial"/>
                <w:sz w:val="18"/>
                <w:szCs w:val="18"/>
              </w:rPr>
              <w:t>:</w:t>
            </w:r>
          </w:p>
        </w:tc>
        <w:tc>
          <w:tcPr>
            <w:tcW w:w="4972" w:type="dxa"/>
          </w:tcPr>
          <w:p w14:paraId="74245A70" w14:textId="77777777" w:rsidR="007352FD" w:rsidRDefault="001B20CB" w:rsidP="004125F4">
            <w:pPr>
              <w:bidi/>
              <w:spacing w:before="40" w:after="40"/>
              <w:jc w:val="right"/>
            </w:pPr>
            <w:r>
              <w:rPr>
                <w:rFonts w:ascii="Arial" w:hAnsi="Arial" w:cs="Arial"/>
                <w:sz w:val="18"/>
                <w:szCs w:val="18"/>
              </w:rPr>
              <w:t>US$0.00</w:t>
            </w:r>
          </w:p>
        </w:tc>
      </w:tr>
      <w:tr w:rsidR="00B32311" w14:paraId="60A211FD" w14:textId="77777777" w:rsidTr="00910F6A">
        <w:trPr>
          <w:jc w:val="center"/>
        </w:trPr>
        <w:tc>
          <w:tcPr>
            <w:tcW w:w="4048" w:type="dxa"/>
          </w:tcPr>
          <w:p w14:paraId="0C3D5F22" w14:textId="0F0D0FBC" w:rsidR="007352FD" w:rsidRDefault="001B20CB">
            <w:pPr>
              <w:spacing w:before="40" w:after="40"/>
              <w:ind w:left="115" w:hanging="115"/>
            </w:pPr>
            <w:r>
              <w:rPr>
                <w:rFonts w:ascii="Arial" w:hAnsi="Arial" w:cs="Arial"/>
                <w:sz w:val="18"/>
                <w:szCs w:val="18"/>
              </w:rPr>
              <w:t xml:space="preserve">▪ </w:t>
            </w:r>
            <w:r w:rsidR="004125F4">
              <w:rPr>
                <w:rFonts w:ascii="Arial" w:hAnsi="Arial" w:cs="Arial"/>
                <w:sz w:val="18"/>
                <w:szCs w:val="18"/>
              </w:rPr>
              <w:t>Periodo de Desembolso</w:t>
            </w:r>
            <w:r>
              <w:rPr>
                <w:rFonts w:ascii="Arial" w:hAnsi="Arial" w:cs="Arial"/>
                <w:sz w:val="18"/>
                <w:szCs w:val="18"/>
              </w:rPr>
              <w:t>:</w:t>
            </w:r>
          </w:p>
        </w:tc>
        <w:tc>
          <w:tcPr>
            <w:tcW w:w="4972" w:type="dxa"/>
          </w:tcPr>
          <w:p w14:paraId="29774BC2" w14:textId="5EB6B742" w:rsidR="007352FD" w:rsidRDefault="001B20CB" w:rsidP="004125F4">
            <w:pPr>
              <w:bidi/>
              <w:spacing w:before="40" w:after="40"/>
              <w:jc w:val="right"/>
            </w:pPr>
            <w:r>
              <w:rPr>
                <w:rFonts w:ascii="Arial" w:hAnsi="Arial" w:cs="Arial"/>
                <w:sz w:val="18"/>
                <w:szCs w:val="18"/>
              </w:rPr>
              <w:t>24 m</w:t>
            </w:r>
            <w:r w:rsidR="004125F4">
              <w:rPr>
                <w:rFonts w:ascii="Arial" w:hAnsi="Arial" w:cs="Arial"/>
                <w:sz w:val="18"/>
                <w:szCs w:val="18"/>
              </w:rPr>
              <w:t>ese</w:t>
            </w:r>
            <w:r>
              <w:rPr>
                <w:rFonts w:ascii="Arial" w:hAnsi="Arial" w:cs="Arial"/>
                <w:sz w:val="18"/>
                <w:szCs w:val="18"/>
              </w:rPr>
              <w:t>s</w:t>
            </w:r>
          </w:p>
        </w:tc>
      </w:tr>
      <w:tr w:rsidR="00B32311" w14:paraId="103077A6" w14:textId="77777777" w:rsidTr="00910F6A">
        <w:trPr>
          <w:jc w:val="center"/>
        </w:trPr>
        <w:tc>
          <w:tcPr>
            <w:tcW w:w="4048" w:type="dxa"/>
          </w:tcPr>
          <w:p w14:paraId="4498FFCF" w14:textId="26783C06" w:rsidR="007352FD" w:rsidRDefault="001B20CB">
            <w:pPr>
              <w:spacing w:before="40" w:after="40"/>
              <w:ind w:left="115" w:hanging="115"/>
            </w:pPr>
            <w:r>
              <w:rPr>
                <w:rFonts w:ascii="Arial" w:hAnsi="Arial" w:cs="Arial"/>
                <w:sz w:val="18"/>
                <w:szCs w:val="18"/>
              </w:rPr>
              <w:t>▪ T</w:t>
            </w:r>
            <w:r w:rsidR="004910AC">
              <w:rPr>
                <w:rFonts w:ascii="Arial" w:hAnsi="Arial" w:cs="Arial"/>
                <w:sz w:val="18"/>
                <w:szCs w:val="18"/>
              </w:rPr>
              <w:t>ipo de Consultores</w:t>
            </w:r>
            <w:r>
              <w:rPr>
                <w:rFonts w:ascii="Arial" w:hAnsi="Arial" w:cs="Arial"/>
                <w:sz w:val="18"/>
                <w:szCs w:val="18"/>
              </w:rPr>
              <w:t>:</w:t>
            </w:r>
          </w:p>
        </w:tc>
        <w:tc>
          <w:tcPr>
            <w:tcW w:w="4972" w:type="dxa"/>
          </w:tcPr>
          <w:p w14:paraId="3C9A8D6E" w14:textId="50834BD8" w:rsidR="007352FD" w:rsidRDefault="001B20CB">
            <w:pPr>
              <w:spacing w:before="40" w:after="40"/>
            </w:pPr>
            <w:r>
              <w:rPr>
                <w:rFonts w:ascii="Arial" w:hAnsi="Arial" w:cs="Arial"/>
                <w:sz w:val="18"/>
                <w:szCs w:val="18"/>
              </w:rPr>
              <w:t>Firm</w:t>
            </w:r>
            <w:r w:rsidR="004910AC">
              <w:rPr>
                <w:rFonts w:ascii="Arial" w:hAnsi="Arial" w:cs="Arial"/>
                <w:sz w:val="18"/>
                <w:szCs w:val="18"/>
              </w:rPr>
              <w:t>a</w:t>
            </w:r>
            <w:r>
              <w:rPr>
                <w:rFonts w:ascii="Arial" w:hAnsi="Arial" w:cs="Arial"/>
                <w:sz w:val="18"/>
                <w:szCs w:val="18"/>
              </w:rPr>
              <w:t>s</w:t>
            </w:r>
            <w:r w:rsidR="004910AC">
              <w:rPr>
                <w:rFonts w:ascii="Arial" w:hAnsi="Arial" w:cs="Arial"/>
                <w:sz w:val="18"/>
                <w:szCs w:val="18"/>
              </w:rPr>
              <w:t xml:space="preserve"> Consultoras</w:t>
            </w:r>
          </w:p>
        </w:tc>
      </w:tr>
      <w:tr w:rsidR="00384544" w:rsidRPr="00384544" w14:paraId="6A8A5EF2" w14:textId="77777777" w:rsidTr="00910F6A">
        <w:trPr>
          <w:jc w:val="center"/>
        </w:trPr>
        <w:tc>
          <w:tcPr>
            <w:tcW w:w="4048" w:type="dxa"/>
          </w:tcPr>
          <w:p w14:paraId="2E6AE81C" w14:textId="0F850D80" w:rsidR="007352FD" w:rsidRDefault="001B20CB">
            <w:pPr>
              <w:spacing w:before="40" w:after="40"/>
              <w:ind w:left="115" w:hanging="115"/>
            </w:pPr>
            <w:r>
              <w:rPr>
                <w:rFonts w:ascii="Arial" w:hAnsi="Arial" w:cs="Arial"/>
                <w:sz w:val="18"/>
                <w:szCs w:val="18"/>
              </w:rPr>
              <w:t xml:space="preserve">▪ </w:t>
            </w:r>
            <w:r w:rsidR="006E40F7">
              <w:rPr>
                <w:rFonts w:ascii="Arial" w:hAnsi="Arial" w:cs="Arial"/>
                <w:sz w:val="18"/>
                <w:szCs w:val="18"/>
              </w:rPr>
              <w:t>Unidad de preparación</w:t>
            </w:r>
            <w:r>
              <w:rPr>
                <w:rFonts w:ascii="Arial" w:hAnsi="Arial" w:cs="Arial"/>
                <w:sz w:val="18"/>
                <w:szCs w:val="18"/>
              </w:rPr>
              <w:t>:</w:t>
            </w:r>
          </w:p>
        </w:tc>
        <w:tc>
          <w:tcPr>
            <w:tcW w:w="4972" w:type="dxa"/>
          </w:tcPr>
          <w:p w14:paraId="5657349D" w14:textId="3D817FF2" w:rsidR="007352FD" w:rsidRPr="00384544" w:rsidRDefault="001B20CB">
            <w:pPr>
              <w:spacing w:before="40" w:after="40"/>
              <w:rPr>
                <w:lang w:val="es-419"/>
              </w:rPr>
            </w:pPr>
            <w:r w:rsidRPr="00384544">
              <w:rPr>
                <w:rFonts w:ascii="Arial" w:hAnsi="Arial" w:cs="Arial"/>
                <w:sz w:val="18"/>
                <w:szCs w:val="18"/>
                <w:lang w:val="es-419"/>
              </w:rPr>
              <w:t xml:space="preserve">INE/ENE </w:t>
            </w:r>
            <w:r w:rsidR="00384544" w:rsidRPr="00384544">
              <w:rPr>
                <w:rFonts w:ascii="Arial" w:hAnsi="Arial" w:cs="Arial"/>
                <w:sz w:val="18"/>
                <w:szCs w:val="18"/>
                <w:lang w:val="es-419"/>
              </w:rPr>
              <w:t>–</w:t>
            </w:r>
            <w:r w:rsidRPr="00384544">
              <w:rPr>
                <w:rFonts w:ascii="Arial" w:hAnsi="Arial" w:cs="Arial"/>
                <w:sz w:val="18"/>
                <w:szCs w:val="18"/>
                <w:lang w:val="es-419"/>
              </w:rPr>
              <w:t xml:space="preserve"> </w:t>
            </w:r>
            <w:r w:rsidR="00384544" w:rsidRPr="00384544">
              <w:rPr>
                <w:rFonts w:ascii="Arial" w:hAnsi="Arial" w:cs="Arial"/>
                <w:sz w:val="18"/>
                <w:szCs w:val="18"/>
                <w:lang w:val="es-419"/>
              </w:rPr>
              <w:t>División de E</w:t>
            </w:r>
            <w:r w:rsidR="00384544">
              <w:rPr>
                <w:rFonts w:ascii="Arial" w:hAnsi="Arial" w:cs="Arial"/>
                <w:sz w:val="18"/>
                <w:szCs w:val="18"/>
                <w:lang w:val="es-419"/>
              </w:rPr>
              <w:t>nergía</w:t>
            </w:r>
          </w:p>
        </w:tc>
      </w:tr>
      <w:tr w:rsidR="00B32311" w:rsidRPr="0040285B" w14:paraId="310C9A8A" w14:textId="77777777" w:rsidTr="00910F6A">
        <w:trPr>
          <w:jc w:val="center"/>
        </w:trPr>
        <w:tc>
          <w:tcPr>
            <w:tcW w:w="4048" w:type="dxa"/>
          </w:tcPr>
          <w:p w14:paraId="59696A0A" w14:textId="3A70725C" w:rsidR="007352FD" w:rsidRDefault="001B20CB">
            <w:pPr>
              <w:spacing w:before="40" w:after="40"/>
              <w:ind w:left="115" w:hanging="115"/>
            </w:pPr>
            <w:r>
              <w:rPr>
                <w:rFonts w:ascii="Arial" w:hAnsi="Arial" w:cs="Arial"/>
                <w:sz w:val="18"/>
                <w:szCs w:val="18"/>
              </w:rPr>
              <w:t>▪ Uni</w:t>
            </w:r>
            <w:r w:rsidR="00B32311">
              <w:rPr>
                <w:rFonts w:ascii="Arial" w:hAnsi="Arial" w:cs="Arial"/>
                <w:sz w:val="18"/>
                <w:szCs w:val="18"/>
              </w:rPr>
              <w:t>dad</w:t>
            </w:r>
            <w:r>
              <w:rPr>
                <w:rFonts w:ascii="Arial" w:hAnsi="Arial" w:cs="Arial"/>
                <w:sz w:val="18"/>
                <w:szCs w:val="18"/>
              </w:rPr>
              <w:t xml:space="preserve"> </w:t>
            </w:r>
            <w:r w:rsidR="00B32311">
              <w:rPr>
                <w:rFonts w:ascii="Arial" w:hAnsi="Arial" w:cs="Arial"/>
                <w:sz w:val="18"/>
                <w:szCs w:val="18"/>
              </w:rPr>
              <w:t>Responsible de Desembolso (URD)</w:t>
            </w:r>
            <w:r>
              <w:rPr>
                <w:rFonts w:ascii="Arial" w:hAnsi="Arial" w:cs="Arial"/>
                <w:sz w:val="18"/>
                <w:szCs w:val="18"/>
              </w:rPr>
              <w:t>:</w:t>
            </w:r>
          </w:p>
        </w:tc>
        <w:tc>
          <w:tcPr>
            <w:tcW w:w="4972" w:type="dxa"/>
          </w:tcPr>
          <w:p w14:paraId="3C15F2B3" w14:textId="6415752F" w:rsidR="007352FD" w:rsidRPr="0040285B" w:rsidRDefault="001B20CB">
            <w:pPr>
              <w:spacing w:before="40" w:after="40"/>
              <w:rPr>
                <w:lang w:val="es-419"/>
              </w:rPr>
            </w:pPr>
            <w:r w:rsidRPr="0040285B">
              <w:rPr>
                <w:rFonts w:ascii="Arial" w:hAnsi="Arial" w:cs="Arial"/>
                <w:sz w:val="18"/>
                <w:szCs w:val="18"/>
                <w:lang w:val="es-419"/>
              </w:rPr>
              <w:t xml:space="preserve">CAN/CEC </w:t>
            </w:r>
            <w:r w:rsidR="00B32311" w:rsidRPr="0040285B">
              <w:rPr>
                <w:rFonts w:ascii="Arial" w:hAnsi="Arial" w:cs="Arial"/>
                <w:sz w:val="18"/>
                <w:szCs w:val="18"/>
                <w:lang w:val="es-419"/>
              </w:rPr>
              <w:t>–</w:t>
            </w:r>
            <w:r w:rsidRPr="0040285B">
              <w:rPr>
                <w:rFonts w:ascii="Arial" w:hAnsi="Arial" w:cs="Arial"/>
                <w:sz w:val="18"/>
                <w:szCs w:val="18"/>
                <w:lang w:val="es-419"/>
              </w:rPr>
              <w:t xml:space="preserve"> </w:t>
            </w:r>
            <w:r w:rsidR="00B32311" w:rsidRPr="0040285B">
              <w:rPr>
                <w:rFonts w:ascii="Arial" w:hAnsi="Arial" w:cs="Arial"/>
                <w:sz w:val="18"/>
                <w:szCs w:val="18"/>
                <w:lang w:val="es-419"/>
              </w:rPr>
              <w:t>Oficina País</w:t>
            </w:r>
            <w:r w:rsidR="0040285B" w:rsidRPr="0040285B">
              <w:rPr>
                <w:rFonts w:ascii="Arial" w:hAnsi="Arial" w:cs="Arial"/>
                <w:sz w:val="18"/>
                <w:szCs w:val="18"/>
                <w:lang w:val="es-419"/>
              </w:rPr>
              <w:t xml:space="preserve"> E</w:t>
            </w:r>
            <w:r w:rsidR="0040285B">
              <w:rPr>
                <w:rFonts w:ascii="Arial" w:hAnsi="Arial" w:cs="Arial"/>
                <w:sz w:val="18"/>
                <w:szCs w:val="18"/>
                <w:lang w:val="es-419"/>
              </w:rPr>
              <w:t>cuador</w:t>
            </w:r>
          </w:p>
        </w:tc>
      </w:tr>
      <w:tr w:rsidR="00B32311" w14:paraId="03DEF7E0" w14:textId="77777777" w:rsidTr="00910F6A">
        <w:trPr>
          <w:jc w:val="center"/>
        </w:trPr>
        <w:tc>
          <w:tcPr>
            <w:tcW w:w="4048" w:type="dxa"/>
          </w:tcPr>
          <w:p w14:paraId="4B916DFC" w14:textId="70AB82AE" w:rsidR="007352FD" w:rsidRPr="00741C3F" w:rsidRDefault="001B20CB">
            <w:pPr>
              <w:spacing w:before="40" w:after="40"/>
              <w:rPr>
                <w:lang w:val="es-419"/>
              </w:rPr>
            </w:pPr>
            <w:r w:rsidRPr="00741C3F">
              <w:rPr>
                <w:rFonts w:ascii="Arial" w:hAnsi="Arial" w:cs="Arial"/>
                <w:sz w:val="18"/>
                <w:szCs w:val="18"/>
                <w:lang w:val="es-419"/>
              </w:rPr>
              <w:t>▪ C</w:t>
            </w:r>
            <w:r w:rsidR="002E2A81" w:rsidRPr="00741C3F">
              <w:rPr>
                <w:rFonts w:ascii="Arial" w:hAnsi="Arial" w:cs="Arial"/>
                <w:sz w:val="18"/>
                <w:szCs w:val="18"/>
                <w:lang w:val="es-419"/>
              </w:rPr>
              <w:t>T</w:t>
            </w:r>
            <w:r w:rsidRPr="00741C3F">
              <w:rPr>
                <w:rFonts w:ascii="Arial" w:hAnsi="Arial" w:cs="Arial"/>
                <w:sz w:val="18"/>
                <w:szCs w:val="18"/>
                <w:lang w:val="es-419"/>
              </w:rPr>
              <w:t xml:space="preserve"> inclu</w:t>
            </w:r>
            <w:r w:rsidR="00625D65" w:rsidRPr="00741C3F">
              <w:rPr>
                <w:rFonts w:ascii="Arial" w:hAnsi="Arial" w:cs="Arial"/>
                <w:sz w:val="18"/>
                <w:szCs w:val="18"/>
                <w:lang w:val="es-419"/>
              </w:rPr>
              <w:t>ida</w:t>
            </w:r>
            <w:r w:rsidRPr="00741C3F">
              <w:rPr>
                <w:rFonts w:ascii="Arial" w:hAnsi="Arial" w:cs="Arial"/>
                <w:sz w:val="18"/>
                <w:szCs w:val="18"/>
                <w:lang w:val="es-419"/>
              </w:rPr>
              <w:t xml:space="preserve"> </w:t>
            </w:r>
            <w:r w:rsidR="00625D65" w:rsidRPr="00741C3F">
              <w:rPr>
                <w:rFonts w:ascii="Arial" w:hAnsi="Arial" w:cs="Arial"/>
                <w:sz w:val="18"/>
                <w:szCs w:val="18"/>
                <w:lang w:val="es-419"/>
              </w:rPr>
              <w:t>e</w:t>
            </w:r>
            <w:r w:rsidRPr="00741C3F">
              <w:rPr>
                <w:rFonts w:ascii="Arial" w:hAnsi="Arial" w:cs="Arial"/>
                <w:sz w:val="18"/>
                <w:szCs w:val="18"/>
                <w:lang w:val="es-419"/>
              </w:rPr>
              <w:t xml:space="preserve">n </w:t>
            </w:r>
            <w:r w:rsidR="00625D65" w:rsidRPr="00741C3F">
              <w:rPr>
                <w:rFonts w:ascii="Arial" w:hAnsi="Arial" w:cs="Arial"/>
                <w:sz w:val="18"/>
                <w:szCs w:val="18"/>
                <w:lang w:val="es-419"/>
              </w:rPr>
              <w:t>la Estrategia País</w:t>
            </w:r>
            <w:r w:rsidRPr="00741C3F">
              <w:rPr>
                <w:rFonts w:ascii="Arial" w:hAnsi="Arial" w:cs="Arial"/>
                <w:sz w:val="18"/>
                <w:szCs w:val="18"/>
                <w:lang w:val="es-419"/>
              </w:rPr>
              <w:t xml:space="preserve"> (</w:t>
            </w:r>
            <w:r w:rsidR="00625D65" w:rsidRPr="00741C3F">
              <w:rPr>
                <w:rFonts w:ascii="Arial" w:hAnsi="Arial" w:cs="Arial"/>
                <w:sz w:val="18"/>
                <w:szCs w:val="18"/>
                <w:lang w:val="es-419"/>
              </w:rPr>
              <w:t>s</w:t>
            </w:r>
            <w:r w:rsidRPr="00741C3F">
              <w:rPr>
                <w:rFonts w:ascii="Arial" w:hAnsi="Arial" w:cs="Arial"/>
                <w:sz w:val="18"/>
                <w:szCs w:val="18"/>
                <w:lang w:val="es-419"/>
              </w:rPr>
              <w:t>/n):</w:t>
            </w:r>
            <w:r w:rsidRPr="00741C3F">
              <w:rPr>
                <w:rFonts w:ascii="Arial" w:hAnsi="Arial" w:cs="Arial"/>
                <w:sz w:val="18"/>
                <w:szCs w:val="18"/>
                <w:lang w:val="es-419"/>
              </w:rPr>
              <w:br/>
              <w:t>▪ C</w:t>
            </w:r>
            <w:r w:rsidR="00741C3F">
              <w:rPr>
                <w:rFonts w:ascii="Arial" w:hAnsi="Arial" w:cs="Arial"/>
                <w:sz w:val="18"/>
                <w:szCs w:val="18"/>
                <w:lang w:val="es-419"/>
              </w:rPr>
              <w:t>T</w:t>
            </w:r>
            <w:r w:rsidRPr="00741C3F">
              <w:rPr>
                <w:rFonts w:ascii="Arial" w:hAnsi="Arial" w:cs="Arial"/>
                <w:sz w:val="18"/>
                <w:szCs w:val="18"/>
                <w:lang w:val="es-419"/>
              </w:rPr>
              <w:t xml:space="preserve"> inclu</w:t>
            </w:r>
            <w:r w:rsidR="00741C3F">
              <w:rPr>
                <w:rFonts w:ascii="Arial" w:hAnsi="Arial" w:cs="Arial"/>
                <w:sz w:val="18"/>
                <w:szCs w:val="18"/>
                <w:lang w:val="es-419"/>
              </w:rPr>
              <w:t>ida</w:t>
            </w:r>
            <w:r w:rsidRPr="00741C3F">
              <w:rPr>
                <w:rFonts w:ascii="Arial" w:hAnsi="Arial" w:cs="Arial"/>
                <w:sz w:val="18"/>
                <w:szCs w:val="18"/>
                <w:lang w:val="es-419"/>
              </w:rPr>
              <w:t xml:space="preserve"> </w:t>
            </w:r>
            <w:r w:rsidR="00741C3F">
              <w:rPr>
                <w:rFonts w:ascii="Arial" w:hAnsi="Arial" w:cs="Arial"/>
                <w:sz w:val="18"/>
                <w:szCs w:val="18"/>
                <w:lang w:val="es-419"/>
              </w:rPr>
              <w:t>e</w:t>
            </w:r>
            <w:r w:rsidRPr="00741C3F">
              <w:rPr>
                <w:rFonts w:ascii="Arial" w:hAnsi="Arial" w:cs="Arial"/>
                <w:sz w:val="18"/>
                <w:szCs w:val="18"/>
                <w:lang w:val="es-419"/>
              </w:rPr>
              <w:t xml:space="preserve">n </w:t>
            </w:r>
            <w:r w:rsidR="00910F6A">
              <w:rPr>
                <w:rFonts w:ascii="Arial" w:hAnsi="Arial" w:cs="Arial"/>
                <w:sz w:val="18"/>
                <w:szCs w:val="18"/>
                <w:lang w:val="es-419"/>
              </w:rPr>
              <w:t>el</w:t>
            </w:r>
            <w:r w:rsidR="00741C3F">
              <w:rPr>
                <w:rFonts w:ascii="Arial" w:hAnsi="Arial" w:cs="Arial"/>
                <w:sz w:val="18"/>
                <w:szCs w:val="18"/>
                <w:lang w:val="es-419"/>
              </w:rPr>
              <w:t xml:space="preserve"> </w:t>
            </w:r>
            <w:r w:rsidRPr="00741C3F">
              <w:rPr>
                <w:rFonts w:ascii="Arial" w:hAnsi="Arial" w:cs="Arial"/>
                <w:sz w:val="18"/>
                <w:szCs w:val="18"/>
                <w:lang w:val="es-419"/>
              </w:rPr>
              <w:t>CPD (</w:t>
            </w:r>
            <w:r w:rsidR="00910F6A">
              <w:rPr>
                <w:rFonts w:ascii="Arial" w:hAnsi="Arial" w:cs="Arial"/>
                <w:sz w:val="18"/>
                <w:szCs w:val="18"/>
                <w:lang w:val="es-419"/>
              </w:rPr>
              <w:t>s</w:t>
            </w:r>
            <w:r w:rsidRPr="00741C3F">
              <w:rPr>
                <w:rFonts w:ascii="Arial" w:hAnsi="Arial" w:cs="Arial"/>
                <w:sz w:val="18"/>
                <w:szCs w:val="18"/>
                <w:lang w:val="es-419"/>
              </w:rPr>
              <w:t>/n):</w:t>
            </w:r>
          </w:p>
        </w:tc>
        <w:tc>
          <w:tcPr>
            <w:tcW w:w="4972" w:type="dxa"/>
          </w:tcPr>
          <w:p w14:paraId="25352BD3" w14:textId="35C904B2" w:rsidR="007352FD" w:rsidRPr="00741C3F" w:rsidRDefault="00741C3F">
            <w:pPr>
              <w:spacing w:before="40" w:after="40"/>
              <w:rPr>
                <w:rFonts w:ascii="Arial" w:hAnsi="Arial" w:cs="Arial"/>
                <w:sz w:val="18"/>
                <w:szCs w:val="18"/>
              </w:rPr>
            </w:pPr>
            <w:r>
              <w:rPr>
                <w:rFonts w:ascii="Arial" w:hAnsi="Arial" w:cs="Arial"/>
                <w:sz w:val="18"/>
                <w:szCs w:val="18"/>
              </w:rPr>
              <w:t>Sí</w:t>
            </w:r>
            <w:r w:rsidR="001B20CB">
              <w:rPr>
                <w:rFonts w:ascii="Arial" w:hAnsi="Arial" w:cs="Arial"/>
                <w:sz w:val="18"/>
                <w:szCs w:val="18"/>
              </w:rPr>
              <w:br/>
            </w:r>
            <w:r w:rsidRPr="00741C3F">
              <w:rPr>
                <w:rFonts w:ascii="Arial" w:hAnsi="Arial" w:cs="Arial"/>
                <w:sz w:val="18"/>
                <w:szCs w:val="18"/>
              </w:rPr>
              <w:t>Sí</w:t>
            </w:r>
          </w:p>
        </w:tc>
      </w:tr>
      <w:tr w:rsidR="00B32311" w:rsidRPr="001C72B4" w14:paraId="08F0EB7F" w14:textId="77777777" w:rsidTr="00910F6A">
        <w:trPr>
          <w:jc w:val="center"/>
        </w:trPr>
        <w:tc>
          <w:tcPr>
            <w:tcW w:w="4048" w:type="dxa"/>
          </w:tcPr>
          <w:p w14:paraId="1BD80506" w14:textId="2914CC40" w:rsidR="007352FD" w:rsidRPr="00910F6A" w:rsidRDefault="001B20CB">
            <w:pPr>
              <w:spacing w:before="40" w:after="40"/>
              <w:ind w:left="115" w:hanging="115"/>
              <w:rPr>
                <w:lang w:val="es-419"/>
              </w:rPr>
            </w:pPr>
            <w:r w:rsidRPr="00910F6A">
              <w:rPr>
                <w:rFonts w:ascii="Arial" w:hAnsi="Arial" w:cs="Arial"/>
                <w:sz w:val="18"/>
                <w:szCs w:val="18"/>
                <w:lang w:val="es-419"/>
              </w:rPr>
              <w:t>▪ Ali</w:t>
            </w:r>
            <w:r w:rsidR="00910F6A" w:rsidRPr="00910F6A">
              <w:rPr>
                <w:rFonts w:ascii="Arial" w:hAnsi="Arial" w:cs="Arial"/>
                <w:sz w:val="18"/>
                <w:szCs w:val="18"/>
                <w:lang w:val="es-419"/>
              </w:rPr>
              <w:t>neamiento</w:t>
            </w:r>
            <w:r w:rsidRPr="00910F6A">
              <w:rPr>
                <w:rFonts w:ascii="Arial" w:hAnsi="Arial" w:cs="Arial"/>
                <w:sz w:val="18"/>
                <w:szCs w:val="18"/>
                <w:lang w:val="es-419"/>
              </w:rPr>
              <w:t xml:space="preserve"> </w:t>
            </w:r>
            <w:r w:rsidR="00910F6A" w:rsidRPr="00910F6A">
              <w:rPr>
                <w:rFonts w:ascii="Arial" w:hAnsi="Arial" w:cs="Arial"/>
                <w:sz w:val="18"/>
                <w:szCs w:val="18"/>
                <w:lang w:val="es-419"/>
              </w:rPr>
              <w:t>a la actualización de la Estrategia Ins</w:t>
            </w:r>
            <w:r w:rsidR="00910F6A">
              <w:rPr>
                <w:rFonts w:ascii="Arial" w:hAnsi="Arial" w:cs="Arial"/>
                <w:sz w:val="18"/>
                <w:szCs w:val="18"/>
                <w:lang w:val="es-419"/>
              </w:rPr>
              <w:t>titucional</w:t>
            </w:r>
            <w:r w:rsidRPr="00910F6A">
              <w:rPr>
                <w:rFonts w:ascii="Arial" w:hAnsi="Arial" w:cs="Arial"/>
                <w:sz w:val="18"/>
                <w:szCs w:val="18"/>
                <w:lang w:val="es-419"/>
              </w:rPr>
              <w:t xml:space="preserve"> 2010-2020:</w:t>
            </w:r>
          </w:p>
        </w:tc>
        <w:tc>
          <w:tcPr>
            <w:tcW w:w="4972" w:type="dxa"/>
          </w:tcPr>
          <w:p w14:paraId="494576F2" w14:textId="2BF3C038" w:rsidR="007352FD" w:rsidRPr="001C72B4" w:rsidRDefault="001B20CB">
            <w:pPr>
              <w:spacing w:before="40" w:after="40"/>
              <w:rPr>
                <w:lang w:val="es-419"/>
              </w:rPr>
            </w:pPr>
            <w:r w:rsidRPr="001C72B4">
              <w:rPr>
                <w:rFonts w:ascii="Arial" w:hAnsi="Arial" w:cs="Arial"/>
                <w:sz w:val="18"/>
                <w:szCs w:val="18"/>
                <w:lang w:val="es-419"/>
              </w:rPr>
              <w:t>Product</w:t>
            </w:r>
            <w:r w:rsidR="00F22AE9" w:rsidRPr="001C72B4">
              <w:rPr>
                <w:rFonts w:ascii="Arial" w:hAnsi="Arial" w:cs="Arial"/>
                <w:sz w:val="18"/>
                <w:szCs w:val="18"/>
                <w:lang w:val="es-419"/>
              </w:rPr>
              <w:t>ividad e Innovación</w:t>
            </w:r>
            <w:r w:rsidRPr="001C72B4">
              <w:rPr>
                <w:rFonts w:ascii="Arial" w:hAnsi="Arial" w:cs="Arial"/>
                <w:sz w:val="18"/>
                <w:szCs w:val="18"/>
                <w:lang w:val="es-419"/>
              </w:rPr>
              <w:t>;</w:t>
            </w:r>
            <w:r w:rsidR="00F22AE9" w:rsidRPr="001C72B4">
              <w:rPr>
                <w:rFonts w:ascii="Arial" w:hAnsi="Arial" w:cs="Arial"/>
                <w:sz w:val="18"/>
                <w:szCs w:val="18"/>
                <w:lang w:val="es-419"/>
              </w:rPr>
              <w:t xml:space="preserve"> Integración Económica</w:t>
            </w:r>
          </w:p>
        </w:tc>
      </w:tr>
    </w:tbl>
    <w:p w14:paraId="34A5EF31" w14:textId="57FCFA47" w:rsidR="007352FD" w:rsidRPr="00024592" w:rsidRDefault="001B20CB" w:rsidP="001C72B4">
      <w:pPr>
        <w:spacing w:before="240" w:after="120"/>
        <w:ind w:left="576" w:hanging="576"/>
        <w:rPr>
          <w:lang w:val="es-419"/>
        </w:rPr>
      </w:pPr>
      <w:r w:rsidRPr="00024592">
        <w:rPr>
          <w:rFonts w:ascii="Arial" w:hAnsi="Arial" w:cs="Arial"/>
          <w:b/>
          <w:lang w:val="es-419"/>
        </w:rPr>
        <w:t>II.</w:t>
      </w:r>
      <w:r w:rsidRPr="00024592">
        <w:rPr>
          <w:rFonts w:ascii="Arial" w:hAnsi="Arial" w:cs="Arial"/>
          <w:b/>
          <w:lang w:val="es-419"/>
        </w:rPr>
        <w:tab/>
        <w:t>Obje</w:t>
      </w:r>
      <w:r w:rsidR="001C72B4" w:rsidRPr="00024592">
        <w:rPr>
          <w:rFonts w:ascii="Arial" w:hAnsi="Arial" w:cs="Arial"/>
          <w:b/>
          <w:lang w:val="es-419"/>
        </w:rPr>
        <w:t>tivo y</w:t>
      </w:r>
      <w:r w:rsidRPr="00024592">
        <w:rPr>
          <w:rFonts w:ascii="Arial" w:hAnsi="Arial" w:cs="Arial"/>
          <w:b/>
          <w:lang w:val="es-419"/>
        </w:rPr>
        <w:t xml:space="preserve"> Just</w:t>
      </w:r>
      <w:r w:rsidR="001C72B4" w:rsidRPr="00024592">
        <w:rPr>
          <w:rFonts w:ascii="Arial" w:hAnsi="Arial" w:cs="Arial"/>
          <w:b/>
          <w:lang w:val="es-419"/>
        </w:rPr>
        <w:t>ificación</w:t>
      </w:r>
    </w:p>
    <w:p w14:paraId="5CD60BFB" w14:textId="633700FC" w:rsidR="007352FD" w:rsidRPr="00024592" w:rsidRDefault="001B20CB">
      <w:pPr>
        <w:spacing w:before="120" w:after="120"/>
        <w:ind w:left="579" w:hanging="579"/>
        <w:jc w:val="both"/>
        <w:rPr>
          <w:lang w:val="es-419"/>
        </w:rPr>
      </w:pPr>
      <w:r w:rsidRPr="00024592">
        <w:rPr>
          <w:rFonts w:ascii="Arial" w:hAnsi="Arial" w:cs="Arial"/>
          <w:lang w:val="es-419"/>
        </w:rPr>
        <w:t>2.1</w:t>
      </w:r>
      <w:r w:rsidRPr="00024592">
        <w:rPr>
          <w:rFonts w:ascii="Arial" w:hAnsi="Arial" w:cs="Arial"/>
          <w:lang w:val="es-419"/>
        </w:rPr>
        <w:tab/>
      </w:r>
      <w:r w:rsidR="00024592" w:rsidRPr="00024592">
        <w:rPr>
          <w:rFonts w:ascii="Arial" w:hAnsi="Arial" w:cs="Arial"/>
          <w:lang w:val="es-419"/>
        </w:rPr>
        <w:t>Apoyar a las Empresas Eléctricas de Distribución (EED) en el levantamiento de catastros de los consumidores, la interconexión entre distribuidores, la automatización de los subcircuitos; y, fortalecer los procesos comerciales y operativos en grandes clientes, mediante la introducción de la tecnología digital.</w:t>
      </w:r>
    </w:p>
    <w:p w14:paraId="1A968C94" w14:textId="77777777" w:rsidR="007352FD" w:rsidRPr="001B20CB" w:rsidRDefault="001B20CB">
      <w:pPr>
        <w:spacing w:before="120" w:after="120"/>
        <w:ind w:left="579" w:hanging="579"/>
        <w:jc w:val="both"/>
        <w:rPr>
          <w:lang w:val="es-419"/>
        </w:rPr>
      </w:pPr>
      <w:r w:rsidRPr="001B20CB">
        <w:rPr>
          <w:rFonts w:ascii="Arial" w:hAnsi="Arial" w:cs="Arial"/>
          <w:lang w:val="es-419"/>
        </w:rPr>
        <w:t>2.2</w:t>
      </w:r>
      <w:r w:rsidRPr="001B20CB">
        <w:rPr>
          <w:rFonts w:ascii="Arial" w:hAnsi="Arial" w:cs="Arial"/>
          <w:lang w:val="es-419"/>
        </w:rPr>
        <w:tab/>
        <w:t>Las inversiones del Gobierno de la República del Ecuador (GdE) en el sector, que durante la última década, ha permitido elevar estándares de operación y prestación de servicio, y fortalecer la gestión de las Unidades de Negocio (UN) adscritas al Ministerio de Energía y Recursos Naturales no Renovables (MERNNR), mejoraron sustancialmente los siguientes índices representativos de la gestión técnica, comercial y social entre 2007 y 2018: (i) reducción de pérdidas eléctricas totales, de 21,42% a 11,40 %; (ii) aumento de la cobertura eléctrica, de 93,35% a 97,05%; y, (iii) mejora de la calidad de servicio, medido en Frecuencia Media de Interrupciones por kVA instalado, de 15,2 fallas/año en 2012 a 7,60 fallas/año en 2018 y Tiempo Total de Interrupciones por kVA instalado, de 16,69 horas/año a 10,09 horas/año en el mismo período.</w:t>
      </w:r>
    </w:p>
    <w:p w14:paraId="1C9BCEED" w14:textId="77777777" w:rsidR="007352FD" w:rsidRPr="001B20CB" w:rsidRDefault="001B20CB">
      <w:pPr>
        <w:spacing w:before="120" w:after="120"/>
        <w:ind w:left="579" w:hanging="579"/>
        <w:jc w:val="both"/>
        <w:rPr>
          <w:lang w:val="es-419"/>
        </w:rPr>
      </w:pPr>
      <w:r w:rsidRPr="001B20CB">
        <w:rPr>
          <w:rFonts w:ascii="Arial" w:hAnsi="Arial" w:cs="Arial"/>
          <w:lang w:val="es-419"/>
        </w:rPr>
        <w:t>2.3</w:t>
      </w:r>
      <w:r w:rsidRPr="001B20CB">
        <w:rPr>
          <w:rFonts w:ascii="Arial" w:hAnsi="Arial" w:cs="Arial"/>
          <w:lang w:val="es-419"/>
        </w:rPr>
        <w:tab/>
        <w:t xml:space="preserve">Además del fortalecimiento y expansión de la infraestructura que permita cubrir la demanda, es necesaria la renovación de instalaciones que han cumplido o están por cumplir su vida útil. Con el crecimiento de la demanda que alcanzó el 4% en promedio durante los últimos 10 años, los niveles de cargabilidad de estas instalaciones se han excedido o se excederán pronto. Del mismo modo, la operación del Sistema de distribución ha experimentado problemas como el aumento en la cargabilidad de algunas líneas de subtransmisión, alimentadores de media tensión, transformadores de </w:t>
      </w:r>
      <w:r w:rsidRPr="001B20CB">
        <w:rPr>
          <w:rFonts w:ascii="Arial" w:hAnsi="Arial" w:cs="Arial"/>
          <w:lang w:val="es-419"/>
        </w:rPr>
        <w:lastRenderedPageBreak/>
        <w:t>distribución. Por otro lado, la desactualización de las bases de datos de los clientes afecta, tanto la calidad del servicio, como los niveles de pérdidas eléctricas. Estos factores ponen en riesgo la seguridad y confiabilidad operativa del sistema, lo cual repercute en toda la cadena de suministro, desde la transmisión hasta la distribución hacia el usuario final.</w:t>
      </w:r>
    </w:p>
    <w:p w14:paraId="205E26AD" w14:textId="77777777" w:rsidR="007352FD" w:rsidRPr="001B20CB" w:rsidRDefault="001B20CB">
      <w:pPr>
        <w:spacing w:before="120" w:after="120"/>
        <w:ind w:left="579" w:hanging="579"/>
        <w:jc w:val="both"/>
        <w:rPr>
          <w:lang w:val="es-419"/>
        </w:rPr>
      </w:pPr>
      <w:r w:rsidRPr="001B20CB">
        <w:rPr>
          <w:rFonts w:ascii="Arial" w:hAnsi="Arial" w:cs="Arial"/>
          <w:lang w:val="es-419"/>
        </w:rPr>
        <w:t>2.4</w:t>
      </w:r>
      <w:r w:rsidRPr="001B20CB">
        <w:rPr>
          <w:rFonts w:ascii="Arial" w:hAnsi="Arial" w:cs="Arial"/>
          <w:lang w:val="es-419"/>
        </w:rPr>
        <w:tab/>
        <w:t>La nueva capacidad de generación ha permitido a Ecuador avanzar en el fortalecimiento de la infraestructura del sistema de subtransmisión y distribución, lo que apuntaló el crecimiento promedio anual de clientes del 4 % desde el año 2009 al 2018. Ciertamente, es necesario continuar con la expansión y refuerzo de la infraestructura del sistema de subtransmisión y distribución, para acompañar el aumento esperado de la demanda de los próximos diez años. El plan Maestro de Electricidad, corroborado con las Estadísticas apoyadas anualmente por el Banco, estima un crecimiento promedio anual en demanda de 6,66% en potencia y 7,13% en energía. Por consiguiente, esta mayor oferta de energía exigirá el reemplazo de la infraestructura existente, sobre todo en los casos en donde las capacidades de diseño han sido excedidas.</w:t>
      </w:r>
    </w:p>
    <w:p w14:paraId="56FE86C0" w14:textId="77777777" w:rsidR="007352FD" w:rsidRPr="001B20CB" w:rsidRDefault="001B20CB">
      <w:pPr>
        <w:spacing w:before="120" w:after="120"/>
        <w:ind w:left="579" w:hanging="579"/>
        <w:jc w:val="both"/>
        <w:rPr>
          <w:lang w:val="es-419"/>
        </w:rPr>
      </w:pPr>
      <w:r w:rsidRPr="001B20CB">
        <w:rPr>
          <w:rFonts w:ascii="Arial" w:hAnsi="Arial" w:cs="Arial"/>
          <w:lang w:val="es-419"/>
        </w:rPr>
        <w:t>2.5</w:t>
      </w:r>
      <w:r w:rsidRPr="001B20CB">
        <w:rPr>
          <w:rFonts w:ascii="Arial" w:hAnsi="Arial" w:cs="Arial"/>
          <w:lang w:val="es-419"/>
        </w:rPr>
        <w:tab/>
        <w:t xml:space="preserve"> Para continuar con la modernización y automatización de los sistemas de subtransmisión y distribución se identificaron la necesidad de realizar consultorías a través de esta cooperación técnica que permita evaluar la viabilidad de la ejecución de las siguientes inversiones: (i) Actualización de los catastros comerciales y base de datos de los clientes de las Empresas Eléctricas de Distribución y Unidades de Negocio; (ii) Interconexión entre sistemas radiales de subtransmisión nivel 69 kV de las Empresas eléctricas de Distribución y Unidades de Negocios; (iii) Automatización en la operación y control de los ramales de alimentadores de media tensión que dan servicio a cargas especiales; (iv) Implementación de un sistema de medición inteligente para transformadores de distribución que dan servicio a cargas especiales.</w:t>
      </w:r>
    </w:p>
    <w:p w14:paraId="7D844DA9" w14:textId="2621429A" w:rsidR="007352FD" w:rsidRPr="004C56AC" w:rsidRDefault="001B20CB">
      <w:pPr>
        <w:spacing w:before="120" w:after="120"/>
        <w:ind w:left="579" w:hanging="579"/>
        <w:rPr>
          <w:lang w:val="es-419"/>
        </w:rPr>
      </w:pPr>
      <w:r w:rsidRPr="004C56AC">
        <w:rPr>
          <w:rFonts w:ascii="Arial" w:hAnsi="Arial" w:cs="Arial"/>
          <w:b/>
          <w:lang w:val="es-419"/>
        </w:rPr>
        <w:t>III.</w:t>
      </w:r>
      <w:r w:rsidRPr="004C56AC">
        <w:rPr>
          <w:rFonts w:ascii="Arial" w:hAnsi="Arial" w:cs="Arial"/>
          <w:b/>
          <w:lang w:val="es-419"/>
        </w:rPr>
        <w:tab/>
        <w:t>Descri</w:t>
      </w:r>
      <w:r w:rsidR="004C56AC" w:rsidRPr="004C56AC">
        <w:rPr>
          <w:rFonts w:ascii="Arial" w:hAnsi="Arial" w:cs="Arial"/>
          <w:b/>
          <w:lang w:val="es-419"/>
        </w:rPr>
        <w:t>p</w:t>
      </w:r>
      <w:r w:rsidR="004C56AC">
        <w:rPr>
          <w:rFonts w:ascii="Arial" w:hAnsi="Arial" w:cs="Arial"/>
          <w:b/>
          <w:lang w:val="es-419"/>
        </w:rPr>
        <w:t>ción de Actividades y Componentes</w:t>
      </w:r>
    </w:p>
    <w:p w14:paraId="57A44B66" w14:textId="4A42F05D" w:rsidR="007352FD" w:rsidRPr="001B20CB" w:rsidRDefault="001B20CB">
      <w:pPr>
        <w:spacing w:before="120" w:after="120"/>
        <w:ind w:left="579" w:hanging="579"/>
        <w:jc w:val="both"/>
        <w:rPr>
          <w:lang w:val="es-419"/>
        </w:rPr>
      </w:pPr>
      <w:r w:rsidRPr="001B20CB">
        <w:rPr>
          <w:rFonts w:ascii="Arial" w:hAnsi="Arial" w:cs="Arial"/>
          <w:lang w:val="es-419"/>
        </w:rPr>
        <w:t>3.1</w:t>
      </w:r>
      <w:r w:rsidRPr="001B20CB">
        <w:rPr>
          <w:rFonts w:ascii="Arial" w:hAnsi="Arial" w:cs="Arial"/>
          <w:lang w:val="es-419"/>
        </w:rPr>
        <w:tab/>
      </w:r>
      <w:r w:rsidRPr="001B20CB">
        <w:rPr>
          <w:rFonts w:ascii="Arial" w:hAnsi="Arial" w:cs="Arial"/>
          <w:b/>
          <w:lang w:val="es-419"/>
        </w:rPr>
        <w:t>Component</w:t>
      </w:r>
      <w:r w:rsidR="004C56AC">
        <w:rPr>
          <w:rFonts w:ascii="Arial" w:hAnsi="Arial" w:cs="Arial"/>
          <w:b/>
          <w:lang w:val="es-419"/>
        </w:rPr>
        <w:t>e</w:t>
      </w:r>
      <w:r w:rsidRPr="001B20CB">
        <w:rPr>
          <w:rFonts w:ascii="Arial" w:hAnsi="Arial" w:cs="Arial"/>
          <w:b/>
          <w:lang w:val="es-419"/>
        </w:rPr>
        <w:t xml:space="preserve"> I: Actualización de los catastros comerciales y base datos de los clientes de las Empresas Eléctricas de Distribución y Unidades de Negocio. </w:t>
      </w:r>
      <w:r w:rsidRPr="001B20CB">
        <w:rPr>
          <w:rFonts w:ascii="Arial" w:hAnsi="Arial" w:cs="Arial"/>
          <w:lang w:val="es-419"/>
        </w:rPr>
        <w:t>Este componente busca contar con: (i) Información actualizada de los catastros de las Empresas de Distribución y Unidades de Negocio; (II) Base de datos depurada y actualizada, la cual permita identificar los clientes inactivos y de consumos ceros; y, (iii)</w:t>
      </w:r>
      <w:r w:rsidR="004C56AC">
        <w:rPr>
          <w:rFonts w:ascii="Arial" w:hAnsi="Arial" w:cs="Arial"/>
          <w:lang w:val="es-419"/>
        </w:rPr>
        <w:t> </w:t>
      </w:r>
      <w:r w:rsidRPr="001B20CB">
        <w:rPr>
          <w:rFonts w:ascii="Arial" w:hAnsi="Arial" w:cs="Arial"/>
          <w:lang w:val="es-419"/>
        </w:rPr>
        <w:t>Procedimientos administrativos y técnicos de actualización de la información catastral.</w:t>
      </w:r>
    </w:p>
    <w:p w14:paraId="54ED5D66" w14:textId="4EF20F55" w:rsidR="007352FD" w:rsidRPr="001B20CB" w:rsidRDefault="001B20CB">
      <w:pPr>
        <w:spacing w:before="120" w:after="120"/>
        <w:ind w:left="579" w:hanging="579"/>
        <w:jc w:val="both"/>
        <w:rPr>
          <w:lang w:val="es-419"/>
        </w:rPr>
      </w:pPr>
      <w:r w:rsidRPr="001B20CB">
        <w:rPr>
          <w:rFonts w:ascii="Arial" w:hAnsi="Arial" w:cs="Arial"/>
          <w:lang w:val="es-419"/>
        </w:rPr>
        <w:t>3.2</w:t>
      </w:r>
      <w:r w:rsidRPr="001B20CB">
        <w:rPr>
          <w:rFonts w:ascii="Arial" w:hAnsi="Arial" w:cs="Arial"/>
          <w:lang w:val="es-419"/>
        </w:rPr>
        <w:tab/>
      </w:r>
      <w:r w:rsidRPr="001B20CB">
        <w:rPr>
          <w:rFonts w:ascii="Arial" w:hAnsi="Arial" w:cs="Arial"/>
          <w:b/>
          <w:lang w:val="es-419"/>
        </w:rPr>
        <w:t>Component</w:t>
      </w:r>
      <w:r w:rsidR="004C56AC">
        <w:rPr>
          <w:rFonts w:ascii="Arial" w:hAnsi="Arial" w:cs="Arial"/>
          <w:b/>
          <w:lang w:val="es-419"/>
        </w:rPr>
        <w:t>e</w:t>
      </w:r>
      <w:r w:rsidRPr="001B20CB">
        <w:rPr>
          <w:rFonts w:ascii="Arial" w:hAnsi="Arial" w:cs="Arial"/>
          <w:b/>
          <w:lang w:val="es-419"/>
        </w:rPr>
        <w:t xml:space="preserve"> II: Interconexión entre sistemas radiales de subtransmisión nivel 69 kV de las Empresas Eléctricas de Distribución y Unidades de Negocio. </w:t>
      </w:r>
      <w:r w:rsidRPr="001B20CB">
        <w:rPr>
          <w:rFonts w:ascii="Arial" w:hAnsi="Arial" w:cs="Arial"/>
          <w:lang w:val="es-419"/>
        </w:rPr>
        <w:t>Bajo este componente se prevé: (i) Determinar la factibilidad de interconexión entre sistemas de subtransmisión de las Empresas Eléctricas de Distribución y Unidades de Negocio, con el propósito de mantener el servicio público de energía eléctrica durante mantenimientos programados y mediante contingencias del sistema eléctrico; y, (ii)</w:t>
      </w:r>
      <w:r w:rsidR="004C56AC">
        <w:rPr>
          <w:rFonts w:ascii="Arial" w:hAnsi="Arial" w:cs="Arial"/>
          <w:lang w:val="es-419"/>
        </w:rPr>
        <w:t> </w:t>
      </w:r>
      <w:r w:rsidRPr="001B20CB">
        <w:rPr>
          <w:rFonts w:ascii="Arial" w:hAnsi="Arial" w:cs="Arial"/>
          <w:lang w:val="es-419"/>
        </w:rPr>
        <w:t>Identificar puntos óptimos de interconexión que permitan optimizar la operación de los sistemas de subtransmisión.</w:t>
      </w:r>
    </w:p>
    <w:p w14:paraId="3124E7A0" w14:textId="01DB239E" w:rsidR="007352FD" w:rsidRPr="001B20CB" w:rsidRDefault="001B20CB">
      <w:pPr>
        <w:spacing w:before="120" w:after="120"/>
        <w:ind w:left="579" w:hanging="579"/>
        <w:jc w:val="both"/>
        <w:rPr>
          <w:lang w:val="es-419"/>
        </w:rPr>
      </w:pPr>
      <w:r w:rsidRPr="001B20CB">
        <w:rPr>
          <w:rFonts w:ascii="Arial" w:hAnsi="Arial" w:cs="Arial"/>
          <w:lang w:val="es-419"/>
        </w:rPr>
        <w:t>3.3</w:t>
      </w:r>
      <w:r w:rsidRPr="001B20CB">
        <w:rPr>
          <w:rFonts w:ascii="Arial" w:hAnsi="Arial" w:cs="Arial"/>
          <w:lang w:val="es-419"/>
        </w:rPr>
        <w:tab/>
      </w:r>
      <w:r w:rsidRPr="001B20CB">
        <w:rPr>
          <w:rFonts w:ascii="Arial" w:hAnsi="Arial" w:cs="Arial"/>
          <w:b/>
          <w:lang w:val="es-419"/>
        </w:rPr>
        <w:t>Component</w:t>
      </w:r>
      <w:r w:rsidR="009519C9">
        <w:rPr>
          <w:rFonts w:ascii="Arial" w:hAnsi="Arial" w:cs="Arial"/>
          <w:b/>
          <w:lang w:val="es-419"/>
        </w:rPr>
        <w:t>e</w:t>
      </w:r>
      <w:r w:rsidRPr="001B20CB">
        <w:rPr>
          <w:rFonts w:ascii="Arial" w:hAnsi="Arial" w:cs="Arial"/>
          <w:b/>
          <w:lang w:val="es-419"/>
        </w:rPr>
        <w:t xml:space="preserve"> III: Automatización en la operación y control de los ramales de alimentadores de media tensión que dan servicio a cargas especiales. </w:t>
      </w:r>
      <w:r w:rsidRPr="001B20CB">
        <w:rPr>
          <w:rFonts w:ascii="Arial" w:hAnsi="Arial" w:cs="Arial"/>
          <w:lang w:val="es-419"/>
        </w:rPr>
        <w:t>Este componente busca: (i) Identificar ramales de los alimentadores primarios de media tensión que den servicio a cargas especiales, con el fin de automatizar la operación; y, (ii) Automatizar la operación de ramales de los alimentadores primarios de media tensión que atienden a cargas especiales, mediante la implementación de equipamiento que permita la operación remota y monitoreo mejorando los indicadores de calidad de servicio.</w:t>
      </w:r>
    </w:p>
    <w:p w14:paraId="6FD6A93B" w14:textId="224E9B38" w:rsidR="007352FD" w:rsidRPr="001B20CB" w:rsidRDefault="001B20CB">
      <w:pPr>
        <w:spacing w:before="120" w:after="120"/>
        <w:ind w:left="579" w:hanging="579"/>
        <w:jc w:val="both"/>
        <w:rPr>
          <w:lang w:val="es-419"/>
        </w:rPr>
      </w:pPr>
      <w:r w:rsidRPr="001B20CB">
        <w:rPr>
          <w:rFonts w:ascii="Arial" w:hAnsi="Arial" w:cs="Arial"/>
          <w:lang w:val="es-419"/>
        </w:rPr>
        <w:lastRenderedPageBreak/>
        <w:t>3.4</w:t>
      </w:r>
      <w:r w:rsidRPr="001B20CB">
        <w:rPr>
          <w:rFonts w:ascii="Arial" w:hAnsi="Arial" w:cs="Arial"/>
          <w:lang w:val="es-419"/>
        </w:rPr>
        <w:tab/>
      </w:r>
      <w:r w:rsidRPr="001B20CB">
        <w:rPr>
          <w:rFonts w:ascii="Arial" w:hAnsi="Arial" w:cs="Arial"/>
          <w:b/>
          <w:lang w:val="es-419"/>
        </w:rPr>
        <w:t>Component</w:t>
      </w:r>
      <w:r w:rsidR="00375250">
        <w:rPr>
          <w:rFonts w:ascii="Arial" w:hAnsi="Arial" w:cs="Arial"/>
          <w:b/>
          <w:lang w:val="es-419"/>
        </w:rPr>
        <w:t>e</w:t>
      </w:r>
      <w:r w:rsidRPr="001B20CB">
        <w:rPr>
          <w:rFonts w:ascii="Arial" w:hAnsi="Arial" w:cs="Arial"/>
          <w:b/>
          <w:lang w:val="es-419"/>
        </w:rPr>
        <w:t xml:space="preserve"> IV: Implementación de un sistema de medición inteligente para transformadores de distribución. </w:t>
      </w:r>
      <w:r w:rsidRPr="001B20CB">
        <w:rPr>
          <w:rFonts w:ascii="Arial" w:hAnsi="Arial" w:cs="Arial"/>
          <w:lang w:val="es-419"/>
        </w:rPr>
        <w:t xml:space="preserve">Este componente contempla: (i) Determinar los criterios técnicos para identificar los transformadores de distribución que deben ser medidos, permitiendo la mejora de los procesos comerciales, operacionales e implementación de nuevas aplicaciones que contribuyan a mejorar la calidad de los servicios de las EED y UN; y, (ii) Identificar los transformadores de distribución donde se implementarán la medición inteligente, lo que permitirá mejorar los indicadores de servicio y operación. </w:t>
      </w:r>
    </w:p>
    <w:p w14:paraId="192740E9" w14:textId="6FCC24EB" w:rsidR="007352FD" w:rsidRDefault="001B20CB" w:rsidP="00950AE5">
      <w:pPr>
        <w:spacing w:before="240" w:after="120"/>
        <w:ind w:left="576" w:hanging="576"/>
      </w:pPr>
      <w:r>
        <w:rPr>
          <w:rFonts w:ascii="Arial" w:hAnsi="Arial" w:cs="Arial"/>
          <w:b/>
        </w:rPr>
        <w:t>IV.</w:t>
      </w:r>
      <w:r>
        <w:rPr>
          <w:rFonts w:ascii="Arial" w:hAnsi="Arial" w:cs="Arial"/>
          <w:b/>
        </w:rPr>
        <w:tab/>
      </w:r>
      <w:r w:rsidR="00375250">
        <w:rPr>
          <w:rFonts w:ascii="Arial" w:hAnsi="Arial" w:cs="Arial"/>
          <w:b/>
        </w:rPr>
        <w:t>Presupuesto</w:t>
      </w:r>
    </w:p>
    <w:p w14:paraId="11F1E385" w14:textId="7B074C9F" w:rsidR="007352FD" w:rsidRDefault="00375250" w:rsidP="00950AE5">
      <w:pPr>
        <w:spacing w:before="120" w:after="120"/>
        <w:jc w:val="center"/>
      </w:pPr>
      <w:r>
        <w:rPr>
          <w:rFonts w:ascii="Arial" w:hAnsi="Arial" w:cs="Arial"/>
          <w:b/>
          <w:sz w:val="18"/>
          <w:szCs w:val="18"/>
        </w:rPr>
        <w:t>Presupues</w:t>
      </w:r>
      <w:r w:rsidR="001B20CB">
        <w:rPr>
          <w:rFonts w:ascii="Arial" w:hAnsi="Arial" w:cs="Arial"/>
          <w:b/>
          <w:sz w:val="18"/>
          <w:szCs w:val="18"/>
        </w:rPr>
        <w:t>t</w:t>
      </w:r>
      <w:r>
        <w:rPr>
          <w:rFonts w:ascii="Arial" w:hAnsi="Arial" w:cs="Arial"/>
          <w:b/>
          <w:sz w:val="18"/>
          <w:szCs w:val="18"/>
        </w:rPr>
        <w:t>o Indicativo</w:t>
      </w:r>
    </w:p>
    <w:tbl>
      <w:tblPr>
        <w:tblStyle w:val="TableGrid"/>
        <w:tblW w:w="0" w:type="auto"/>
        <w:tblLook w:val="04A0" w:firstRow="1" w:lastRow="0" w:firstColumn="1" w:lastColumn="0" w:noHBand="0" w:noVBand="1"/>
      </w:tblPr>
      <w:tblGrid>
        <w:gridCol w:w="3415"/>
        <w:gridCol w:w="1890"/>
        <w:gridCol w:w="1470"/>
        <w:gridCol w:w="2241"/>
      </w:tblGrid>
      <w:tr w:rsidR="00EB2FFF" w14:paraId="4E3A2CF8" w14:textId="77777777" w:rsidTr="00EB2FFF">
        <w:tc>
          <w:tcPr>
            <w:tcW w:w="3415" w:type="dxa"/>
            <w:vAlign w:val="center"/>
          </w:tcPr>
          <w:p w14:paraId="07B213A0" w14:textId="23746BB1" w:rsidR="007352FD" w:rsidRDefault="001B20CB" w:rsidP="00EB2FFF">
            <w:pPr>
              <w:jc w:val="center"/>
            </w:pPr>
            <w:r>
              <w:rPr>
                <w:rFonts w:ascii="Arial" w:hAnsi="Arial" w:cs="Arial"/>
                <w:b/>
                <w:sz w:val="18"/>
                <w:szCs w:val="18"/>
              </w:rPr>
              <w:t>Activi</w:t>
            </w:r>
            <w:r w:rsidR="00EB2FFF">
              <w:rPr>
                <w:rFonts w:ascii="Arial" w:hAnsi="Arial" w:cs="Arial"/>
                <w:b/>
                <w:sz w:val="18"/>
                <w:szCs w:val="18"/>
              </w:rPr>
              <w:t>dad</w:t>
            </w:r>
            <w:r>
              <w:rPr>
                <w:rFonts w:ascii="Arial" w:hAnsi="Arial" w:cs="Arial"/>
                <w:b/>
                <w:sz w:val="18"/>
                <w:szCs w:val="18"/>
              </w:rPr>
              <w:t>/Component</w:t>
            </w:r>
            <w:r w:rsidR="00EB2FFF">
              <w:rPr>
                <w:rFonts w:ascii="Arial" w:hAnsi="Arial" w:cs="Arial"/>
                <w:b/>
                <w:sz w:val="18"/>
                <w:szCs w:val="18"/>
              </w:rPr>
              <w:t>e</w:t>
            </w:r>
          </w:p>
        </w:tc>
        <w:tc>
          <w:tcPr>
            <w:tcW w:w="1890" w:type="dxa"/>
          </w:tcPr>
          <w:p w14:paraId="55A79E57" w14:textId="06BAAB9F" w:rsidR="007352FD" w:rsidRDefault="00EB2FFF" w:rsidP="00EB2FFF">
            <w:pPr>
              <w:jc w:val="center"/>
            </w:pPr>
            <w:r w:rsidRPr="00EB2FFF">
              <w:rPr>
                <w:rFonts w:ascii="Arial" w:hAnsi="Arial" w:cs="Arial"/>
                <w:b/>
                <w:sz w:val="18"/>
                <w:szCs w:val="18"/>
              </w:rPr>
              <w:t>Fondos Solicitados al BID</w:t>
            </w:r>
          </w:p>
        </w:tc>
        <w:tc>
          <w:tcPr>
            <w:tcW w:w="1470" w:type="dxa"/>
          </w:tcPr>
          <w:p w14:paraId="1A7258CF" w14:textId="0AFF4B84" w:rsidR="007352FD" w:rsidRDefault="001B20CB" w:rsidP="00EB2FFF">
            <w:pPr>
              <w:jc w:val="center"/>
            </w:pPr>
            <w:r>
              <w:rPr>
                <w:rFonts w:ascii="Arial" w:hAnsi="Arial" w:cs="Arial"/>
                <w:b/>
                <w:sz w:val="18"/>
                <w:szCs w:val="18"/>
              </w:rPr>
              <w:t>C</w:t>
            </w:r>
            <w:r w:rsidR="00EB2FFF">
              <w:rPr>
                <w:rFonts w:ascii="Arial" w:hAnsi="Arial" w:cs="Arial"/>
                <w:b/>
                <w:sz w:val="18"/>
                <w:szCs w:val="18"/>
              </w:rPr>
              <w:t>ontrapartida</w:t>
            </w:r>
            <w:r>
              <w:rPr>
                <w:rFonts w:ascii="Arial" w:hAnsi="Arial" w:cs="Arial"/>
                <w:b/>
                <w:sz w:val="18"/>
                <w:szCs w:val="18"/>
              </w:rPr>
              <w:t xml:space="preserve"> </w:t>
            </w:r>
            <w:r w:rsidR="00EB2FFF">
              <w:rPr>
                <w:rFonts w:ascii="Arial" w:hAnsi="Arial" w:cs="Arial"/>
                <w:b/>
                <w:sz w:val="18"/>
                <w:szCs w:val="18"/>
              </w:rPr>
              <w:t>Local</w:t>
            </w:r>
          </w:p>
        </w:tc>
        <w:tc>
          <w:tcPr>
            <w:tcW w:w="2241" w:type="dxa"/>
          </w:tcPr>
          <w:p w14:paraId="2FC5B193" w14:textId="0BA05D21" w:rsidR="007352FD" w:rsidRDefault="001B20CB" w:rsidP="00EB2FFF">
            <w:pPr>
              <w:jc w:val="center"/>
            </w:pPr>
            <w:r>
              <w:rPr>
                <w:rFonts w:ascii="Arial" w:hAnsi="Arial" w:cs="Arial"/>
                <w:b/>
                <w:sz w:val="18"/>
                <w:szCs w:val="18"/>
              </w:rPr>
              <w:t>Total</w:t>
            </w:r>
          </w:p>
        </w:tc>
      </w:tr>
      <w:tr w:rsidR="00EB2FFF" w14:paraId="6087DAFE" w14:textId="77777777" w:rsidTr="00EB2FFF">
        <w:tc>
          <w:tcPr>
            <w:tcW w:w="3415" w:type="dxa"/>
            <w:vAlign w:val="center"/>
          </w:tcPr>
          <w:p w14:paraId="28DBF465" w14:textId="77777777" w:rsidR="007352FD" w:rsidRPr="001B20CB" w:rsidRDefault="001B20CB" w:rsidP="00EB2FFF">
            <w:pPr>
              <w:rPr>
                <w:lang w:val="es-419"/>
              </w:rPr>
            </w:pPr>
            <w:r w:rsidRPr="001B20CB">
              <w:rPr>
                <w:rFonts w:ascii="Arial" w:hAnsi="Arial" w:cs="Arial"/>
                <w:sz w:val="18"/>
                <w:szCs w:val="18"/>
                <w:lang w:val="es-419"/>
              </w:rPr>
              <w:t>Actualización de los catastros comerciales y base datos de los clientes de las Empresas Eléctricas de Distribución y Unidades de Negocio.</w:t>
            </w:r>
          </w:p>
        </w:tc>
        <w:tc>
          <w:tcPr>
            <w:tcW w:w="1890" w:type="dxa"/>
            <w:vAlign w:val="center"/>
          </w:tcPr>
          <w:p w14:paraId="193B996A" w14:textId="730E5E2A"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c>
          <w:tcPr>
            <w:tcW w:w="1470" w:type="dxa"/>
            <w:vAlign w:val="center"/>
          </w:tcPr>
          <w:p w14:paraId="1E793F5E" w14:textId="645A5E07" w:rsidR="007352FD" w:rsidRDefault="001B20CB" w:rsidP="00EB2FFF">
            <w:pPr>
              <w:jc w:val="right"/>
            </w:pPr>
            <w:r>
              <w:rPr>
                <w:rFonts w:ascii="Arial" w:hAnsi="Arial" w:cs="Arial"/>
                <w:sz w:val="18"/>
                <w:szCs w:val="18"/>
              </w:rPr>
              <w:t>US$0</w:t>
            </w:r>
            <w:r w:rsidR="00EB2FFF">
              <w:rPr>
                <w:rFonts w:ascii="Arial" w:hAnsi="Arial" w:cs="Arial"/>
                <w:sz w:val="18"/>
                <w:szCs w:val="18"/>
              </w:rPr>
              <w:t>,</w:t>
            </w:r>
            <w:r>
              <w:rPr>
                <w:rFonts w:ascii="Arial" w:hAnsi="Arial" w:cs="Arial"/>
                <w:sz w:val="18"/>
                <w:szCs w:val="18"/>
              </w:rPr>
              <w:t>00</w:t>
            </w:r>
          </w:p>
        </w:tc>
        <w:tc>
          <w:tcPr>
            <w:tcW w:w="2241" w:type="dxa"/>
            <w:vAlign w:val="center"/>
          </w:tcPr>
          <w:p w14:paraId="2C80B40B" w14:textId="71D6087F"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r>
      <w:tr w:rsidR="00EB2FFF" w14:paraId="58CC3329" w14:textId="77777777" w:rsidTr="00EB2FFF">
        <w:tc>
          <w:tcPr>
            <w:tcW w:w="3415" w:type="dxa"/>
            <w:vAlign w:val="center"/>
          </w:tcPr>
          <w:p w14:paraId="56E929AC" w14:textId="77777777" w:rsidR="007352FD" w:rsidRPr="001B20CB" w:rsidRDefault="001B20CB" w:rsidP="00EB2FFF">
            <w:pPr>
              <w:rPr>
                <w:lang w:val="es-419"/>
              </w:rPr>
            </w:pPr>
            <w:r w:rsidRPr="001B20CB">
              <w:rPr>
                <w:rFonts w:ascii="Arial" w:hAnsi="Arial" w:cs="Arial"/>
                <w:sz w:val="18"/>
                <w:szCs w:val="18"/>
                <w:lang w:val="es-419"/>
              </w:rPr>
              <w:t xml:space="preserve">Interconexión entre sistemas radiales de subtransmisión nivel 69 kV de las Empresas Eléctricas de Distribución y Unidades de Negocio. </w:t>
            </w:r>
          </w:p>
        </w:tc>
        <w:tc>
          <w:tcPr>
            <w:tcW w:w="1890" w:type="dxa"/>
            <w:vAlign w:val="center"/>
          </w:tcPr>
          <w:p w14:paraId="49F09ECC" w14:textId="28E45744"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c>
          <w:tcPr>
            <w:tcW w:w="1470" w:type="dxa"/>
            <w:vAlign w:val="center"/>
          </w:tcPr>
          <w:p w14:paraId="2F08E6DB" w14:textId="2601821E" w:rsidR="007352FD" w:rsidRDefault="001B20CB" w:rsidP="00EB2FFF">
            <w:pPr>
              <w:jc w:val="right"/>
            </w:pPr>
            <w:r>
              <w:rPr>
                <w:rFonts w:ascii="Arial" w:hAnsi="Arial" w:cs="Arial"/>
                <w:sz w:val="18"/>
                <w:szCs w:val="18"/>
              </w:rPr>
              <w:t>US$0</w:t>
            </w:r>
            <w:r w:rsidR="00EB2FFF">
              <w:rPr>
                <w:rFonts w:ascii="Arial" w:hAnsi="Arial" w:cs="Arial"/>
                <w:sz w:val="18"/>
                <w:szCs w:val="18"/>
              </w:rPr>
              <w:t>,</w:t>
            </w:r>
            <w:r>
              <w:rPr>
                <w:rFonts w:ascii="Arial" w:hAnsi="Arial" w:cs="Arial"/>
                <w:sz w:val="18"/>
                <w:szCs w:val="18"/>
              </w:rPr>
              <w:t>00</w:t>
            </w:r>
          </w:p>
        </w:tc>
        <w:tc>
          <w:tcPr>
            <w:tcW w:w="2241" w:type="dxa"/>
            <w:vAlign w:val="center"/>
          </w:tcPr>
          <w:p w14:paraId="038D24DF" w14:textId="7DAC6294"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r>
      <w:tr w:rsidR="00EB2FFF" w14:paraId="2108D8E3" w14:textId="77777777" w:rsidTr="00EB2FFF">
        <w:tc>
          <w:tcPr>
            <w:tcW w:w="3415" w:type="dxa"/>
            <w:vAlign w:val="center"/>
          </w:tcPr>
          <w:p w14:paraId="2CD395EB" w14:textId="77777777" w:rsidR="007352FD" w:rsidRPr="001B20CB" w:rsidRDefault="001B20CB" w:rsidP="00EB2FFF">
            <w:pPr>
              <w:rPr>
                <w:lang w:val="es-419"/>
              </w:rPr>
            </w:pPr>
            <w:r w:rsidRPr="001B20CB">
              <w:rPr>
                <w:rFonts w:ascii="Arial" w:hAnsi="Arial" w:cs="Arial"/>
                <w:sz w:val="18"/>
                <w:szCs w:val="18"/>
                <w:lang w:val="es-419"/>
              </w:rPr>
              <w:t>Automatización en la operación y control de los ramales de alimentadores de media tensión que dan servicio a cargas especiales.</w:t>
            </w:r>
          </w:p>
        </w:tc>
        <w:tc>
          <w:tcPr>
            <w:tcW w:w="1890" w:type="dxa"/>
            <w:vAlign w:val="center"/>
          </w:tcPr>
          <w:p w14:paraId="4C2B3309" w14:textId="6F4A1797"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c>
          <w:tcPr>
            <w:tcW w:w="1470" w:type="dxa"/>
            <w:vAlign w:val="center"/>
          </w:tcPr>
          <w:p w14:paraId="3051B1DE" w14:textId="7267D418" w:rsidR="007352FD" w:rsidRDefault="001B20CB" w:rsidP="00EB2FFF">
            <w:pPr>
              <w:jc w:val="right"/>
            </w:pPr>
            <w:r>
              <w:rPr>
                <w:rFonts w:ascii="Arial" w:hAnsi="Arial" w:cs="Arial"/>
                <w:sz w:val="18"/>
                <w:szCs w:val="18"/>
              </w:rPr>
              <w:t>US$0</w:t>
            </w:r>
            <w:r w:rsidR="00EB2FFF">
              <w:rPr>
                <w:rFonts w:ascii="Arial" w:hAnsi="Arial" w:cs="Arial"/>
                <w:sz w:val="18"/>
                <w:szCs w:val="18"/>
              </w:rPr>
              <w:t>,</w:t>
            </w:r>
            <w:r>
              <w:rPr>
                <w:rFonts w:ascii="Arial" w:hAnsi="Arial" w:cs="Arial"/>
                <w:sz w:val="18"/>
                <w:szCs w:val="18"/>
              </w:rPr>
              <w:t>00</w:t>
            </w:r>
          </w:p>
        </w:tc>
        <w:tc>
          <w:tcPr>
            <w:tcW w:w="2241" w:type="dxa"/>
            <w:vAlign w:val="center"/>
          </w:tcPr>
          <w:p w14:paraId="49216412" w14:textId="722D9CB4"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r>
      <w:tr w:rsidR="00EB2FFF" w14:paraId="409D320D" w14:textId="77777777" w:rsidTr="00EB2FFF">
        <w:tc>
          <w:tcPr>
            <w:tcW w:w="3415" w:type="dxa"/>
            <w:vAlign w:val="center"/>
          </w:tcPr>
          <w:p w14:paraId="6B7547D7" w14:textId="77777777" w:rsidR="007352FD" w:rsidRPr="001B20CB" w:rsidRDefault="001B20CB" w:rsidP="00EB2FFF">
            <w:pPr>
              <w:rPr>
                <w:lang w:val="es-419"/>
              </w:rPr>
            </w:pPr>
            <w:r w:rsidRPr="001B20CB">
              <w:rPr>
                <w:rFonts w:ascii="Arial" w:hAnsi="Arial" w:cs="Arial"/>
                <w:sz w:val="18"/>
                <w:szCs w:val="18"/>
                <w:lang w:val="es-419"/>
              </w:rPr>
              <w:t>Implementación de un sistema de medición inteligente para transformadores de distribución.</w:t>
            </w:r>
          </w:p>
        </w:tc>
        <w:tc>
          <w:tcPr>
            <w:tcW w:w="1890" w:type="dxa"/>
            <w:vAlign w:val="center"/>
          </w:tcPr>
          <w:p w14:paraId="0D51F8F9" w14:textId="164A873D"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c>
          <w:tcPr>
            <w:tcW w:w="1470" w:type="dxa"/>
            <w:vAlign w:val="center"/>
          </w:tcPr>
          <w:p w14:paraId="1CC9114C" w14:textId="0A1C462A" w:rsidR="007352FD" w:rsidRDefault="001B20CB" w:rsidP="00EB2FFF">
            <w:pPr>
              <w:jc w:val="right"/>
            </w:pPr>
            <w:r>
              <w:rPr>
                <w:rFonts w:ascii="Arial" w:hAnsi="Arial" w:cs="Arial"/>
                <w:sz w:val="18"/>
                <w:szCs w:val="18"/>
              </w:rPr>
              <w:t>US$0</w:t>
            </w:r>
            <w:r w:rsidR="00EB2FFF">
              <w:rPr>
                <w:rFonts w:ascii="Arial" w:hAnsi="Arial" w:cs="Arial"/>
                <w:sz w:val="18"/>
                <w:szCs w:val="18"/>
              </w:rPr>
              <w:t>,</w:t>
            </w:r>
            <w:r>
              <w:rPr>
                <w:rFonts w:ascii="Arial" w:hAnsi="Arial" w:cs="Arial"/>
                <w:sz w:val="18"/>
                <w:szCs w:val="18"/>
              </w:rPr>
              <w:t>00</w:t>
            </w:r>
          </w:p>
        </w:tc>
        <w:tc>
          <w:tcPr>
            <w:tcW w:w="2241" w:type="dxa"/>
            <w:vAlign w:val="center"/>
          </w:tcPr>
          <w:p w14:paraId="68A943DC" w14:textId="7DB84CFD" w:rsidR="007352FD" w:rsidRDefault="001B20CB" w:rsidP="00EB2FFF">
            <w:pPr>
              <w:jc w:val="right"/>
            </w:pPr>
            <w:r>
              <w:rPr>
                <w:rFonts w:ascii="Arial" w:hAnsi="Arial" w:cs="Arial"/>
                <w:sz w:val="18"/>
                <w:szCs w:val="18"/>
              </w:rPr>
              <w:t>US$50</w:t>
            </w:r>
            <w:r w:rsidR="00EB2FFF">
              <w:rPr>
                <w:rFonts w:ascii="Arial" w:hAnsi="Arial" w:cs="Arial"/>
                <w:sz w:val="18"/>
                <w:szCs w:val="18"/>
              </w:rPr>
              <w:t>.</w:t>
            </w:r>
            <w:r>
              <w:rPr>
                <w:rFonts w:ascii="Arial" w:hAnsi="Arial" w:cs="Arial"/>
                <w:sz w:val="18"/>
                <w:szCs w:val="18"/>
              </w:rPr>
              <w:t>000</w:t>
            </w:r>
            <w:r w:rsidR="00EB2FFF">
              <w:rPr>
                <w:rFonts w:ascii="Arial" w:hAnsi="Arial" w:cs="Arial"/>
                <w:sz w:val="18"/>
                <w:szCs w:val="18"/>
              </w:rPr>
              <w:t>,</w:t>
            </w:r>
            <w:r>
              <w:rPr>
                <w:rFonts w:ascii="Arial" w:hAnsi="Arial" w:cs="Arial"/>
                <w:sz w:val="18"/>
                <w:szCs w:val="18"/>
              </w:rPr>
              <w:t>00</w:t>
            </w:r>
          </w:p>
        </w:tc>
      </w:tr>
      <w:tr w:rsidR="00EB2FFF" w14:paraId="61DC4DEE" w14:textId="77777777" w:rsidTr="00EB2FFF">
        <w:tc>
          <w:tcPr>
            <w:tcW w:w="3415" w:type="dxa"/>
            <w:vAlign w:val="center"/>
          </w:tcPr>
          <w:p w14:paraId="69960279" w14:textId="77777777" w:rsidR="007352FD" w:rsidRDefault="001B20CB" w:rsidP="00EB2FFF">
            <w:r>
              <w:rPr>
                <w:rFonts w:ascii="Arial" w:hAnsi="Arial" w:cs="Arial"/>
                <w:b/>
                <w:sz w:val="18"/>
                <w:szCs w:val="18"/>
              </w:rPr>
              <w:t>Total</w:t>
            </w:r>
          </w:p>
        </w:tc>
        <w:tc>
          <w:tcPr>
            <w:tcW w:w="1890" w:type="dxa"/>
            <w:vAlign w:val="center"/>
          </w:tcPr>
          <w:p w14:paraId="3AE9CF6C" w14:textId="0EF68104" w:rsidR="007352FD" w:rsidRDefault="001B20CB" w:rsidP="00EB2FFF">
            <w:pPr>
              <w:jc w:val="right"/>
            </w:pPr>
            <w:r>
              <w:rPr>
                <w:rFonts w:ascii="Arial" w:hAnsi="Arial" w:cs="Arial"/>
                <w:b/>
                <w:sz w:val="18"/>
                <w:szCs w:val="18"/>
              </w:rPr>
              <w:t>US$200</w:t>
            </w:r>
            <w:r w:rsidR="00EB2FFF">
              <w:rPr>
                <w:rFonts w:ascii="Arial" w:hAnsi="Arial" w:cs="Arial"/>
                <w:b/>
                <w:sz w:val="18"/>
                <w:szCs w:val="18"/>
              </w:rPr>
              <w:t>.</w:t>
            </w:r>
            <w:r>
              <w:rPr>
                <w:rFonts w:ascii="Arial" w:hAnsi="Arial" w:cs="Arial"/>
                <w:b/>
                <w:sz w:val="18"/>
                <w:szCs w:val="18"/>
              </w:rPr>
              <w:t>000</w:t>
            </w:r>
            <w:r w:rsidR="00EB2FFF">
              <w:rPr>
                <w:rFonts w:ascii="Arial" w:hAnsi="Arial" w:cs="Arial"/>
                <w:b/>
                <w:sz w:val="18"/>
                <w:szCs w:val="18"/>
              </w:rPr>
              <w:t>,</w:t>
            </w:r>
            <w:r>
              <w:rPr>
                <w:rFonts w:ascii="Arial" w:hAnsi="Arial" w:cs="Arial"/>
                <w:b/>
                <w:sz w:val="18"/>
                <w:szCs w:val="18"/>
              </w:rPr>
              <w:t>00</w:t>
            </w:r>
          </w:p>
        </w:tc>
        <w:tc>
          <w:tcPr>
            <w:tcW w:w="1470" w:type="dxa"/>
            <w:vAlign w:val="center"/>
          </w:tcPr>
          <w:p w14:paraId="36C7388D" w14:textId="4A73B330" w:rsidR="007352FD" w:rsidRDefault="001B20CB" w:rsidP="00EB2FFF">
            <w:pPr>
              <w:jc w:val="right"/>
            </w:pPr>
            <w:r>
              <w:rPr>
                <w:rFonts w:ascii="Arial" w:hAnsi="Arial" w:cs="Arial"/>
                <w:b/>
                <w:sz w:val="18"/>
                <w:szCs w:val="18"/>
              </w:rPr>
              <w:t>US$0</w:t>
            </w:r>
            <w:r w:rsidR="00EB2FFF">
              <w:rPr>
                <w:rFonts w:ascii="Arial" w:hAnsi="Arial" w:cs="Arial"/>
                <w:b/>
                <w:sz w:val="18"/>
                <w:szCs w:val="18"/>
              </w:rPr>
              <w:t>,</w:t>
            </w:r>
            <w:r>
              <w:rPr>
                <w:rFonts w:ascii="Arial" w:hAnsi="Arial" w:cs="Arial"/>
                <w:b/>
                <w:sz w:val="18"/>
                <w:szCs w:val="18"/>
              </w:rPr>
              <w:t>00</w:t>
            </w:r>
          </w:p>
        </w:tc>
        <w:tc>
          <w:tcPr>
            <w:tcW w:w="2241" w:type="dxa"/>
            <w:vAlign w:val="center"/>
          </w:tcPr>
          <w:p w14:paraId="13D15CA8" w14:textId="1CAACD9E" w:rsidR="007352FD" w:rsidRDefault="001B20CB" w:rsidP="00EB2FFF">
            <w:pPr>
              <w:jc w:val="right"/>
            </w:pPr>
            <w:r>
              <w:rPr>
                <w:rFonts w:ascii="Arial" w:hAnsi="Arial" w:cs="Arial"/>
                <w:b/>
                <w:sz w:val="18"/>
                <w:szCs w:val="18"/>
              </w:rPr>
              <w:t>US$200</w:t>
            </w:r>
            <w:r w:rsidR="00204DAA">
              <w:rPr>
                <w:rFonts w:ascii="Arial" w:hAnsi="Arial" w:cs="Arial"/>
                <w:b/>
                <w:sz w:val="18"/>
                <w:szCs w:val="18"/>
              </w:rPr>
              <w:t>.</w:t>
            </w:r>
            <w:r>
              <w:rPr>
                <w:rFonts w:ascii="Arial" w:hAnsi="Arial" w:cs="Arial"/>
                <w:b/>
                <w:sz w:val="18"/>
                <w:szCs w:val="18"/>
              </w:rPr>
              <w:t>000</w:t>
            </w:r>
            <w:r w:rsidR="00204DAA">
              <w:rPr>
                <w:rFonts w:ascii="Arial" w:hAnsi="Arial" w:cs="Arial"/>
                <w:b/>
                <w:sz w:val="18"/>
                <w:szCs w:val="18"/>
              </w:rPr>
              <w:t>,</w:t>
            </w:r>
            <w:r>
              <w:rPr>
                <w:rFonts w:ascii="Arial" w:hAnsi="Arial" w:cs="Arial"/>
                <w:b/>
                <w:sz w:val="18"/>
                <w:szCs w:val="18"/>
              </w:rPr>
              <w:t>00</w:t>
            </w:r>
          </w:p>
        </w:tc>
      </w:tr>
    </w:tbl>
    <w:p w14:paraId="5BA68671" w14:textId="103CC658" w:rsidR="007352FD" w:rsidRPr="00B218E7" w:rsidRDefault="001B20CB" w:rsidP="00950AE5">
      <w:pPr>
        <w:spacing w:before="240"/>
        <w:ind w:left="576" w:hanging="576"/>
        <w:rPr>
          <w:lang w:val="es-419"/>
        </w:rPr>
      </w:pPr>
      <w:r w:rsidRPr="00B218E7">
        <w:rPr>
          <w:rFonts w:ascii="Arial" w:hAnsi="Arial" w:cs="Arial"/>
          <w:b/>
          <w:lang w:val="es-419"/>
        </w:rPr>
        <w:t>V.</w:t>
      </w:r>
      <w:r w:rsidRPr="00B218E7">
        <w:rPr>
          <w:rFonts w:ascii="Arial" w:hAnsi="Arial" w:cs="Arial"/>
          <w:b/>
          <w:lang w:val="es-419"/>
        </w:rPr>
        <w:tab/>
      </w:r>
      <w:r w:rsidR="00204DAA" w:rsidRPr="00B218E7">
        <w:rPr>
          <w:rFonts w:ascii="Arial" w:hAnsi="Arial" w:cs="Arial"/>
          <w:b/>
          <w:lang w:val="es-419"/>
        </w:rPr>
        <w:t xml:space="preserve">Agencia Ejecutora y </w:t>
      </w:r>
      <w:r w:rsidR="00B218E7" w:rsidRPr="00B218E7">
        <w:rPr>
          <w:rFonts w:ascii="Arial" w:hAnsi="Arial" w:cs="Arial"/>
          <w:b/>
          <w:lang w:val="es-419"/>
        </w:rPr>
        <w:t>E</w:t>
      </w:r>
      <w:r w:rsidR="00B218E7">
        <w:rPr>
          <w:rFonts w:ascii="Arial" w:hAnsi="Arial" w:cs="Arial"/>
          <w:b/>
          <w:lang w:val="es-419"/>
        </w:rPr>
        <w:t>structura de Ejecución</w:t>
      </w:r>
    </w:p>
    <w:p w14:paraId="1E8074DE" w14:textId="77777777" w:rsidR="007352FD" w:rsidRPr="001B20CB" w:rsidRDefault="001B20CB">
      <w:pPr>
        <w:spacing w:before="200" w:after="200"/>
        <w:ind w:left="579" w:hanging="579"/>
        <w:jc w:val="both"/>
        <w:rPr>
          <w:lang w:val="es-419"/>
        </w:rPr>
      </w:pPr>
      <w:r w:rsidRPr="001B20CB">
        <w:rPr>
          <w:rFonts w:ascii="Arial" w:hAnsi="Arial" w:cs="Arial"/>
          <w:lang w:val="es-419"/>
        </w:rPr>
        <w:t>5.1</w:t>
      </w:r>
      <w:r w:rsidRPr="001B20CB">
        <w:rPr>
          <w:rFonts w:ascii="Arial" w:hAnsi="Arial" w:cs="Arial"/>
          <w:lang w:val="es-419"/>
        </w:rPr>
        <w:tab/>
        <w:t>La Agencia Ejecutora (AE) será el Banco Interamericano de Desarrollo (BID) a través de la División de Energía apoyado por el grupo temático de Innovación y digitalización.</w:t>
      </w:r>
    </w:p>
    <w:p w14:paraId="41103DFE" w14:textId="77777777" w:rsidR="007352FD" w:rsidRPr="001B20CB" w:rsidRDefault="001B20CB">
      <w:pPr>
        <w:spacing w:before="200" w:after="200"/>
        <w:ind w:left="579" w:hanging="579"/>
        <w:jc w:val="both"/>
        <w:rPr>
          <w:lang w:val="es-419"/>
        </w:rPr>
      </w:pPr>
      <w:r w:rsidRPr="001B20CB">
        <w:rPr>
          <w:rFonts w:ascii="Arial" w:hAnsi="Arial" w:cs="Arial"/>
          <w:lang w:val="es-419"/>
        </w:rPr>
        <w:t>5.2</w:t>
      </w:r>
      <w:r w:rsidRPr="001B20CB">
        <w:rPr>
          <w:rFonts w:ascii="Arial" w:hAnsi="Arial" w:cs="Arial"/>
          <w:lang w:val="es-419"/>
        </w:rPr>
        <w:tab/>
        <w:t>Respondiendo a la solicitud del MERNNR, el BID a través de su oficina de país llevará a cabo la ejecución de la CT en colaboración con el equipo designado por la Subsecretaría de Comercialización y Distribución de Energía Eléctrica (SCDEE). De esta manera, el BID será responsable de la contratación de firmas y consultores individuales de acuerdo con las políticas del Departamento de Recursos Humanos, utilizando su Política para la selección y contratación de consultores financiados por el Banco (GN-2765-1). Dado que el Banco será el ejecutor de la CT, no se requieren ni contemplan servicios de auditorías.</w:t>
      </w:r>
    </w:p>
    <w:p w14:paraId="27270ED8" w14:textId="7146CB13" w:rsidR="007352FD" w:rsidRPr="001B20CB" w:rsidRDefault="001B20CB">
      <w:pPr>
        <w:spacing w:before="120" w:after="120"/>
        <w:ind w:left="579" w:hanging="579"/>
        <w:rPr>
          <w:lang w:val="es-419"/>
        </w:rPr>
      </w:pPr>
      <w:r w:rsidRPr="001B20CB">
        <w:rPr>
          <w:rFonts w:ascii="Arial" w:hAnsi="Arial" w:cs="Arial"/>
          <w:b/>
          <w:lang w:val="es-419"/>
        </w:rPr>
        <w:t>VI.</w:t>
      </w:r>
      <w:r w:rsidRPr="001B20CB">
        <w:rPr>
          <w:rFonts w:ascii="Arial" w:hAnsi="Arial" w:cs="Arial"/>
          <w:b/>
          <w:lang w:val="es-419"/>
        </w:rPr>
        <w:tab/>
        <w:t>Ri</w:t>
      </w:r>
      <w:r w:rsidR="00950AE5">
        <w:rPr>
          <w:rFonts w:ascii="Arial" w:hAnsi="Arial" w:cs="Arial"/>
          <w:b/>
          <w:lang w:val="es-419"/>
        </w:rPr>
        <w:t>e</w:t>
      </w:r>
      <w:r w:rsidRPr="001B20CB">
        <w:rPr>
          <w:rFonts w:ascii="Arial" w:hAnsi="Arial" w:cs="Arial"/>
          <w:b/>
          <w:lang w:val="es-419"/>
        </w:rPr>
        <w:t>s</w:t>
      </w:r>
      <w:r w:rsidR="00950AE5">
        <w:rPr>
          <w:rFonts w:ascii="Arial" w:hAnsi="Arial" w:cs="Arial"/>
          <w:b/>
          <w:lang w:val="es-419"/>
        </w:rPr>
        <w:t>gos</w:t>
      </w:r>
      <w:r w:rsidRPr="001B20CB">
        <w:rPr>
          <w:rFonts w:ascii="Arial" w:hAnsi="Arial" w:cs="Arial"/>
          <w:b/>
          <w:lang w:val="es-419"/>
        </w:rPr>
        <w:t xml:space="preserve"> </w:t>
      </w:r>
      <w:r w:rsidR="00950AE5">
        <w:rPr>
          <w:rFonts w:ascii="Arial" w:hAnsi="Arial" w:cs="Arial"/>
          <w:b/>
          <w:lang w:val="es-419"/>
        </w:rPr>
        <w:t xml:space="preserve">y </w:t>
      </w:r>
      <w:r w:rsidR="00172E32">
        <w:rPr>
          <w:rFonts w:ascii="Arial" w:hAnsi="Arial" w:cs="Arial"/>
          <w:b/>
          <w:lang w:val="es-419"/>
        </w:rPr>
        <w:t>otro</w:t>
      </w:r>
      <w:r w:rsidRPr="001B20CB">
        <w:rPr>
          <w:rFonts w:ascii="Arial" w:hAnsi="Arial" w:cs="Arial"/>
          <w:b/>
          <w:lang w:val="es-419"/>
        </w:rPr>
        <w:t>s</w:t>
      </w:r>
      <w:r w:rsidR="00172E32">
        <w:rPr>
          <w:rFonts w:ascii="Arial" w:hAnsi="Arial" w:cs="Arial"/>
          <w:b/>
          <w:lang w:val="es-419"/>
        </w:rPr>
        <w:t xml:space="preserve"> temas</w:t>
      </w:r>
    </w:p>
    <w:p w14:paraId="20713895" w14:textId="77777777" w:rsidR="007352FD" w:rsidRPr="001B20CB" w:rsidRDefault="001B20CB">
      <w:pPr>
        <w:spacing w:before="200" w:after="200"/>
        <w:ind w:left="579" w:hanging="579"/>
        <w:jc w:val="both"/>
        <w:rPr>
          <w:lang w:val="es-419"/>
        </w:rPr>
      </w:pPr>
      <w:r w:rsidRPr="001B20CB">
        <w:rPr>
          <w:rFonts w:ascii="Arial" w:hAnsi="Arial" w:cs="Arial"/>
          <w:lang w:val="es-419"/>
        </w:rPr>
        <w:t>6.1</w:t>
      </w:r>
      <w:r w:rsidRPr="001B20CB">
        <w:rPr>
          <w:rFonts w:ascii="Arial" w:hAnsi="Arial" w:cs="Arial"/>
          <w:lang w:val="es-419"/>
        </w:rPr>
        <w:tab/>
        <w:t>Con los resultados de esta CT, las Empresas Eléctricas de Distribución entrarán en la era de la digitalización del sector, permitiendo mejorar los niveles de servicios hacia los clientes. Además, el sector contará con especificaciones técnicas y costos aprobados, lo que permite estandarizar la infraestructura eléctrica con niveles de calidad.</w:t>
      </w:r>
    </w:p>
    <w:p w14:paraId="329463E0" w14:textId="49AFD37E" w:rsidR="007352FD" w:rsidRPr="001B20CB" w:rsidRDefault="001B20CB">
      <w:pPr>
        <w:spacing w:before="200" w:after="200"/>
        <w:ind w:left="579" w:hanging="579"/>
        <w:jc w:val="both"/>
        <w:rPr>
          <w:lang w:val="es-419"/>
        </w:rPr>
      </w:pPr>
      <w:r w:rsidRPr="001B20CB">
        <w:rPr>
          <w:rFonts w:ascii="Arial" w:hAnsi="Arial" w:cs="Arial"/>
          <w:lang w:val="es-419"/>
        </w:rPr>
        <w:t>6.2</w:t>
      </w:r>
      <w:r w:rsidRPr="001B20CB">
        <w:rPr>
          <w:rFonts w:ascii="Arial" w:hAnsi="Arial" w:cs="Arial"/>
          <w:lang w:val="es-419"/>
        </w:rPr>
        <w:tab/>
        <w:t xml:space="preserve">Sin embargo, debido a la necesidad de interactuar con las Subsecretarías del MERNNR: (i) Generación Transmisión de Energía Eléctrica; y, (ii) Distribución y Comercialización de Energía Eléctrica, que puedan sufrir cambios gerenciales, con la llegada del nuevo Gobierno, </w:t>
      </w:r>
      <w:r w:rsidR="006079F9" w:rsidRPr="001B20CB">
        <w:rPr>
          <w:rFonts w:ascii="Arial" w:hAnsi="Arial" w:cs="Arial"/>
          <w:lang w:val="es-419"/>
        </w:rPr>
        <w:t>puede</w:t>
      </w:r>
      <w:r w:rsidRPr="001B20CB">
        <w:rPr>
          <w:rFonts w:ascii="Arial" w:hAnsi="Arial" w:cs="Arial"/>
          <w:lang w:val="es-419"/>
        </w:rPr>
        <w:t xml:space="preserve"> haber retrasos en la coordinación de la ejecución de la Cooperación Técnica. A fin de mitigar los posibles cambios inevitables, se trabaja desde ya de una manera muy concertada con los equipos de nivel medio en la </w:t>
      </w:r>
      <w:r w:rsidRPr="001B20CB">
        <w:rPr>
          <w:rFonts w:ascii="Arial" w:hAnsi="Arial" w:cs="Arial"/>
          <w:lang w:val="es-419"/>
        </w:rPr>
        <w:lastRenderedPageBreak/>
        <w:t xml:space="preserve">elaboración de las especificaciones técnicas de los diferentes estudios, blindando </w:t>
      </w:r>
      <w:r w:rsidR="006079F9" w:rsidRPr="001B20CB">
        <w:rPr>
          <w:rFonts w:ascii="Arial" w:hAnsi="Arial" w:cs="Arial"/>
          <w:lang w:val="es-419"/>
        </w:rPr>
        <w:t>cualquier cambio</w:t>
      </w:r>
      <w:r w:rsidRPr="001B20CB">
        <w:rPr>
          <w:rFonts w:ascii="Arial" w:hAnsi="Arial" w:cs="Arial"/>
          <w:lang w:val="es-419"/>
        </w:rPr>
        <w:t xml:space="preserve"> a nivel gerencial.</w:t>
      </w:r>
    </w:p>
    <w:p w14:paraId="01C8679D" w14:textId="77777777" w:rsidR="007352FD" w:rsidRPr="001B20CB" w:rsidRDefault="001B20CB">
      <w:pPr>
        <w:spacing w:before="200" w:after="200"/>
        <w:ind w:left="579" w:hanging="579"/>
        <w:jc w:val="both"/>
        <w:rPr>
          <w:lang w:val="es-419"/>
        </w:rPr>
      </w:pPr>
      <w:r w:rsidRPr="001B20CB">
        <w:rPr>
          <w:rFonts w:ascii="Arial" w:hAnsi="Arial" w:cs="Arial"/>
          <w:lang w:val="es-419"/>
        </w:rPr>
        <w:t>6.3</w:t>
      </w:r>
      <w:r w:rsidRPr="001B20CB">
        <w:rPr>
          <w:rFonts w:ascii="Arial" w:hAnsi="Arial" w:cs="Arial"/>
          <w:lang w:val="es-419"/>
        </w:rPr>
        <w:tab/>
        <w:t>Es evidente los riesgos planteados debido a la coyuntura actual por la pandemia que pueden traducir en limitación en trabajos de campo. Toda vez, el sector eléctrico ecuatoriano, consciente de la importancia de mantener a las luces prendidas, adoptó varias medidas que se sustentan en una mejor coordinación entre actores, monitoreo operativo, identificación de miembros más vulnerables, inventarios de infraestructura y herramientas.</w:t>
      </w:r>
    </w:p>
    <w:p w14:paraId="003BA058" w14:textId="4468B966" w:rsidR="007352FD" w:rsidRPr="001E4CE1" w:rsidRDefault="001B20CB">
      <w:pPr>
        <w:spacing w:before="120" w:after="120"/>
        <w:ind w:left="579" w:hanging="579"/>
        <w:rPr>
          <w:lang w:val="es-419"/>
        </w:rPr>
      </w:pPr>
      <w:r w:rsidRPr="001E4CE1">
        <w:rPr>
          <w:rFonts w:ascii="Arial" w:hAnsi="Arial" w:cs="Arial"/>
          <w:b/>
          <w:lang w:val="es-419"/>
        </w:rPr>
        <w:t>VII.</w:t>
      </w:r>
      <w:r w:rsidRPr="001E4CE1">
        <w:rPr>
          <w:rFonts w:ascii="Arial" w:hAnsi="Arial" w:cs="Arial"/>
          <w:b/>
          <w:lang w:val="es-419"/>
        </w:rPr>
        <w:tab/>
      </w:r>
      <w:r w:rsidR="006079F9" w:rsidRPr="001E4CE1">
        <w:rPr>
          <w:rFonts w:ascii="Arial" w:hAnsi="Arial" w:cs="Arial"/>
          <w:b/>
          <w:lang w:val="es-419"/>
        </w:rPr>
        <w:t xml:space="preserve">Clasificación </w:t>
      </w:r>
      <w:r w:rsidRPr="001E4CE1">
        <w:rPr>
          <w:rFonts w:ascii="Arial" w:hAnsi="Arial" w:cs="Arial"/>
          <w:b/>
          <w:lang w:val="es-419"/>
        </w:rPr>
        <w:t>Soci</w:t>
      </w:r>
      <w:r w:rsidR="006079F9" w:rsidRPr="001E4CE1">
        <w:rPr>
          <w:rFonts w:ascii="Arial" w:hAnsi="Arial" w:cs="Arial"/>
          <w:b/>
          <w:lang w:val="es-419"/>
        </w:rPr>
        <w:t>oam</w:t>
      </w:r>
      <w:r w:rsidR="001037A9" w:rsidRPr="001E4CE1">
        <w:rPr>
          <w:rFonts w:ascii="Arial" w:hAnsi="Arial" w:cs="Arial"/>
          <w:b/>
          <w:lang w:val="es-419"/>
        </w:rPr>
        <w:t>biental</w:t>
      </w:r>
    </w:p>
    <w:p w14:paraId="0A830D31" w14:textId="58ED93B1" w:rsidR="007352FD" w:rsidRPr="001E4CE1" w:rsidRDefault="001B20CB">
      <w:pPr>
        <w:spacing w:before="240" w:after="120"/>
        <w:ind w:left="579" w:hanging="579"/>
        <w:jc w:val="both"/>
        <w:rPr>
          <w:lang w:val="es-419"/>
        </w:rPr>
      </w:pPr>
      <w:r w:rsidRPr="001E4CE1">
        <w:rPr>
          <w:rFonts w:ascii="Arial" w:hAnsi="Arial" w:cs="Arial"/>
          <w:lang w:val="es-419"/>
        </w:rPr>
        <w:t>7.1</w:t>
      </w:r>
      <w:r w:rsidRPr="001E4CE1">
        <w:rPr>
          <w:rFonts w:ascii="Arial" w:hAnsi="Arial" w:cs="Arial"/>
          <w:lang w:val="es-419"/>
        </w:rPr>
        <w:tab/>
      </w:r>
      <w:r w:rsidR="00D9000F" w:rsidRPr="001E4CE1">
        <w:rPr>
          <w:rFonts w:ascii="Arial" w:hAnsi="Arial" w:cs="Arial"/>
          <w:lang w:val="es-419"/>
        </w:rPr>
        <w:t xml:space="preserve">La </w:t>
      </w:r>
      <w:r w:rsidRPr="001E4CE1">
        <w:rPr>
          <w:rFonts w:ascii="Arial" w:hAnsi="Arial" w:cs="Arial"/>
          <w:lang w:val="es-419"/>
        </w:rPr>
        <w:t>clasifica</w:t>
      </w:r>
      <w:r w:rsidR="001E4CE1" w:rsidRPr="001E4CE1">
        <w:rPr>
          <w:rFonts w:ascii="Arial" w:hAnsi="Arial" w:cs="Arial"/>
          <w:lang w:val="es-419"/>
        </w:rPr>
        <w:t>ción socioambi</w:t>
      </w:r>
      <w:r w:rsidR="001E4CE1">
        <w:rPr>
          <w:rFonts w:ascii="Arial" w:hAnsi="Arial" w:cs="Arial"/>
          <w:lang w:val="es-419"/>
        </w:rPr>
        <w:t xml:space="preserve">ental </w:t>
      </w:r>
      <w:r w:rsidR="00D605BC">
        <w:rPr>
          <w:rFonts w:ascii="Arial" w:hAnsi="Arial" w:cs="Arial"/>
          <w:lang w:val="es-419"/>
        </w:rPr>
        <w:t>para esta operación</w:t>
      </w:r>
      <w:r w:rsidR="001A6C1A">
        <w:rPr>
          <w:rFonts w:ascii="Arial" w:hAnsi="Arial" w:cs="Arial"/>
          <w:lang w:val="es-419"/>
        </w:rPr>
        <w:t xml:space="preserve"> está</w:t>
      </w:r>
      <w:r w:rsidR="005B53B9">
        <w:rPr>
          <w:rFonts w:ascii="Arial" w:hAnsi="Arial" w:cs="Arial"/>
          <w:lang w:val="es-419"/>
        </w:rPr>
        <w:t xml:space="preserve"> como</w:t>
      </w:r>
      <w:r w:rsidR="001A6C1A">
        <w:rPr>
          <w:rFonts w:ascii="Arial" w:hAnsi="Arial" w:cs="Arial"/>
          <w:lang w:val="es-419"/>
        </w:rPr>
        <w:t xml:space="preserve"> </w:t>
      </w:r>
      <w:r w:rsidRPr="001E4CE1">
        <w:rPr>
          <w:rFonts w:ascii="Arial" w:hAnsi="Arial" w:cs="Arial"/>
          <w:lang w:val="es-419"/>
        </w:rPr>
        <w:t>"</w:t>
      </w:r>
      <w:r w:rsidR="005B53B9">
        <w:rPr>
          <w:rFonts w:ascii="Arial" w:hAnsi="Arial" w:cs="Arial"/>
          <w:lang w:val="es-419"/>
        </w:rPr>
        <w:t>indefinida</w:t>
      </w:r>
      <w:r w:rsidRPr="001E4CE1">
        <w:rPr>
          <w:rFonts w:ascii="Arial" w:hAnsi="Arial" w:cs="Arial"/>
          <w:lang w:val="es-419"/>
        </w:rPr>
        <w:t>".</w:t>
      </w:r>
    </w:p>
    <w:sectPr w:rsidR="007352FD" w:rsidRPr="001E4CE1"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B8536" w14:textId="77777777" w:rsidR="00165BBF" w:rsidRDefault="00165BBF">
      <w:r>
        <w:separator/>
      </w:r>
    </w:p>
  </w:endnote>
  <w:endnote w:type="continuationSeparator" w:id="0">
    <w:p w14:paraId="410E60A6" w14:textId="77777777" w:rsidR="00165BBF" w:rsidRDefault="0016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452D" w14:textId="77777777" w:rsidR="007352FD" w:rsidRDefault="001B20CB">
    <w:pPr>
      <w:pStyle w:val="FooterStyle"/>
      <w:jc w:val="center"/>
    </w:pPr>
    <w:r>
      <w:t xml:space="preserve"> - </w:t>
    </w:r>
    <w:r>
      <w:fldChar w:fldCharType="begin"/>
    </w:r>
    <w:r>
      <w:instrText xml:space="preserve"> PAGE </w:instrText>
    </w:r>
    <w:r>
      <w:fldChar w:fldCharType="separate"/>
    </w:r>
    <w:r>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3EBB7" w14:textId="77777777" w:rsidR="00165BBF" w:rsidRDefault="00165BBF">
      <w:r>
        <w:separator/>
      </w:r>
    </w:p>
  </w:footnote>
  <w:footnote w:type="continuationSeparator" w:id="0">
    <w:p w14:paraId="7EF1DE1B" w14:textId="77777777" w:rsidR="00165BBF" w:rsidRDefault="00165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24592"/>
    <w:rsid w:val="000C7476"/>
    <w:rsid w:val="000E1460"/>
    <w:rsid w:val="001037A9"/>
    <w:rsid w:val="00106665"/>
    <w:rsid w:val="001307E9"/>
    <w:rsid w:val="00165BBF"/>
    <w:rsid w:val="00172E32"/>
    <w:rsid w:val="001915A3"/>
    <w:rsid w:val="001A5284"/>
    <w:rsid w:val="001A6C1A"/>
    <w:rsid w:val="001B20CB"/>
    <w:rsid w:val="001C72B4"/>
    <w:rsid w:val="001E4CE1"/>
    <w:rsid w:val="00204DAA"/>
    <w:rsid w:val="0021562C"/>
    <w:rsid w:val="00217F62"/>
    <w:rsid w:val="002218D2"/>
    <w:rsid w:val="00260361"/>
    <w:rsid w:val="002B445B"/>
    <w:rsid w:val="002C73A0"/>
    <w:rsid w:val="002E2A81"/>
    <w:rsid w:val="002F3AA4"/>
    <w:rsid w:val="00375250"/>
    <w:rsid w:val="00384544"/>
    <w:rsid w:val="003B4997"/>
    <w:rsid w:val="0040285B"/>
    <w:rsid w:val="004125F4"/>
    <w:rsid w:val="004910AC"/>
    <w:rsid w:val="004C56AC"/>
    <w:rsid w:val="005169DB"/>
    <w:rsid w:val="0058767D"/>
    <w:rsid w:val="005B53B9"/>
    <w:rsid w:val="006079F9"/>
    <w:rsid w:val="00615221"/>
    <w:rsid w:val="00625D65"/>
    <w:rsid w:val="006650B6"/>
    <w:rsid w:val="006E40F7"/>
    <w:rsid w:val="007352FD"/>
    <w:rsid w:val="00741C3F"/>
    <w:rsid w:val="00747482"/>
    <w:rsid w:val="007C1542"/>
    <w:rsid w:val="008D4C38"/>
    <w:rsid w:val="00910F6A"/>
    <w:rsid w:val="00950AE5"/>
    <w:rsid w:val="009519C9"/>
    <w:rsid w:val="009824D5"/>
    <w:rsid w:val="00A906D8"/>
    <w:rsid w:val="00AB5A74"/>
    <w:rsid w:val="00AF296E"/>
    <w:rsid w:val="00B166C5"/>
    <w:rsid w:val="00B218E7"/>
    <w:rsid w:val="00B32311"/>
    <w:rsid w:val="00B445E7"/>
    <w:rsid w:val="00B77D2F"/>
    <w:rsid w:val="00BC231D"/>
    <w:rsid w:val="00C57ECC"/>
    <w:rsid w:val="00C87285"/>
    <w:rsid w:val="00C96A6B"/>
    <w:rsid w:val="00D605BC"/>
    <w:rsid w:val="00D9000F"/>
    <w:rsid w:val="00DF0B00"/>
    <w:rsid w:val="00E34324"/>
    <w:rsid w:val="00EA733A"/>
    <w:rsid w:val="00EB2FFF"/>
    <w:rsid w:val="00F01682"/>
    <w:rsid w:val="00F071AE"/>
    <w:rsid w:val="00F22AE9"/>
    <w:rsid w:val="00F447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D6F1B"/>
  <w15:docId w15:val="{8D37F797-236A-4B22-8FF1-5108401BE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A6DAC60E05B71B449F2BA612108948A2" ma:contentTypeVersion="2823" ma:contentTypeDescription="The base project type from which other project content types inherit their information." ma:contentTypeScope="" ma:versionID="36bf3ed8bd4529fe2a16c5851cbe78fb">
  <xsd:schema xmlns:xsd="http://www.w3.org/2001/XMLSchema" xmlns:xs="http://www.w3.org/2001/XMLSchema" xmlns:p="http://schemas.microsoft.com/office/2006/metadata/properties" xmlns:ns2="cdc7663a-08f0-4737-9e8c-148ce897a09c" targetNamespace="http://schemas.microsoft.com/office/2006/metadata/properties" ma:root="true" ma:fieldsID="b47e832a23ca6d027aab5ed821a0682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T1459"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E38FD9886F77468138555B68208A20" ma:contentTypeVersion="2825" ma:contentTypeDescription="A content type to manage public (operations) IDB documents" ma:contentTypeScope="" ma:versionID="db24e93f3ab8503934e6cf03a9d02831">
  <xsd:schema xmlns:xsd="http://www.w3.org/2001/XMLSchema" xmlns:xs="http://www.w3.org/2001/XMLSchema" xmlns:p="http://schemas.microsoft.com/office/2006/metadata/properties" xmlns:ns2="cdc7663a-08f0-4737-9e8c-148ce897a09c" targetNamespace="http://schemas.microsoft.com/office/2006/metadata/properties" ma:root="true" ma:fieldsID="29d16c8530efc4d59a0192e0f623597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T145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Marquez Barroeta Fidel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INTEGRATION</TermName>
          <TermId xmlns="http://schemas.microsoft.com/office/infopath/2007/PartnerControls">1d29eac4-5499-4447-a729-351edadf21f0</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452</Value>
      <Value>3</Value>
      <Value>2</Value>
      <Value>8</Value>
      <Value>105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EC-T1459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_dlc_DocId xmlns="cdc7663a-08f0-4737-9e8c-148ce897a09c">EZSHARE-794711145-2</_dlc_DocId>
    <_dlc_DocIdUrl xmlns="cdc7663a-08f0-4737-9e8c-148ce897a09c">
      <Url>https://idbg.sharepoint.com/teams/EZ-EC-TCP/EC-T1459/_layouts/15/DocIdRedir.aspx?ID=EZSHARE-794711145-2</Url>
      <Description>EZSHARE-794711145-2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29A029F-F701-49F7-9CC0-CE491F38DB5C}"/>
</file>

<file path=customXml/itemProps2.xml><?xml version="1.0" encoding="utf-8"?>
<ds:datastoreItem xmlns:ds="http://schemas.openxmlformats.org/officeDocument/2006/customXml" ds:itemID="{B112727D-E971-4404-9161-89D4A39AAC7D}"/>
</file>

<file path=customXml/itemProps3.xml><?xml version="1.0" encoding="utf-8"?>
<ds:datastoreItem xmlns:ds="http://schemas.openxmlformats.org/officeDocument/2006/customXml" ds:itemID="{D46EA3F8-461F-4895-9691-BE1621762380}"/>
</file>

<file path=customXml/itemProps4.xml><?xml version="1.0" encoding="utf-8"?>
<ds:datastoreItem xmlns:ds="http://schemas.openxmlformats.org/officeDocument/2006/customXml" ds:itemID="{2787106B-B6BC-4098-A2A4-474C2FF2CF0F}"/>
</file>

<file path=customXml/itemProps5.xml><?xml version="1.0" encoding="utf-8"?>
<ds:datastoreItem xmlns:ds="http://schemas.openxmlformats.org/officeDocument/2006/customXml" ds:itemID="{4FF59BFD-9AAE-4DDF-86AC-E4215531B014}"/>
</file>

<file path=customXml/itemProps6.xml><?xml version="1.0" encoding="utf-8"?>
<ds:datastoreItem xmlns:ds="http://schemas.openxmlformats.org/officeDocument/2006/customXml" ds:itemID="{E1552D70-AA7E-478A-9EDC-8AFB95D80F9A}"/>
</file>

<file path=docProps/app.xml><?xml version="1.0" encoding="utf-8"?>
<Properties xmlns="http://schemas.openxmlformats.org/officeDocument/2006/extended-properties" xmlns:vt="http://schemas.openxmlformats.org/officeDocument/2006/docPropsVTypes">
  <Template>Normal</Template>
  <TotalTime>192</TotalTime>
  <Pages>4</Pages>
  <Words>1577</Words>
  <Characters>8992</Characters>
  <Application>Microsoft Office Word</Application>
  <DocSecurity>0</DocSecurity>
  <Lines>74</Lines>
  <Paragraphs>21</Paragraphs>
  <ScaleCrop>false</ScaleCrop>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Marquez Barroeta, Fidel</dc:creator>
  <cp:keywords/>
  <cp:lastModifiedBy>Marquez Barroeta, Fidel</cp:lastModifiedBy>
  <cp:revision>62</cp:revision>
  <dcterms:created xsi:type="dcterms:W3CDTF">2021-08-11T21:36:00Z</dcterms:created>
  <dcterms:modified xsi:type="dcterms:W3CDTF">2021-08-12T17:05:00Z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2;#Ecuador|8f163189-00fa-4e7c-827d-28fb5798781c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8;#Project Preparation Planning and Design|29ca0c72-1fc4-435f-a09c-28585cb5eac9</vt:lpwstr>
  </property>
  <property fmtid="{D5CDD505-2E9C-101B-9397-08002B2CF9AE}" pid="10" name="Sector_x0020_IDB">
    <vt:lpwstr/>
  </property>
  <property fmtid="{D5CDD505-2E9C-101B-9397-08002B2CF9AE}" pid="11" name="Sub-Sector">
    <vt:lpwstr>452;#ENERGY INTEGRATION|1d29eac4-5499-4447-a729-351edadf21f0</vt:lpwstr>
  </property>
  <property fmtid="{D5CDD505-2E9C-101B-9397-08002B2CF9AE}" pid="13" name="Fund IDB">
    <vt:lpwstr>105;#INF|474aab72-0205-4196-bca7-4b288939fcb3</vt:lpwstr>
  </property>
  <property fmtid="{D5CDD505-2E9C-101B-9397-08002B2CF9AE}" pid="14" name="Sector IDB">
    <vt:lpwstr>3;#ENERGY|4fed196a-cd0b-4970-87de-42da17f9b203</vt:lpwstr>
  </property>
  <property fmtid="{D5CDD505-2E9C-101B-9397-08002B2CF9AE}" pid="15" name="_dlc_DocIdItemGuid">
    <vt:lpwstr>19cf1295-87d6-4e91-93c1-c450921122cf</vt:lpwstr>
  </property>
  <property fmtid="{D5CDD505-2E9C-101B-9397-08002B2CF9AE}" pid="16" name="Disclosure Activity">
    <vt:lpwstr>TC Abstract</vt:lpwstr>
  </property>
  <property fmtid="{D5CDD505-2E9C-101B-9397-08002B2CF9AE}" pid="18" name="ContentTypeId">
    <vt:lpwstr>0x0101001A458A224826124E8B45B1D613300CFC0071E38FD9886F77468138555B68208A20</vt:lpwstr>
  </property>
  <property fmtid="{D5CDD505-2E9C-101B-9397-08002B2CF9AE}" pid="19" name="Series Operations IDB">
    <vt:lpwstr/>
  </property>
</Properties>
</file>