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horzAnchor="margin" w:tblpY="825"/>
        <w:tblW w:w="0" w:type="auto"/>
        <w:tblLook w:val="04A0" w:firstRow="1" w:lastRow="0" w:firstColumn="1" w:lastColumn="0" w:noHBand="0" w:noVBand="1"/>
      </w:tblPr>
      <w:tblGrid>
        <w:gridCol w:w="2808"/>
        <w:gridCol w:w="3870"/>
        <w:gridCol w:w="6422"/>
      </w:tblGrid>
      <w:tr w:rsidR="00E9227F" w:rsidTr="00A06B29">
        <w:trPr>
          <w:trHeight w:val="530"/>
          <w:tblHeader/>
        </w:trPr>
        <w:tc>
          <w:tcPr>
            <w:tcW w:w="13100" w:type="dxa"/>
            <w:gridSpan w:val="3"/>
            <w:shd w:val="clear" w:color="auto" w:fill="B8CCE4" w:themeFill="accent1" w:themeFillTint="66"/>
            <w:vAlign w:val="center"/>
          </w:tcPr>
          <w:p w:rsidR="00E9227F" w:rsidRPr="00B910CA" w:rsidRDefault="00E9227F" w:rsidP="00B910CA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bookmarkStart w:id="0" w:name="_GoBack"/>
            <w:bookmarkEnd w:id="0"/>
            <w:r w:rsidRPr="00A06B29">
              <w:rPr>
                <w:rFonts w:ascii="Arial" w:hAnsi="Arial" w:cs="Arial"/>
                <w:b/>
                <w:bCs/>
                <w:sz w:val="24"/>
                <w:lang w:val="es-ES"/>
              </w:rPr>
              <w:t>CONSISTENCIA</w:t>
            </w:r>
            <w:r w:rsidRPr="00B910CA">
              <w:rPr>
                <w:rFonts w:ascii="Arial" w:hAnsi="Arial" w:cs="Arial"/>
                <w:b/>
                <w:bCs/>
                <w:lang w:val="es-ES"/>
              </w:rPr>
              <w:t xml:space="preserve"> DEL PROGRAMA CON LAS </w:t>
            </w:r>
            <w:r w:rsidR="00B910CA" w:rsidRPr="00B910CA">
              <w:rPr>
                <w:rFonts w:ascii="Arial" w:hAnsi="Arial" w:cs="Arial"/>
                <w:b/>
                <w:bCs/>
                <w:lang w:val="es-ES"/>
              </w:rPr>
              <w:t>ESTRATEGIAS SECTORIALES</w:t>
            </w:r>
          </w:p>
        </w:tc>
      </w:tr>
      <w:tr w:rsidR="00BE2D2D" w:rsidTr="00A06B29">
        <w:trPr>
          <w:tblHeader/>
        </w:trPr>
        <w:tc>
          <w:tcPr>
            <w:tcW w:w="2808" w:type="dxa"/>
            <w:shd w:val="clear" w:color="auto" w:fill="D9D9D9" w:themeFill="background1" w:themeFillShade="D9"/>
            <w:vAlign w:val="center"/>
          </w:tcPr>
          <w:p w:rsidR="00BE2D2D" w:rsidRPr="00A06B29" w:rsidRDefault="00BE2D2D" w:rsidP="00B910CA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A06B2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ESTRATEGIA SECTORIAL</w:t>
            </w:r>
          </w:p>
        </w:tc>
        <w:tc>
          <w:tcPr>
            <w:tcW w:w="3870" w:type="dxa"/>
            <w:shd w:val="clear" w:color="auto" w:fill="D9D9D9" w:themeFill="background1" w:themeFillShade="D9"/>
            <w:vAlign w:val="center"/>
          </w:tcPr>
          <w:p w:rsidR="00BE2D2D" w:rsidRPr="00A06B29" w:rsidRDefault="00BE2D2D" w:rsidP="00B910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A06B2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PRINCIPIOS ESTRATÉGICOS</w:t>
            </w:r>
            <w:r w:rsidR="0096718B" w:rsidRPr="00A06B2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/ AREAS ESTRATÉGICAS</w:t>
            </w:r>
          </w:p>
        </w:tc>
        <w:tc>
          <w:tcPr>
            <w:tcW w:w="6422" w:type="dxa"/>
            <w:shd w:val="clear" w:color="auto" w:fill="D9D9D9" w:themeFill="background1" w:themeFillShade="D9"/>
            <w:vAlign w:val="center"/>
          </w:tcPr>
          <w:p w:rsidR="00BE2D2D" w:rsidRPr="00A06B29" w:rsidRDefault="00BE2D2D" w:rsidP="00B910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A06B2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ÁREAS PRIORITARIAS DE ACCIÓN</w:t>
            </w:r>
            <w:r w:rsidR="009D346C" w:rsidRPr="00A06B2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/ SECTORES PRIORITARIOS</w:t>
            </w:r>
          </w:p>
        </w:tc>
      </w:tr>
      <w:tr w:rsidR="002A1683" w:rsidTr="00322F8B">
        <w:trPr>
          <w:trHeight w:val="1862"/>
          <w:tblHeader/>
        </w:trPr>
        <w:tc>
          <w:tcPr>
            <w:tcW w:w="2808" w:type="dxa"/>
            <w:vMerge w:val="restart"/>
            <w:vAlign w:val="center"/>
          </w:tcPr>
          <w:p w:rsidR="00A06B29" w:rsidRPr="00A06B29" w:rsidRDefault="00A06B29" w:rsidP="00B910CA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A06B2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GN-2609-1</w:t>
            </w:r>
          </w:p>
          <w:p w:rsidR="002A1683" w:rsidRPr="00BE2D2D" w:rsidRDefault="002A1683" w:rsidP="00B910CA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A06B2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Estrategia de mitigación y adaptación al cambio climático y de energía sostenible y renovable (marzo 2011)</w:t>
            </w:r>
          </w:p>
        </w:tc>
        <w:tc>
          <w:tcPr>
            <w:tcW w:w="3870" w:type="dxa"/>
            <w:vAlign w:val="center"/>
          </w:tcPr>
          <w:p w:rsidR="002A1683" w:rsidRPr="009D346C" w:rsidRDefault="002A1683" w:rsidP="0096718B">
            <w:pPr>
              <w:pStyle w:val="ListParagraph"/>
              <w:numPr>
                <w:ilvl w:val="0"/>
                <w:numId w:val="9"/>
              </w:numPr>
              <w:ind w:left="432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Cs/>
                <w:sz w:val="20"/>
                <w:szCs w:val="20"/>
                <w:lang w:val="es-ES"/>
              </w:rPr>
              <w:t>Gestión de agua y saneamiento.</w:t>
            </w:r>
          </w:p>
          <w:p w:rsidR="002A1683" w:rsidRPr="00BE2D2D" w:rsidRDefault="002A1683" w:rsidP="002A1683">
            <w:pPr>
              <w:pStyle w:val="ListParagraph"/>
              <w:ind w:left="432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6422" w:type="dxa"/>
            <w:vAlign w:val="center"/>
          </w:tcPr>
          <w:p w:rsidR="002A1683" w:rsidRPr="009D346C" w:rsidRDefault="002A1683" w:rsidP="002A1683">
            <w:pPr>
              <w:ind w:left="-18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I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ntroducir prácticas adecuadas de gestión de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recursos hídricos dentro de un marco institucional claro y sensible al clima;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integrar transversalmente la adaptación al cambio climático en las prácticas de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gestión hídrica incorporando los riesgos del sector frente al cambio climático en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planes nacionales y locales de desarrollo; implementar medidas de adaptación; y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mejorar la gestión de información y conocimiento, dado que el manejo de los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recursos hídricos afecta a otros sectores como energía, salud y seguridad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alimentaria</w:t>
            </w:r>
          </w:p>
        </w:tc>
      </w:tr>
      <w:tr w:rsidR="002A1683" w:rsidTr="00A06B29">
        <w:trPr>
          <w:trHeight w:val="1970"/>
          <w:tblHeader/>
        </w:trPr>
        <w:tc>
          <w:tcPr>
            <w:tcW w:w="2808" w:type="dxa"/>
            <w:vMerge/>
            <w:vAlign w:val="center"/>
          </w:tcPr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870" w:type="dxa"/>
            <w:vAlign w:val="center"/>
          </w:tcPr>
          <w:p w:rsidR="002A1683" w:rsidRPr="009D346C" w:rsidRDefault="002A1683" w:rsidP="002A1683">
            <w:pPr>
              <w:pStyle w:val="ListParagraph"/>
              <w:numPr>
                <w:ilvl w:val="0"/>
                <w:numId w:val="9"/>
              </w:numPr>
              <w:ind w:left="432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Transporte urbano sostenible.</w:t>
            </w:r>
          </w:p>
          <w:p w:rsidR="002A1683" w:rsidRPr="009D346C" w:rsidRDefault="002A1683" w:rsidP="002A1683">
            <w:pPr>
              <w:pStyle w:val="ListParagraph"/>
              <w:ind w:left="432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6422" w:type="dxa"/>
            <w:vAlign w:val="center"/>
          </w:tcPr>
          <w:p w:rsidR="002A1683" w:rsidRPr="009D346C" w:rsidRDefault="002A1683" w:rsidP="002A1683">
            <w:pPr>
              <w:pStyle w:val="ListParagraph"/>
              <w:ind w:left="0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Dada la relevancia de los sistemas de transporte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como eje del desarrollo económico en la región, existe la necesidad imperiosa de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que el Banco contribuya a garantizar que sus inversiones sean resilientes al clima,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usando para este fin la mejor tecnología existente con el fin de entender mejor la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naturaleza y magnitud de los impactos anticipados del cambio climático</w:t>
            </w:r>
          </w:p>
        </w:tc>
      </w:tr>
      <w:tr w:rsidR="002A1683" w:rsidTr="00A06B29">
        <w:trPr>
          <w:trHeight w:val="260"/>
          <w:tblHeader/>
        </w:trPr>
        <w:tc>
          <w:tcPr>
            <w:tcW w:w="2808" w:type="dxa"/>
            <w:vMerge/>
            <w:vAlign w:val="center"/>
          </w:tcPr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870" w:type="dxa"/>
            <w:vAlign w:val="center"/>
          </w:tcPr>
          <w:p w:rsidR="002A1683" w:rsidRDefault="002A1683" w:rsidP="002A1683">
            <w:pPr>
              <w:pStyle w:val="ListParagraph"/>
              <w:numPr>
                <w:ilvl w:val="0"/>
                <w:numId w:val="9"/>
              </w:numPr>
              <w:ind w:left="432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Desarrollo urbano integrado y ciudades resilientes frente al cambio climático.</w:t>
            </w:r>
          </w:p>
          <w:p w:rsidR="002A1683" w:rsidRPr="009D346C" w:rsidRDefault="002A1683" w:rsidP="002A1683">
            <w:pPr>
              <w:pStyle w:val="ListParagraph"/>
              <w:ind w:left="432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6422" w:type="dxa"/>
            <w:vAlign w:val="center"/>
          </w:tcPr>
          <w:p w:rsidR="002A1683" w:rsidRPr="002A1683" w:rsidRDefault="002A1683" w:rsidP="002A1683">
            <w:pPr>
              <w:pStyle w:val="ListParagraph"/>
              <w:ind w:left="0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Con el fin de incrementar la resiliencia al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clima, las ciudades deben integrar transversalmente la gestión de cambio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climático y riesgos de desastres dentro la planificación del desarrollo urbano y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preparar planes de acción orientados a la adaptación al cambio climático que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incluyan: (i) análisis de los peligros naturales a los que se encuentran expuestas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las ciudades, (ii) un ordenamiento territorial adecuado, (iii) gestión integrada de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recursos hídricos, (iv) gestión de riesgos de desastres, (v) la implementación de</w:t>
            </w:r>
          </w:p>
          <w:p w:rsidR="002A1683" w:rsidRPr="009D346C" w:rsidRDefault="002A1683" w:rsidP="002A1683">
            <w:pPr>
              <w:pStyle w:val="ListParagraph"/>
              <w:ind w:left="0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códigos de construcción adecuados que tomen en cuenta los impactos posibles del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cambio climático, y (vi) la identificación de mecanismos financieros y de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transferencia de riesgos</w:t>
            </w:r>
          </w:p>
        </w:tc>
      </w:tr>
      <w:tr w:rsidR="002A1683" w:rsidTr="00A06B29">
        <w:trPr>
          <w:trHeight w:val="1253"/>
          <w:tblHeader/>
        </w:trPr>
        <w:tc>
          <w:tcPr>
            <w:tcW w:w="2808" w:type="dxa"/>
            <w:vMerge/>
            <w:vAlign w:val="center"/>
          </w:tcPr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870" w:type="dxa"/>
            <w:vAlign w:val="center"/>
          </w:tcPr>
          <w:p w:rsidR="002A1683" w:rsidRPr="002A1683" w:rsidRDefault="002A1683" w:rsidP="002A1683">
            <w:pPr>
              <w:ind w:left="55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5.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Gestión de riesgos de desastres y cambio climático.</w:t>
            </w:r>
          </w:p>
        </w:tc>
        <w:tc>
          <w:tcPr>
            <w:tcW w:w="6422" w:type="dxa"/>
            <w:vAlign w:val="center"/>
          </w:tcPr>
          <w:p w:rsidR="002A1683" w:rsidRDefault="002A1683" w:rsidP="002A1683">
            <w:pPr>
              <w:pStyle w:val="ListParagraph"/>
              <w:ind w:left="0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Las acciones más urgentes en favor de la adaptación en el largo plazo deberían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incluir los cinco elementos principales de un sistema efectivo de manejo de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desastres, a saber: (i) identificación de riesgos; (ii) preparación para emergencias,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(iii) formación de capacidad institucional, (iv) mitigación de riesgos, y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(v) financiamiento para riesgos de catástrofe.</w:t>
            </w:r>
          </w:p>
          <w:p w:rsidR="002A1683" w:rsidRDefault="002A1683" w:rsidP="002A1683">
            <w:pPr>
              <w:pStyle w:val="ListParagraph"/>
              <w:ind w:left="0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2A1683" w:rsidRPr="009D346C" w:rsidRDefault="002A1683" w:rsidP="002A1683">
            <w:pPr>
              <w:pStyle w:val="ListParagraph"/>
              <w:ind w:left="0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En el contexto de la adaptación de largo plazo, los mecanismos financieros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destinados a reducir la vulnerabilidad no solo deberían enfocarse en la respuesta a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la emergencia. También deberían centrarse en la promoción de estrategias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preventivas de reducción y gestión de riesgos, incluyendo la distribución de los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mismos y mecanismos innovadores de transferencia como son los esquemas de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seguros u otros medios que permitan hacer frente a las pérdidas y daños asociados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al cambio climático, así como participar en esfuerzos de diversificación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A1683">
              <w:rPr>
                <w:rFonts w:ascii="Arial" w:hAnsi="Arial" w:cs="Arial"/>
                <w:bCs/>
                <w:sz w:val="20"/>
                <w:szCs w:val="20"/>
                <w:lang w:val="es-ES"/>
              </w:rPr>
              <w:t>económica de largo plazo.</w:t>
            </w:r>
          </w:p>
        </w:tc>
      </w:tr>
      <w:tr w:rsidR="002A1683" w:rsidTr="00A06B29">
        <w:trPr>
          <w:trHeight w:val="1073"/>
          <w:tblHeader/>
        </w:trPr>
        <w:tc>
          <w:tcPr>
            <w:tcW w:w="2808" w:type="dxa"/>
            <w:vMerge w:val="restart"/>
            <w:vAlign w:val="center"/>
          </w:tcPr>
          <w:p w:rsidR="00A06B29" w:rsidRPr="00A06B29" w:rsidRDefault="00A06B29" w:rsidP="008D79FC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A06B2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GN-2588-4</w:t>
            </w:r>
          </w:p>
          <w:p w:rsidR="008D79FC" w:rsidRPr="00A06B29" w:rsidRDefault="008D79FC" w:rsidP="008D79FC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A06B2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Política social para la igualdad y la productividad (marzo 2011)</w:t>
            </w:r>
          </w:p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870" w:type="dxa"/>
            <w:vAlign w:val="center"/>
          </w:tcPr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1. </w:t>
            </w: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Invertir con eficacia en el desarrollo de la primera infancia</w:t>
            </w:r>
          </w:p>
        </w:tc>
        <w:tc>
          <w:tcPr>
            <w:tcW w:w="6422" w:type="dxa"/>
            <w:vAlign w:val="center"/>
          </w:tcPr>
          <w:p w:rsidR="002A1683" w:rsidRPr="0096718B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a. Asegurar que los niños pobres tengan acceso a servicios integrales de desarrollo de la</w:t>
            </w:r>
          </w:p>
          <w:p w:rsidR="002A1683" w:rsidRPr="0096718B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primera infancia, incluidos los de nutrición esencial y estimulación temprana y los</w:t>
            </w:r>
          </w:p>
          <w:p w:rsidR="002A1683" w:rsidRPr="0096718B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componentes de educación impartida por los padres.</w:t>
            </w:r>
          </w:p>
          <w:p w:rsidR="002A1683" w:rsidRPr="0096718B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b. Identificar modalidades de servicio de alta calidad, eficaces desde el punto de vista de los</w:t>
            </w:r>
          </w:p>
          <w:p w:rsidR="002A1683" w:rsidRPr="0096718B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costos, y que no tengan altas tasas de deserción. </w:t>
            </w:r>
          </w:p>
          <w:p w:rsidR="002A1683" w:rsidRPr="0096718B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c. Revisar y, en muchos países, reformar los procesos de selección, certificación y capacitación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de los maestros preescolares y demás personas que brindan servicios de desarrollo de la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primera infancia.</w:t>
            </w:r>
          </w:p>
          <w:p w:rsidR="002A1683" w:rsidRPr="0096718B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d. Fortalecer iniciativas que articulen la enseñanza preescolar con el ciclo de educación</w:t>
            </w:r>
          </w:p>
          <w:p w:rsidR="002A1683" w:rsidRPr="0096718B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primaria, empezando por adoptar una mayor concentración en aptitudes verbales y</w:t>
            </w:r>
          </w:p>
          <w:p w:rsidR="002A1683" w:rsidRPr="0096718B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matemáticas en la enseñanza preescolar y velando por que este énfasis se mantenga y se</w:t>
            </w:r>
          </w:p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articule mejor en los primeros grados de la educación primaria.</w:t>
            </w:r>
          </w:p>
        </w:tc>
      </w:tr>
      <w:tr w:rsidR="002A1683" w:rsidTr="00A06B29">
        <w:trPr>
          <w:trHeight w:val="1073"/>
          <w:tblHeader/>
        </w:trPr>
        <w:tc>
          <w:tcPr>
            <w:tcW w:w="2808" w:type="dxa"/>
            <w:vMerge/>
            <w:vAlign w:val="center"/>
          </w:tcPr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870" w:type="dxa"/>
            <w:vAlign w:val="center"/>
          </w:tcPr>
          <w:p w:rsidR="002A1683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2. </w:t>
            </w: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Mejorar la calidad escolar</w:t>
            </w:r>
          </w:p>
        </w:tc>
        <w:tc>
          <w:tcPr>
            <w:tcW w:w="6422" w:type="dxa"/>
            <w:vAlign w:val="center"/>
          </w:tcPr>
          <w:p w:rsidR="002A1683" w:rsidRPr="0096718B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1. </w:t>
            </w: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Lograr que los alumnos adquieran aptitudes cognitivas y no cognitivas requiere un cuerpo docente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que las posea para poder enseñarlas. El primer paso para mejorar la calidad de los maestros es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ampliar el contenido, los conocimientos pedagógicos y las aptitudes no cognitivas de los docentes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mediante una mejor selección de candidatos, y una capacitación más rigurosa antes y durante los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años de docencia. </w:t>
            </w:r>
          </w:p>
          <w:p w:rsidR="002A1683" w:rsidRPr="0096718B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2. </w:t>
            </w: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suministrar un mayor número de</w:t>
            </w:r>
          </w:p>
          <w:p w:rsidR="002A1683" w:rsidRPr="0096718B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insumos educativos clave —infraestructura, recursos de aprendizaje y tiempo de instrucción— que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además deberían estar mejor distribuidos, para crear las condiciones necesarias para un mejor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aprendizaje y una educación de mayor calidad. En especial, han de asignarse recursos adicionales</w:t>
            </w:r>
          </w:p>
          <w:p w:rsidR="002A1683" w:rsidRPr="0096718B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a los establecimientos escolares que atienden a alumnos desfavorecidos —niños pobres, de zonas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rurales o pertenecientes a grupos étnicos minoritarios— para compensar las insuficiencias con que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llegan al establecimiento escolar.</w:t>
            </w:r>
          </w:p>
          <w:p w:rsidR="002A1683" w:rsidRPr="0096718B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3. P</w:t>
            </w: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>roceso mediante el cual los distintos insumos escolares se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96718B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combinan para hacer que se aprenda. </w:t>
            </w:r>
          </w:p>
        </w:tc>
      </w:tr>
      <w:tr w:rsidR="002A1683" w:rsidTr="00A06B29">
        <w:trPr>
          <w:trHeight w:val="1154"/>
          <w:tblHeader/>
        </w:trPr>
        <w:tc>
          <w:tcPr>
            <w:tcW w:w="2808" w:type="dxa"/>
            <w:vAlign w:val="center"/>
          </w:tcPr>
          <w:p w:rsidR="008D79FC" w:rsidRPr="00BC7D50" w:rsidRDefault="008D79FC" w:rsidP="008D79FC">
            <w:pPr>
              <w:rPr>
                <w:rFonts w:ascii="Arial" w:hAnsi="Arial" w:cs="Arial"/>
                <w:b/>
              </w:rPr>
            </w:pPr>
            <w:r w:rsidRPr="00BC7D50">
              <w:rPr>
                <w:rFonts w:ascii="Arial" w:hAnsi="Arial" w:cs="Arial"/>
                <w:b/>
              </w:rPr>
              <w:t>GN-2587-2</w:t>
            </w:r>
          </w:p>
          <w:p w:rsidR="002A1683" w:rsidRPr="00BE2D2D" w:rsidRDefault="008D79FC" w:rsidP="008D79FC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Instituciones para el Crecimiento y el bienestar social (marzo 2011)</w:t>
            </w:r>
          </w:p>
        </w:tc>
        <w:tc>
          <w:tcPr>
            <w:tcW w:w="3870" w:type="dxa"/>
            <w:vAlign w:val="center"/>
          </w:tcPr>
          <w:p w:rsidR="002A1683" w:rsidRPr="00BE2D2D" w:rsidRDefault="008D79FC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8D79FC">
              <w:rPr>
                <w:rFonts w:ascii="Arial" w:hAnsi="Arial" w:cs="Arial"/>
                <w:bCs/>
                <w:sz w:val="20"/>
                <w:szCs w:val="20"/>
                <w:lang w:val="es-ES"/>
              </w:rPr>
              <w:t>Gestión y financiamiento del sector público</w:t>
            </w:r>
          </w:p>
        </w:tc>
        <w:tc>
          <w:tcPr>
            <w:tcW w:w="6422" w:type="dxa"/>
            <w:vAlign w:val="center"/>
          </w:tcPr>
          <w:p w:rsidR="002A1683" w:rsidRPr="008D79FC" w:rsidRDefault="008D79FC" w:rsidP="008D79FC">
            <w:pPr>
              <w:pStyle w:val="ListParagraph"/>
              <w:numPr>
                <w:ilvl w:val="0"/>
                <w:numId w:val="10"/>
              </w:numPr>
              <w:ind w:left="342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8D79F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Gestión del sector público</w:t>
            </w:r>
          </w:p>
          <w:p w:rsidR="008D79FC" w:rsidRDefault="008D79FC" w:rsidP="008D79FC">
            <w:pPr>
              <w:pStyle w:val="ListParagraph"/>
              <w:numPr>
                <w:ilvl w:val="1"/>
                <w:numId w:val="10"/>
              </w:numPr>
              <w:ind w:left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Gestión del gasto público</w:t>
            </w:r>
          </w:p>
          <w:p w:rsidR="008D79FC" w:rsidRDefault="008D79FC" w:rsidP="008D79FC">
            <w:pPr>
              <w:pStyle w:val="ListParagraph"/>
              <w:numPr>
                <w:ilvl w:val="1"/>
                <w:numId w:val="10"/>
              </w:numPr>
              <w:ind w:left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P</w:t>
            </w:r>
            <w:r w:rsidRPr="008D79F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restación de servicios públicos que satisfaga la demanda de la ciudadanía</w:t>
            </w:r>
          </w:p>
          <w:p w:rsidR="008D79FC" w:rsidRPr="008D79FC" w:rsidRDefault="008D79FC" w:rsidP="008D79FC">
            <w:pPr>
              <w:pStyle w:val="ListParagraph"/>
              <w:numPr>
                <w:ilvl w:val="0"/>
                <w:numId w:val="10"/>
              </w:numPr>
              <w:ind w:left="342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8D79F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Consideraciones institucionales de los gobiernos subnacionales y locales </w:t>
            </w:r>
          </w:p>
          <w:p w:rsidR="008D79FC" w:rsidRDefault="008D79FC" w:rsidP="008D79FC">
            <w:pPr>
              <w:pStyle w:val="ListParagraph"/>
              <w:numPr>
                <w:ilvl w:val="1"/>
                <w:numId w:val="10"/>
              </w:numPr>
              <w:ind w:left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8D79FC">
              <w:rPr>
                <w:rFonts w:ascii="Arial" w:hAnsi="Arial" w:cs="Arial"/>
                <w:bCs/>
                <w:sz w:val="20"/>
                <w:szCs w:val="20"/>
                <w:lang w:val="es-ES"/>
              </w:rPr>
              <w:t>Fortalecer y consolidar los procesos de descentralización</w:t>
            </w:r>
          </w:p>
          <w:p w:rsidR="008D79FC" w:rsidRPr="008D79FC" w:rsidRDefault="008D79FC" w:rsidP="008D79FC">
            <w:pPr>
              <w:pStyle w:val="ListParagraph"/>
              <w:numPr>
                <w:ilvl w:val="1"/>
                <w:numId w:val="10"/>
              </w:numPr>
              <w:ind w:left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8D79F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Respaldar la eficacia del desarrollo económico local, la calidad de vida y la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8D79F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reducción de la pobreza</w:t>
            </w:r>
          </w:p>
        </w:tc>
      </w:tr>
      <w:tr w:rsidR="002A1683" w:rsidTr="00A06B29">
        <w:trPr>
          <w:trHeight w:val="710"/>
          <w:tblHeader/>
        </w:trPr>
        <w:tc>
          <w:tcPr>
            <w:tcW w:w="2808" w:type="dxa"/>
            <w:vMerge w:val="restart"/>
            <w:vAlign w:val="center"/>
          </w:tcPr>
          <w:p w:rsidR="002A1683" w:rsidRPr="00BC7D50" w:rsidRDefault="002A1683" w:rsidP="002A1683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BC7D50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GN-2710-5</w:t>
            </w:r>
          </w:p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Infraestructura Sostenible para la Competitividad y el Crecimiento Inclusivo </w:t>
            </w:r>
          </w:p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Estrategia de Infraestructura</w:t>
            </w:r>
          </w:p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(diciembre 2013)</w:t>
            </w:r>
          </w:p>
        </w:tc>
        <w:tc>
          <w:tcPr>
            <w:tcW w:w="3870" w:type="dxa"/>
            <w:vAlign w:val="center"/>
          </w:tcPr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A) Financiamiento y asistencia técnica para</w:t>
            </w:r>
          </w:p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una infraestructura que contribuya al</w:t>
            </w:r>
          </w:p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crecimiento económico, provea acceso y</w:t>
            </w:r>
          </w:p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fomente la integración regional y global</w:t>
            </w:r>
          </w:p>
        </w:tc>
        <w:tc>
          <w:tcPr>
            <w:tcW w:w="6422" w:type="dxa"/>
            <w:vAlign w:val="center"/>
          </w:tcPr>
          <w:p w:rsidR="002A1683" w:rsidRPr="009D346C" w:rsidRDefault="002A1683" w:rsidP="002A1683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1. Promover el acceso a los servicios de</w:t>
            </w:r>
          </w:p>
          <w:p w:rsidR="002A1683" w:rsidRPr="009D346C" w:rsidRDefault="002A1683" w:rsidP="002A1683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Infraestructura</w:t>
            </w:r>
          </w:p>
          <w:p w:rsidR="002A1683" w:rsidRPr="00BE2D2D" w:rsidRDefault="002A1683" w:rsidP="002A1683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Contribuir a alcanzar el acceso universal a los servicios de agua y saneamiento y electricidad</w:t>
            </w:r>
          </w:p>
          <w:p w:rsidR="002A1683" w:rsidRPr="00BE2D2D" w:rsidRDefault="002A1683" w:rsidP="002A1683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Acceso a (…) a la red de caminos</w:t>
            </w:r>
          </w:p>
          <w:p w:rsidR="002A1683" w:rsidRPr="009D346C" w:rsidRDefault="002A1683" w:rsidP="002A1683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2. Apoyar la infraestructura para la</w:t>
            </w:r>
          </w:p>
          <w:p w:rsidR="002A1683" w:rsidRPr="009D346C" w:rsidRDefault="002A1683" w:rsidP="002A1683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integración regional y global</w:t>
            </w:r>
          </w:p>
          <w:p w:rsidR="002A1683" w:rsidRPr="00BE2D2D" w:rsidRDefault="002A1683" w:rsidP="002A1683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Infraestructura local y regional efectiva para ampliar e integrar mercados, lograr economías de escala, promover la participación del sector privado y atraer inversión extranjera</w:t>
            </w:r>
          </w:p>
          <w:p w:rsidR="002A1683" w:rsidRPr="009D346C" w:rsidRDefault="002A1683" w:rsidP="002A1683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3. Fomentar mecanismos innovadores para</w:t>
            </w:r>
          </w:p>
          <w:p w:rsidR="002A1683" w:rsidRPr="009D346C" w:rsidRDefault="002A1683" w:rsidP="002A1683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la financiación de la infraestructura y</w:t>
            </w:r>
          </w:p>
          <w:p w:rsidR="002A1683" w:rsidRPr="009D346C" w:rsidRDefault="002A1683" w:rsidP="002A1683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apalancar la participación del sector</w:t>
            </w:r>
          </w:p>
          <w:p w:rsidR="002A1683" w:rsidRPr="009D346C" w:rsidRDefault="002A1683" w:rsidP="002A1683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privado</w:t>
            </w:r>
          </w:p>
          <w:p w:rsidR="002A1683" w:rsidRDefault="002A1683" w:rsidP="002A1683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I</w:t>
            </w: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ntroducir la participación privada en la construcción y gestión de infraestructura</w:t>
            </w:r>
          </w:p>
          <w:p w:rsidR="002A1683" w:rsidRPr="00BE2D2D" w:rsidRDefault="002A1683" w:rsidP="002A1683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apoyar a los gobiernos, instituciones financieras y banca pública de 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d</w:t>
            </w: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esarrollo en la creación o mejora</w:t>
            </w:r>
          </w:p>
          <w:p w:rsidR="002A1683" w:rsidRPr="00BE2D2D" w:rsidRDefault="002A1683" w:rsidP="002A1683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de capacidades técnicas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(…)</w:t>
            </w:r>
          </w:p>
        </w:tc>
      </w:tr>
      <w:tr w:rsidR="002A1683" w:rsidTr="00A06B29">
        <w:trPr>
          <w:trHeight w:val="1703"/>
          <w:tblHeader/>
        </w:trPr>
        <w:tc>
          <w:tcPr>
            <w:tcW w:w="2808" w:type="dxa"/>
            <w:vMerge/>
            <w:vAlign w:val="center"/>
          </w:tcPr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870" w:type="dxa"/>
            <w:vAlign w:val="center"/>
          </w:tcPr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B) Planificar, construir y mantener infraestructura</w:t>
            </w:r>
          </w:p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para proveer servicios de calidad que promuevan el</w:t>
            </w:r>
          </w:p>
          <w:p w:rsidR="002A1683" w:rsidRPr="00BE2D2D" w:rsidRDefault="002A1683" w:rsidP="002A168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crecimiento sostenible e inclusivo</w:t>
            </w:r>
          </w:p>
        </w:tc>
        <w:tc>
          <w:tcPr>
            <w:tcW w:w="6422" w:type="dxa"/>
            <w:vAlign w:val="center"/>
          </w:tcPr>
          <w:p w:rsidR="002A1683" w:rsidRPr="009D346C" w:rsidRDefault="002A1683" w:rsidP="002A1683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1. Adoptar e incentivar una agenda multisectorial</w:t>
            </w:r>
          </w:p>
          <w:p w:rsidR="002A1683" w:rsidRPr="00BE2D2D" w:rsidRDefault="002A1683" w:rsidP="002A1683">
            <w:pPr>
              <w:pStyle w:val="ListParagraph"/>
              <w:numPr>
                <w:ilvl w:val="0"/>
                <w:numId w:val="7"/>
              </w:numPr>
              <w:ind w:left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BE2D2D">
              <w:rPr>
                <w:rFonts w:ascii="Arial" w:hAnsi="Arial" w:cs="Arial"/>
                <w:bCs/>
                <w:sz w:val="20"/>
                <w:szCs w:val="20"/>
                <w:lang w:val="es-ES"/>
              </w:rPr>
              <w:t>generación de proyectos multisectoriales que incorporen desde su concepción las sinergias entre sectores de infraestructura</w:t>
            </w:r>
          </w:p>
          <w:p w:rsidR="002A1683" w:rsidRPr="009D346C" w:rsidRDefault="002A1683" w:rsidP="002A1683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2. Apoyar la construcción y el mantenimiento de una infraestructura social y ambientalmente sostenible para que contribuya a aumentar la calidad de vida</w:t>
            </w:r>
          </w:p>
          <w:p w:rsidR="002A1683" w:rsidRDefault="002A1683" w:rsidP="002A1683">
            <w:pPr>
              <w:pStyle w:val="ListParagraph"/>
              <w:numPr>
                <w:ilvl w:val="0"/>
                <w:numId w:val="7"/>
              </w:numPr>
              <w:ind w:left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Cs/>
                <w:sz w:val="20"/>
                <w:szCs w:val="20"/>
                <w:lang w:val="es-ES"/>
              </w:rPr>
              <w:t>Cerrar la brecha de acceso a servicios básicos de infraestructura e impulsar la generación de conocimientos para mejorar la efectividad de las políticas públicas que fomentan el acceso</w:t>
            </w:r>
          </w:p>
          <w:p w:rsidR="002A1683" w:rsidRDefault="002A1683" w:rsidP="002A1683">
            <w:pPr>
              <w:pStyle w:val="ListParagraph"/>
              <w:numPr>
                <w:ilvl w:val="0"/>
                <w:numId w:val="7"/>
              </w:numPr>
              <w:ind w:left="342" w:hanging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Infraestructura segura y con mayor resiliencia (adaptación)</w:t>
            </w:r>
          </w:p>
          <w:p w:rsidR="002A1683" w:rsidRDefault="002A1683" w:rsidP="002A1683">
            <w:pPr>
              <w:pStyle w:val="ListParagraph"/>
              <w:numPr>
                <w:ilvl w:val="0"/>
                <w:numId w:val="7"/>
              </w:numPr>
              <w:ind w:left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Infraestructura y servicios que contribuyan a la mitigación del cambio climático</w:t>
            </w:r>
          </w:p>
          <w:p w:rsidR="002A1683" w:rsidRPr="009D346C" w:rsidRDefault="002A1683" w:rsidP="002A1683">
            <w:pPr>
              <w:pStyle w:val="ListParagraph"/>
              <w:numPr>
                <w:ilvl w:val="0"/>
                <w:numId w:val="7"/>
              </w:numPr>
              <w:ind w:left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Incorporar la dimensión ambiental en la planificación de la infraestructura a nivel local, nacional y regional</w:t>
            </w:r>
          </w:p>
          <w:p w:rsidR="002A1683" w:rsidRPr="009D346C" w:rsidRDefault="002A1683" w:rsidP="002A1683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3. Promover mejoras continuas en la gobernanza de la infraestructura para incrementar la eficiencia en la provisión de servicios de infraestructura</w:t>
            </w:r>
          </w:p>
          <w:p w:rsidR="002A1683" w:rsidRDefault="002A1683" w:rsidP="002A1683">
            <w:pPr>
              <w:pStyle w:val="ListParagraph"/>
              <w:numPr>
                <w:ilvl w:val="0"/>
                <w:numId w:val="8"/>
              </w:numPr>
              <w:ind w:left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Cs/>
                <w:sz w:val="20"/>
                <w:szCs w:val="20"/>
                <w:lang w:val="es-ES"/>
              </w:rPr>
              <w:t>Promover una mejor gobernanza sectorial</w:t>
            </w:r>
          </w:p>
          <w:p w:rsidR="002A1683" w:rsidRPr="009D346C" w:rsidRDefault="002A1683" w:rsidP="002A1683">
            <w:pPr>
              <w:pStyle w:val="ListParagraph"/>
              <w:numPr>
                <w:ilvl w:val="0"/>
                <w:numId w:val="8"/>
              </w:numPr>
              <w:ind w:left="34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9D346C">
              <w:rPr>
                <w:rFonts w:ascii="Arial" w:hAnsi="Arial" w:cs="Arial"/>
                <w:bCs/>
                <w:sz w:val="20"/>
                <w:szCs w:val="20"/>
                <w:lang w:val="es-ES"/>
              </w:rPr>
              <w:t>Mantener una visión integrada del ciclo de proyecto fortaleciendo las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9D346C">
              <w:rPr>
                <w:rFonts w:ascii="Arial" w:hAnsi="Arial" w:cs="Arial"/>
                <w:bCs/>
                <w:sz w:val="20"/>
                <w:szCs w:val="20"/>
                <w:lang w:val="es-ES"/>
              </w:rPr>
              <w:t>capacidades institucionales en todas sus etapas</w:t>
            </w:r>
          </w:p>
        </w:tc>
      </w:tr>
    </w:tbl>
    <w:p w:rsidR="00E9227F" w:rsidRDefault="00E9227F" w:rsidP="00E9227F">
      <w:pPr>
        <w:rPr>
          <w:rFonts w:ascii="Arial" w:hAnsi="Arial" w:cs="Arial"/>
          <w:bCs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5"/>
        <w:gridCol w:w="3275"/>
        <w:gridCol w:w="6550"/>
      </w:tblGrid>
      <w:tr w:rsidR="00B910CA" w:rsidTr="002763F4">
        <w:trPr>
          <w:trHeight w:val="980"/>
        </w:trPr>
        <w:tc>
          <w:tcPr>
            <w:tcW w:w="13100" w:type="dxa"/>
            <w:gridSpan w:val="3"/>
            <w:shd w:val="clear" w:color="auto" w:fill="B8CCE4" w:themeFill="accent1" w:themeFillTint="66"/>
            <w:vAlign w:val="center"/>
          </w:tcPr>
          <w:p w:rsidR="00B910CA" w:rsidRPr="002763F4" w:rsidRDefault="00B910CA" w:rsidP="005A2ED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2763F4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CONSISTENCIA DEL PROGRAMA CON LAS DIMENSIONES DE ÉXITO Y LÍNEAS DE ACCIÓN RELEVANTES DE LOS DOCUMENTOS DE MARCO SECTORIAL</w:t>
            </w:r>
          </w:p>
        </w:tc>
      </w:tr>
      <w:tr w:rsidR="002763F4" w:rsidTr="002763F4">
        <w:tc>
          <w:tcPr>
            <w:tcW w:w="3275" w:type="dxa"/>
            <w:shd w:val="clear" w:color="auto" w:fill="D9D9D9" w:themeFill="background1" w:themeFillShade="D9"/>
            <w:vAlign w:val="center"/>
          </w:tcPr>
          <w:p w:rsidR="002763F4" w:rsidRPr="002763F4" w:rsidRDefault="002763F4" w:rsidP="002763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DOCUMENTO DE MARCO SECTORIAL</w:t>
            </w:r>
          </w:p>
        </w:tc>
        <w:tc>
          <w:tcPr>
            <w:tcW w:w="3275" w:type="dxa"/>
            <w:shd w:val="clear" w:color="auto" w:fill="D9D9D9" w:themeFill="background1" w:themeFillShade="D9"/>
            <w:vAlign w:val="center"/>
          </w:tcPr>
          <w:p w:rsidR="002763F4" w:rsidRPr="002763F4" w:rsidRDefault="002763F4" w:rsidP="002763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DIMENSIONES DE ÉXITO</w:t>
            </w:r>
          </w:p>
        </w:tc>
        <w:tc>
          <w:tcPr>
            <w:tcW w:w="6550" w:type="dxa"/>
            <w:shd w:val="clear" w:color="auto" w:fill="D9D9D9" w:themeFill="background1" w:themeFillShade="D9"/>
            <w:vAlign w:val="center"/>
          </w:tcPr>
          <w:p w:rsidR="002763F4" w:rsidRPr="002763F4" w:rsidRDefault="002763F4" w:rsidP="002763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LÍNEAS DE ACCIÓN RELEVANTES</w:t>
            </w:r>
          </w:p>
        </w:tc>
      </w:tr>
      <w:tr w:rsidR="00117277" w:rsidTr="00117277">
        <w:trPr>
          <w:trHeight w:val="926"/>
        </w:trPr>
        <w:tc>
          <w:tcPr>
            <w:tcW w:w="3275" w:type="dxa"/>
            <w:vAlign w:val="center"/>
          </w:tcPr>
          <w:p w:rsidR="00117277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GN-2708-5 </w:t>
            </w:r>
          </w:p>
          <w:p w:rsidR="00117277" w:rsidRPr="002763F4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SFD de Educación y Desarrollo Infantil Temprano</w:t>
            </w:r>
          </w:p>
        </w:tc>
        <w:tc>
          <w:tcPr>
            <w:tcW w:w="3275" w:type="dxa"/>
            <w:vAlign w:val="center"/>
          </w:tcPr>
          <w:p w:rsidR="00117277" w:rsidRDefault="0011727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(i)</w:t>
            </w:r>
            <w:r>
              <w:rPr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Las metas altas de aprendizaje estudiantil guían la provisión y monitoreo de los servicios educativos a todos los niveles</w:t>
            </w:r>
          </w:p>
        </w:tc>
        <w:tc>
          <w:tcPr>
            <w:tcW w:w="6550" w:type="dxa"/>
            <w:vAlign w:val="center"/>
          </w:tcPr>
          <w:p w:rsidR="00117277" w:rsidRDefault="00117277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(i) Alinear las evaluaciones con estándares, materiales educativos y formación docente y utilizarlos para monitorear el aprendizaje y la adquisición de habilidades, orientar las políticas públicas y focalizar el apoyo técnico.</w:t>
            </w:r>
          </w:p>
        </w:tc>
      </w:tr>
      <w:tr w:rsidR="00117277" w:rsidTr="00117277">
        <w:trPr>
          <w:trHeight w:val="890"/>
        </w:trPr>
        <w:tc>
          <w:tcPr>
            <w:tcW w:w="3275" w:type="dxa"/>
            <w:vAlign w:val="center"/>
          </w:tcPr>
          <w:p w:rsidR="00117277" w:rsidRPr="002763F4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275" w:type="dxa"/>
            <w:vAlign w:val="center"/>
          </w:tcPr>
          <w:p w:rsidR="00117277" w:rsidRDefault="0011727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(i) Los nuevos estudiantes entran listos para aprender </w:t>
            </w:r>
          </w:p>
        </w:tc>
        <w:tc>
          <w:tcPr>
            <w:tcW w:w="6550" w:type="dxa"/>
            <w:vAlign w:val="center"/>
          </w:tcPr>
          <w:p w:rsidR="00117277" w:rsidRDefault="00117277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(i) Expandir el acceso a educación preescolar y a programas de DIT de calidad, especialmente para alcanzar a grupos provenientes de bajos niveles socioeconómicos, de zonas rurales, de diferentes etnias y de ambos géneros y con discapacidad.</w:t>
            </w:r>
          </w:p>
        </w:tc>
      </w:tr>
      <w:tr w:rsidR="00117277" w:rsidTr="00117277">
        <w:trPr>
          <w:trHeight w:val="1484"/>
        </w:trPr>
        <w:tc>
          <w:tcPr>
            <w:tcW w:w="3275" w:type="dxa"/>
            <w:vAlign w:val="center"/>
          </w:tcPr>
          <w:p w:rsidR="00117277" w:rsidRPr="002763F4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275" w:type="dxa"/>
            <w:vAlign w:val="center"/>
          </w:tcPr>
          <w:p w:rsidR="00117277" w:rsidRDefault="0011727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(iii) todas las escuelas tienen recursos adecuados y son capaces de utilizarlos para el aprendizaje y desarrollo de habilidades.</w:t>
            </w:r>
          </w:p>
        </w:tc>
        <w:tc>
          <w:tcPr>
            <w:tcW w:w="6550" w:type="dxa"/>
            <w:vAlign w:val="center"/>
          </w:tcPr>
          <w:p w:rsidR="00117277" w:rsidRDefault="00117277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(i) Orientar el financiamiento educativo y sus mecanismos hacia la promoción de la enseñanza efectiva y mejores aprendizajes; y (ii) asegurar el acceso de todos los estudiantes a escuelas con una infraestructura adecuada, sostenible, accesible, resiliente a desastres naturales y con ambientes que promuevan el aprendizaje y el desarrollo de habilidades.</w:t>
            </w:r>
          </w:p>
        </w:tc>
      </w:tr>
      <w:tr w:rsidR="00322F8B" w:rsidTr="00322F8B">
        <w:trPr>
          <w:trHeight w:val="1070"/>
        </w:trPr>
        <w:tc>
          <w:tcPr>
            <w:tcW w:w="3275" w:type="dxa"/>
            <w:vMerge w:val="restart"/>
            <w:vAlign w:val="center"/>
          </w:tcPr>
          <w:p w:rsidR="00322F8B" w:rsidRDefault="00322F8B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GN-2732-2</w:t>
            </w:r>
          </w:p>
          <w:p w:rsidR="00322F8B" w:rsidRPr="002763F4" w:rsidRDefault="00322F8B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SFD de Desarrollo Urbano y Vivienda</w:t>
            </w:r>
          </w:p>
        </w:tc>
        <w:tc>
          <w:tcPr>
            <w:tcW w:w="3275" w:type="dxa"/>
            <w:vAlign w:val="center"/>
          </w:tcPr>
          <w:p w:rsidR="00322F8B" w:rsidRPr="002763F4" w:rsidRDefault="00322F8B" w:rsidP="00E405BD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Dimensión 1. Los residentes de las ciudades acceden a servicios 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infraestructura urbana de calidad.</w:t>
            </w:r>
          </w:p>
        </w:tc>
        <w:tc>
          <w:tcPr>
            <w:tcW w:w="6550" w:type="dxa"/>
            <w:vAlign w:val="center"/>
          </w:tcPr>
          <w:p w:rsidR="00322F8B" w:rsidRDefault="00322F8B" w:rsidP="00E405BD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(i) mejorar barrios informales,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especialmente en las áreas que concentran hogares pobres en ciudades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grandes y medianas</w:t>
            </w: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; y</w:t>
            </w:r>
          </w:p>
          <w:p w:rsidR="00322F8B" w:rsidRPr="002763F4" w:rsidRDefault="00322F8B" w:rsidP="00322F8B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(ii) ampliar la cobertura, resiliencia, y calidad de los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servicios e infraestructura urbana en barrios formales pobres.</w:t>
            </w:r>
          </w:p>
        </w:tc>
      </w:tr>
      <w:tr w:rsidR="00322F8B" w:rsidTr="002763F4">
        <w:trPr>
          <w:trHeight w:val="791"/>
        </w:trPr>
        <w:tc>
          <w:tcPr>
            <w:tcW w:w="3275" w:type="dxa"/>
            <w:vMerge/>
            <w:vAlign w:val="center"/>
          </w:tcPr>
          <w:p w:rsidR="00322F8B" w:rsidRPr="00E405BD" w:rsidRDefault="00322F8B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275" w:type="dxa"/>
            <w:vAlign w:val="center"/>
          </w:tcPr>
          <w:p w:rsidR="00322F8B" w:rsidRPr="00E405BD" w:rsidRDefault="00322F8B" w:rsidP="00E405BD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Dimensión 3. Las ciudades de la región intervienen en su hábitat para evitar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su degradación y mejorar su sostenibilidad.</w:t>
            </w:r>
          </w:p>
        </w:tc>
        <w:tc>
          <w:tcPr>
            <w:tcW w:w="6550" w:type="dxa"/>
            <w:vAlign w:val="center"/>
          </w:tcPr>
          <w:p w:rsidR="00322F8B" w:rsidRPr="002763F4" w:rsidRDefault="00322F8B" w:rsidP="00416166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416166">
              <w:rPr>
                <w:rFonts w:ascii="Arial" w:hAnsi="Arial" w:cs="Arial"/>
                <w:bCs/>
                <w:sz w:val="20"/>
                <w:szCs w:val="20"/>
              </w:rPr>
              <w:t>(i) revitalizar las áreas degradadas (incluye espacio p</w:t>
            </w:r>
            <w:r>
              <w:rPr>
                <w:rFonts w:ascii="Arial" w:hAnsi="Arial" w:cs="Arial"/>
                <w:bCs/>
                <w:sz w:val="20"/>
                <w:szCs w:val="20"/>
              </w:rPr>
              <w:t>úblico)</w:t>
            </w:r>
            <w:r w:rsidRPr="0041616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preservar el patrimonio histórico de las ciudades; y (ii) reducir riesgos ante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desastres, aumentar la capacidad de las ciudades para adaptarse al cambio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climático y proteger a los residentes más vulnerables de sus impactos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negativos.</w:t>
            </w:r>
          </w:p>
        </w:tc>
      </w:tr>
      <w:tr w:rsidR="00322F8B" w:rsidTr="002763F4">
        <w:trPr>
          <w:trHeight w:val="791"/>
        </w:trPr>
        <w:tc>
          <w:tcPr>
            <w:tcW w:w="3275" w:type="dxa"/>
            <w:vMerge/>
            <w:vAlign w:val="center"/>
          </w:tcPr>
          <w:p w:rsidR="00322F8B" w:rsidRPr="00E405BD" w:rsidRDefault="00322F8B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275" w:type="dxa"/>
            <w:vAlign w:val="center"/>
          </w:tcPr>
          <w:p w:rsidR="00322F8B" w:rsidRPr="00E405BD" w:rsidRDefault="00322F8B" w:rsidP="00416166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416166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Dimensión 4. Las instituciones locales adquieren mayor 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416166">
              <w:rPr>
                <w:rFonts w:ascii="Arial" w:hAnsi="Arial" w:cs="Arial"/>
                <w:bCs/>
                <w:sz w:val="20"/>
                <w:szCs w:val="20"/>
                <w:lang w:val="es-ES"/>
              </w:rPr>
              <w:t>capacidad de gestión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416166">
              <w:rPr>
                <w:rFonts w:ascii="Arial" w:hAnsi="Arial" w:cs="Arial"/>
                <w:bCs/>
                <w:sz w:val="20"/>
                <w:szCs w:val="20"/>
                <w:lang w:val="es-ES"/>
              </w:rPr>
              <w:t>urbana.</w:t>
            </w:r>
          </w:p>
        </w:tc>
        <w:tc>
          <w:tcPr>
            <w:tcW w:w="6550" w:type="dxa"/>
            <w:vAlign w:val="center"/>
          </w:tcPr>
          <w:p w:rsidR="00322F8B" w:rsidRPr="002763F4" w:rsidRDefault="00322F8B" w:rsidP="00416166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416166">
              <w:rPr>
                <w:rFonts w:ascii="Arial" w:hAnsi="Arial" w:cs="Arial"/>
                <w:bCs/>
                <w:sz w:val="20"/>
                <w:szCs w:val="20"/>
                <w:lang w:val="es-ES"/>
              </w:rPr>
              <w:t>(ii) mejorar la calidad y eficiencia de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416166">
              <w:rPr>
                <w:rFonts w:ascii="Arial" w:hAnsi="Arial" w:cs="Arial"/>
                <w:bCs/>
                <w:sz w:val="20"/>
                <w:szCs w:val="20"/>
                <w:lang w:val="es-ES"/>
              </w:rPr>
              <w:t>las entidades prestadoras de servicios públicos urbanos.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</w:p>
        </w:tc>
      </w:tr>
      <w:tr w:rsidR="00117277" w:rsidTr="002763F4">
        <w:trPr>
          <w:trHeight w:val="611"/>
        </w:trPr>
        <w:tc>
          <w:tcPr>
            <w:tcW w:w="3275" w:type="dxa"/>
            <w:vMerge w:val="restart"/>
            <w:vAlign w:val="center"/>
          </w:tcPr>
          <w:p w:rsidR="00117277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GN-2740-3 </w:t>
            </w:r>
          </w:p>
          <w:p w:rsidR="00117277" w:rsidRPr="002763F4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SFD de Transporte</w:t>
            </w:r>
          </w:p>
        </w:tc>
        <w:tc>
          <w:tcPr>
            <w:tcW w:w="3275" w:type="dxa"/>
            <w:vAlign w:val="center"/>
          </w:tcPr>
          <w:p w:rsidR="00117277" w:rsidRPr="002763F4" w:rsidRDefault="00117277" w:rsidP="00E405BD">
            <w:pPr>
              <w:pStyle w:val="ListParagraph"/>
              <w:ind w:left="0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(i)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Los países cuentan con cobertura amplia y servicios de transporte de calidad; y </w:t>
            </w:r>
          </w:p>
        </w:tc>
        <w:tc>
          <w:tcPr>
            <w:tcW w:w="6550" w:type="dxa"/>
            <w:vAlign w:val="center"/>
          </w:tcPr>
          <w:p w:rsidR="00117277" w:rsidRDefault="00117277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ii) rehabilitación y mantenimiento de sistemas viales y otras infraestructuras degradadas para recuperar operatividad; (ii) mejoras en la resiliencia y adaptabilidad de la infraestructura para enfrentar fenómenos naturales y los efectos de cambio climático.</w:t>
            </w:r>
          </w:p>
        </w:tc>
      </w:tr>
      <w:tr w:rsidR="00117277" w:rsidTr="002763F4">
        <w:trPr>
          <w:trHeight w:val="611"/>
        </w:trPr>
        <w:tc>
          <w:tcPr>
            <w:tcW w:w="3275" w:type="dxa"/>
            <w:vMerge/>
            <w:vAlign w:val="center"/>
          </w:tcPr>
          <w:p w:rsidR="00117277" w:rsidRPr="002763F4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275" w:type="dxa"/>
            <w:vAlign w:val="center"/>
          </w:tcPr>
          <w:p w:rsidR="00117277" w:rsidRPr="002763F4" w:rsidRDefault="00117277">
            <w:pPr>
              <w:pStyle w:val="ListParagraph"/>
              <w:ind w:left="0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(ii) los países desarrollan sistemas de transporte urbano efectivos y sostenibles en las ciudades.</w:t>
            </w:r>
          </w:p>
        </w:tc>
        <w:tc>
          <w:tcPr>
            <w:tcW w:w="6550" w:type="dxa"/>
            <w:vAlign w:val="center"/>
          </w:tcPr>
          <w:p w:rsidR="00117277" w:rsidRDefault="00117277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(i) mejoras en las vialidades e infraestructura urbana para facilitar la circulación de tránsito por las áreas urbanas tanto de vehículos como de peatones y ciclistas; y (ii) integrar y coordinar políticas y acciones con otros organismos públicos, en especial planificación urbana, y ejercer funciones de regulación técnica, operativa y económica del transporte urbano</w:t>
            </w:r>
          </w:p>
        </w:tc>
      </w:tr>
      <w:tr w:rsidR="002763F4" w:rsidTr="007B419C">
        <w:tc>
          <w:tcPr>
            <w:tcW w:w="3275" w:type="dxa"/>
            <w:vAlign w:val="center"/>
          </w:tcPr>
          <w:p w:rsidR="00E405BD" w:rsidRDefault="002763F4" w:rsidP="00E405BD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GN-2784-3</w:t>
            </w: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cr/>
            </w:r>
          </w:p>
          <w:p w:rsidR="002763F4" w:rsidRPr="002763F4" w:rsidRDefault="002763F4" w:rsidP="00E405BD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SFD de Protección Social y Pobreza</w:t>
            </w:r>
          </w:p>
        </w:tc>
        <w:tc>
          <w:tcPr>
            <w:tcW w:w="3275" w:type="dxa"/>
            <w:vAlign w:val="center"/>
          </w:tcPr>
          <w:p w:rsidR="002763F4" w:rsidRPr="002763F4" w:rsidRDefault="00E405BD" w:rsidP="00E405BD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Dimensión 2. Los niños menores de 4 años que viven en condición de pobreza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y vulnerabilidad, reciben cuidados (en el hogar y/o en centros de atención)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que estimulan su desarrollo integral (cognitivo, socioemocional y físico).</w:t>
            </w:r>
          </w:p>
        </w:tc>
        <w:tc>
          <w:tcPr>
            <w:tcW w:w="6550" w:type="dxa"/>
            <w:vAlign w:val="center"/>
          </w:tcPr>
          <w:p w:rsidR="00E405BD" w:rsidRPr="00E405BD" w:rsidRDefault="00E405BD" w:rsidP="00E405BD">
            <w:pPr>
              <w:pStyle w:val="ListParagraph"/>
              <w:numPr>
                <w:ilvl w:val="0"/>
                <w:numId w:val="12"/>
              </w:num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a. </w:t>
            </w: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Cobertura. Se buscará expandir el acceso a servicios de cuidado infantil y de apoyo parental, en particular entre los estratos más pobres y vulnerables.</w:t>
            </w:r>
          </w:p>
          <w:p w:rsidR="002763F4" w:rsidRPr="002763F4" w:rsidRDefault="00E405BD" w:rsidP="00E405BD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b. Calidad. Se buscará garantizar que los servicios de cuidado infantil y de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apoyo parental que reciben las poblaciones pobres y vulnerables sean de alta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E405BD">
              <w:rPr>
                <w:rFonts w:ascii="Arial" w:hAnsi="Arial" w:cs="Arial"/>
                <w:bCs/>
                <w:sz w:val="20"/>
                <w:szCs w:val="20"/>
                <w:lang w:val="es-ES"/>
              </w:rPr>
              <w:t>calidad.</w:t>
            </w:r>
          </w:p>
        </w:tc>
      </w:tr>
      <w:tr w:rsidR="00117277" w:rsidTr="00117277">
        <w:trPr>
          <w:trHeight w:val="1160"/>
        </w:trPr>
        <w:tc>
          <w:tcPr>
            <w:tcW w:w="3275" w:type="dxa"/>
            <w:vMerge w:val="restart"/>
            <w:vAlign w:val="center"/>
          </w:tcPr>
          <w:p w:rsidR="00117277" w:rsidRPr="002763F4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GN-2781-3 </w:t>
            </w:r>
          </w:p>
          <w:p w:rsidR="00117277" w:rsidRPr="002763F4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SFD de Agua y Saneamiento</w:t>
            </w:r>
          </w:p>
        </w:tc>
        <w:tc>
          <w:tcPr>
            <w:tcW w:w="3275" w:type="dxa"/>
            <w:vAlign w:val="center"/>
          </w:tcPr>
          <w:p w:rsidR="00117277" w:rsidRPr="002763F4" w:rsidRDefault="00117277" w:rsidP="00E405BD">
            <w:pPr>
              <w:pStyle w:val="ListParagraph"/>
              <w:numPr>
                <w:ilvl w:val="0"/>
                <w:numId w:val="11"/>
              </w:numPr>
              <w:ind w:left="325" w:hanging="325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Los países logran el acceso mejorando la calidad de los servicios; </w:t>
            </w:r>
          </w:p>
          <w:p w:rsidR="00117277" w:rsidRPr="00E405BD" w:rsidRDefault="00117277" w:rsidP="00E405BD">
            <w:pPr>
              <w:ind w:left="325" w:hanging="325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6550" w:type="dxa"/>
            <w:vAlign w:val="center"/>
          </w:tcPr>
          <w:p w:rsidR="00117277" w:rsidRDefault="00117277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(i) Promover enfoque diferenciado para atender zonas rurales y periurbanas; (ii) incrementar intervenciones integrales que mejoren la calidad del recurso hídrico y disminuyan riesgos asociados a inundaciones; (iii) gestión de activos que aseguren operación y mantenimiento incrementando la calidad de la prestación; </w:t>
            </w:r>
          </w:p>
        </w:tc>
      </w:tr>
      <w:tr w:rsidR="00117277" w:rsidTr="002763F4">
        <w:trPr>
          <w:trHeight w:val="620"/>
        </w:trPr>
        <w:tc>
          <w:tcPr>
            <w:tcW w:w="3275" w:type="dxa"/>
            <w:vMerge/>
            <w:vAlign w:val="center"/>
          </w:tcPr>
          <w:p w:rsidR="00117277" w:rsidRPr="002763F4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275" w:type="dxa"/>
            <w:vAlign w:val="center"/>
          </w:tcPr>
          <w:p w:rsidR="00117277" w:rsidRPr="00322F8B" w:rsidRDefault="00117277" w:rsidP="00322F8B">
            <w:pPr>
              <w:pStyle w:val="ListParagraph"/>
              <w:numPr>
                <w:ilvl w:val="0"/>
                <w:numId w:val="11"/>
              </w:numPr>
              <w:ind w:left="325" w:hanging="325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la gestión en la prestación de los servicios es eficiente y sostenible, y se incremente la participación del sector privado; y </w:t>
            </w:r>
          </w:p>
        </w:tc>
        <w:tc>
          <w:tcPr>
            <w:tcW w:w="6550" w:type="dxa"/>
            <w:vAlign w:val="center"/>
          </w:tcPr>
          <w:p w:rsidR="00117277" w:rsidRDefault="00117277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(i) Esquemas financieros que garanticen sostenibilidad de las inversiones a largo plazo.</w:t>
            </w:r>
          </w:p>
        </w:tc>
      </w:tr>
      <w:tr w:rsidR="00117277" w:rsidTr="002763F4">
        <w:trPr>
          <w:trHeight w:val="620"/>
        </w:trPr>
        <w:tc>
          <w:tcPr>
            <w:tcW w:w="3275" w:type="dxa"/>
            <w:vMerge/>
            <w:vAlign w:val="center"/>
          </w:tcPr>
          <w:p w:rsidR="00117277" w:rsidRPr="002763F4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275" w:type="dxa"/>
            <w:vAlign w:val="center"/>
          </w:tcPr>
          <w:p w:rsidR="00117277" w:rsidRPr="002763F4" w:rsidRDefault="00117277" w:rsidP="00E405BD">
            <w:pPr>
              <w:pStyle w:val="ListParagraph"/>
              <w:numPr>
                <w:ilvl w:val="0"/>
                <w:numId w:val="11"/>
              </w:numPr>
              <w:ind w:left="325" w:hanging="325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los proyectos y programas son ambiental y socialmente sostenibles e incorporan consideraciones de cambio climático y cultural.</w:t>
            </w:r>
          </w:p>
        </w:tc>
        <w:tc>
          <w:tcPr>
            <w:tcW w:w="6550" w:type="dxa"/>
            <w:vAlign w:val="center"/>
          </w:tcPr>
          <w:p w:rsidR="00117277" w:rsidRDefault="00117277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(i) Mecanismos para la inclusión social y cultural; y (ii) promover la seguridad hídrica.</w:t>
            </w:r>
          </w:p>
        </w:tc>
      </w:tr>
      <w:tr w:rsidR="00117277" w:rsidTr="00117277">
        <w:trPr>
          <w:trHeight w:val="1628"/>
        </w:trPr>
        <w:tc>
          <w:tcPr>
            <w:tcW w:w="3275" w:type="dxa"/>
            <w:vMerge w:val="restart"/>
            <w:vAlign w:val="center"/>
          </w:tcPr>
          <w:p w:rsidR="00117277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GN-2813-2 </w:t>
            </w:r>
          </w:p>
          <w:p w:rsidR="00117277" w:rsidRPr="002763F4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SFD de Descentralización y Gobiernos Subnacionales</w:t>
            </w:r>
          </w:p>
        </w:tc>
        <w:tc>
          <w:tcPr>
            <w:tcW w:w="3275" w:type="dxa"/>
            <w:vAlign w:val="center"/>
          </w:tcPr>
          <w:p w:rsidR="00117277" w:rsidRPr="002763F4" w:rsidRDefault="00117277" w:rsidP="00E405BD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sz w:val="20"/>
                <w:szCs w:val="20"/>
              </w:rPr>
              <w:t xml:space="preserve"> (i) </w:t>
            </w:r>
            <w:r w:rsidRPr="002763F4">
              <w:rPr>
                <w:rFonts w:ascii="Arial" w:hAnsi="Arial" w:cs="Arial"/>
                <w:bCs/>
                <w:sz w:val="20"/>
                <w:szCs w:val="20"/>
              </w:rPr>
              <w:t xml:space="preserve">Gobiernos Subnacionales mejoran la eficiencia y calidad del gasto y la prestación de servicios; </w:t>
            </w:r>
          </w:p>
        </w:tc>
        <w:tc>
          <w:tcPr>
            <w:tcW w:w="6550" w:type="dxa"/>
            <w:vAlign w:val="center"/>
          </w:tcPr>
          <w:p w:rsidR="00117277" w:rsidRDefault="00117277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(i) Fortalecer la capacidad de gestión del gasto público e incrementar su eficiencia, buscando mejorar la calidad de los servicios públicos provistos a nivel subnacional; (ii) fortalecer las funciones centrales de los gobiernos para promover la eficacia de las políticas públicas, la facilitación del desarrollo del sector privado y una mejor provisión pública y/o privada de servicios al ciudadano; y (iii) mejorar la gestión de la inversión pública.</w:t>
            </w:r>
          </w:p>
        </w:tc>
      </w:tr>
      <w:tr w:rsidR="00117277" w:rsidTr="00117277">
        <w:trPr>
          <w:trHeight w:val="1070"/>
        </w:trPr>
        <w:tc>
          <w:tcPr>
            <w:tcW w:w="3275" w:type="dxa"/>
            <w:vMerge/>
            <w:vAlign w:val="center"/>
          </w:tcPr>
          <w:p w:rsidR="00117277" w:rsidRPr="002763F4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275" w:type="dxa"/>
            <w:vAlign w:val="center"/>
          </w:tcPr>
          <w:p w:rsidR="00117277" w:rsidRPr="002763F4" w:rsidRDefault="00117277">
            <w:pPr>
              <w:rPr>
                <w:rFonts w:ascii="Arial" w:hAnsi="Arial" w:cs="Arial"/>
                <w:sz w:val="20"/>
                <w:szCs w:val="20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</w:rPr>
              <w:t xml:space="preserve"> (ii) Gobiernos Subnacionales mejoran la recaudación de ingresos propios y el acceso a financiamiento</w:t>
            </w:r>
          </w:p>
        </w:tc>
        <w:tc>
          <w:tcPr>
            <w:tcW w:w="6550" w:type="dxa"/>
            <w:vAlign w:val="center"/>
          </w:tcPr>
          <w:p w:rsidR="00117277" w:rsidRDefault="00117277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(i) apoyar la mejora del desempeño recaudatorio de los GSN, acercándolo a su potencial; y (ii) contribuir a que los GSN accedan a financiamiento, en coordinación con los entes rectores y en un marco de responsabilidad fiscal.</w:t>
            </w:r>
          </w:p>
        </w:tc>
      </w:tr>
      <w:tr w:rsidR="00117277" w:rsidTr="002763F4">
        <w:trPr>
          <w:trHeight w:val="692"/>
        </w:trPr>
        <w:tc>
          <w:tcPr>
            <w:tcW w:w="3275" w:type="dxa"/>
            <w:vMerge w:val="restart"/>
            <w:vAlign w:val="center"/>
          </w:tcPr>
          <w:p w:rsidR="00117277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GN-2835-3 </w:t>
            </w:r>
          </w:p>
          <w:p w:rsidR="00117277" w:rsidRPr="002763F4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SFD de Cambio Climático</w:t>
            </w:r>
          </w:p>
        </w:tc>
        <w:tc>
          <w:tcPr>
            <w:tcW w:w="3275" w:type="dxa"/>
            <w:vAlign w:val="center"/>
          </w:tcPr>
          <w:p w:rsidR="00117277" w:rsidRDefault="0011727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(i)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Los países avanzan en la inclusión de consideraciones climáticas en los sectores;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550" w:type="dxa"/>
            <w:vAlign w:val="center"/>
          </w:tcPr>
          <w:p w:rsidR="00117277" w:rsidRDefault="00117277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(i) Implementar y promover enfoques orientados al monitoreo y la evaluación de acciones climáticas.</w:t>
            </w:r>
          </w:p>
        </w:tc>
      </w:tr>
      <w:tr w:rsidR="00117277" w:rsidTr="002763F4">
        <w:trPr>
          <w:trHeight w:val="692"/>
        </w:trPr>
        <w:tc>
          <w:tcPr>
            <w:tcW w:w="3275" w:type="dxa"/>
            <w:vMerge/>
            <w:vAlign w:val="center"/>
          </w:tcPr>
          <w:p w:rsidR="00117277" w:rsidRPr="002763F4" w:rsidRDefault="00117277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275" w:type="dxa"/>
            <w:vAlign w:val="center"/>
          </w:tcPr>
          <w:p w:rsidR="00117277" w:rsidRDefault="0011727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(ii) los países adoptan o fortalecen medidas de gobernanza institucional que facilitan la coordinación y planificación de acciones de respuesta al cambio climático y sus efectos.</w:t>
            </w:r>
          </w:p>
        </w:tc>
        <w:tc>
          <w:tcPr>
            <w:tcW w:w="6550" w:type="dxa"/>
            <w:vAlign w:val="center"/>
          </w:tcPr>
          <w:p w:rsidR="00117277" w:rsidRDefault="00117277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(i) Promover el abordaje multisectorial e interdisciplinario del cambio climático. </w:t>
            </w:r>
          </w:p>
        </w:tc>
      </w:tr>
      <w:tr w:rsidR="002763F4" w:rsidTr="002763F4">
        <w:trPr>
          <w:trHeight w:val="620"/>
        </w:trPr>
        <w:tc>
          <w:tcPr>
            <w:tcW w:w="3275" w:type="dxa"/>
            <w:vMerge w:val="restart"/>
            <w:vAlign w:val="center"/>
          </w:tcPr>
          <w:p w:rsidR="002763F4" w:rsidRPr="002763F4" w:rsidRDefault="002763F4" w:rsidP="005A2ED5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GN-2831-3</w:t>
            </w:r>
          </w:p>
          <w:p w:rsidR="002763F4" w:rsidRPr="002763F4" w:rsidRDefault="002763F4" w:rsidP="005A2ED5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SFD de Política y Gestión Fiscal</w:t>
            </w:r>
          </w:p>
        </w:tc>
        <w:tc>
          <w:tcPr>
            <w:tcW w:w="3275" w:type="dxa"/>
            <w:vAlign w:val="center"/>
          </w:tcPr>
          <w:p w:rsidR="002763F4" w:rsidRPr="002763F4" w:rsidRDefault="002763F4" w:rsidP="00A06B29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Dimensión 2. Los gobiernos fortalecen las capacidades institucionales del</w:t>
            </w:r>
          </w:p>
          <w:p w:rsidR="002763F4" w:rsidRPr="002763F4" w:rsidRDefault="002763F4" w:rsidP="00A06B29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sector público para diseñar e implementar políticas fiscales que mejoren la</w:t>
            </w:r>
          </w:p>
          <w:p w:rsidR="002763F4" w:rsidRPr="002763F4" w:rsidRDefault="002763F4" w:rsidP="00A06B29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movilización y asignación eficiente de recursos.</w:t>
            </w:r>
          </w:p>
        </w:tc>
        <w:tc>
          <w:tcPr>
            <w:tcW w:w="6550" w:type="dxa"/>
            <w:vAlign w:val="center"/>
          </w:tcPr>
          <w:p w:rsidR="002763F4" w:rsidRPr="002763F4" w:rsidRDefault="002763F4" w:rsidP="002763F4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(i) mejorar el diseño de la estructura de los sistemas</w:t>
            </w:r>
          </w:p>
          <w:p w:rsidR="002763F4" w:rsidRPr="002763F4" w:rsidRDefault="002763F4" w:rsidP="002763F4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tributarios, poniendo especial énfasis en su neutralidad, suficiencia, simplicidad y progresividad; (ii) mejorar la calidad, efectividad y eficiencia del gasto público; (iii) mejorar la coordinación en la asignación y delimitación de funciones entre los distintos niveles de gobierno en cuanto a facultades tributarias y responsabilidades de gasto, con el fin de mejorar la eficiencia y efectividad en el uso de los recursos públicos</w:t>
            </w:r>
          </w:p>
        </w:tc>
      </w:tr>
      <w:tr w:rsidR="002763F4" w:rsidTr="002763F4">
        <w:trPr>
          <w:trHeight w:val="620"/>
        </w:trPr>
        <w:tc>
          <w:tcPr>
            <w:tcW w:w="3275" w:type="dxa"/>
            <w:vMerge/>
            <w:vAlign w:val="center"/>
          </w:tcPr>
          <w:p w:rsidR="002763F4" w:rsidRPr="002763F4" w:rsidRDefault="002763F4" w:rsidP="005A2ED5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275" w:type="dxa"/>
            <w:vAlign w:val="center"/>
          </w:tcPr>
          <w:p w:rsidR="002763F4" w:rsidRPr="002763F4" w:rsidRDefault="002763F4" w:rsidP="002D2C1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Dimensión 4. Los gobiernos promueven el fortalecimiento de la eficiencia de las administraciones tributarias y la gestión financiera y uso de los recursos públicos.</w:t>
            </w:r>
          </w:p>
        </w:tc>
        <w:tc>
          <w:tcPr>
            <w:tcW w:w="6550" w:type="dxa"/>
            <w:vAlign w:val="center"/>
          </w:tcPr>
          <w:p w:rsidR="002763F4" w:rsidRPr="002763F4" w:rsidRDefault="002763F4" w:rsidP="002763F4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(i) modernización institucional y tecnológica de las</w:t>
            </w:r>
          </w:p>
          <w:p w:rsidR="002763F4" w:rsidRPr="002763F4" w:rsidRDefault="002763F4" w:rsidP="002763F4">
            <w:pPr>
              <w:ind w:left="110" w:right="104"/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763F4">
              <w:rPr>
                <w:rFonts w:ascii="Arial" w:hAnsi="Arial" w:cs="Arial"/>
                <w:bCs/>
                <w:sz w:val="20"/>
                <w:szCs w:val="20"/>
                <w:lang w:val="es-ES"/>
              </w:rPr>
              <w:t>administraciones tributarias; (ii) fortalecimiento de las capacidades institucionales para los aspectos de tributación internacional; (iii) promoción del uso de tecnologías para la administración y cruce de bases de datos masivos; (iv) promoción de la adopción de los PbR y la GpRD; (v) modernización y actualización de los SIAF; (vi) ampliación de la cobertura de las CUT; (vii) promoción de la adopción de los IPSAS; (viii) promoción de la adopción de los portales de e-Compras y catálogos de precios genéricos de bienes y servicios; y (ix) promoción de iniciativas destinada a mejorar la compilación y divulgación de las estadísticas fiscales y de contabilidad pública en el sentido más amplio posible</w:t>
            </w:r>
          </w:p>
        </w:tc>
      </w:tr>
    </w:tbl>
    <w:p w:rsidR="00B910CA" w:rsidRPr="00B910CA" w:rsidRDefault="00B910CA" w:rsidP="00E9227F">
      <w:pPr>
        <w:rPr>
          <w:lang w:val="es-ES"/>
        </w:rPr>
      </w:pPr>
    </w:p>
    <w:sectPr w:rsidR="00B910CA" w:rsidRPr="00B910CA" w:rsidSect="00E9227F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0CA" w:rsidRDefault="00B910CA" w:rsidP="00B910CA">
      <w:pPr>
        <w:spacing w:after="0" w:line="240" w:lineRule="auto"/>
      </w:pPr>
      <w:r>
        <w:separator/>
      </w:r>
    </w:p>
  </w:endnote>
  <w:endnote w:type="continuationSeparator" w:id="0">
    <w:p w:rsidR="00B910CA" w:rsidRDefault="00B910CA" w:rsidP="00B91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0CA" w:rsidRDefault="00B910CA" w:rsidP="00B910CA">
      <w:pPr>
        <w:spacing w:after="0" w:line="240" w:lineRule="auto"/>
      </w:pPr>
      <w:r>
        <w:separator/>
      </w:r>
    </w:p>
  </w:footnote>
  <w:footnote w:type="continuationSeparator" w:id="0">
    <w:p w:rsidR="00B910CA" w:rsidRDefault="00B910CA" w:rsidP="00B91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CA" w:rsidRPr="00B910CA" w:rsidRDefault="00B910CA" w:rsidP="00B910CA">
    <w:pPr>
      <w:pStyle w:val="Header"/>
      <w:jc w:val="right"/>
      <w:rPr>
        <w:rFonts w:ascii="Arial" w:hAnsi="Arial" w:cs="Arial"/>
        <w:sz w:val="18"/>
        <w:szCs w:val="18"/>
      </w:rPr>
    </w:pPr>
    <w:r w:rsidRPr="00B910CA">
      <w:rPr>
        <w:rFonts w:ascii="Arial" w:hAnsi="Arial" w:cs="Arial"/>
        <w:sz w:val="18"/>
        <w:szCs w:val="18"/>
      </w:rPr>
      <w:t>EEO#14 Consistencia de</w:t>
    </w:r>
    <w:r w:rsidR="002B349F">
      <w:rPr>
        <w:rFonts w:ascii="Arial" w:hAnsi="Arial" w:cs="Arial"/>
        <w:sz w:val="18"/>
        <w:szCs w:val="18"/>
      </w:rPr>
      <w:t>l</w:t>
    </w:r>
    <w:r w:rsidRPr="00B910CA">
      <w:rPr>
        <w:rFonts w:ascii="Arial" w:hAnsi="Arial" w:cs="Arial"/>
        <w:sz w:val="18"/>
        <w:szCs w:val="18"/>
      </w:rPr>
      <w:t xml:space="preserve"> Programa con las Estrategias Sectoriales y Documentos de Marco Sectoriales- CO-L1165 </w:t>
    </w:r>
  </w:p>
  <w:p w:rsidR="00B910CA" w:rsidRDefault="00B910CA" w:rsidP="00A06B29">
    <w:pPr>
      <w:pStyle w:val="Header"/>
      <w:jc w:val="right"/>
    </w:pPr>
    <w:r w:rsidRPr="00B910CA">
      <w:rPr>
        <w:rFonts w:ascii="Arial" w:hAnsi="Arial" w:cs="Arial"/>
        <w:sz w:val="18"/>
        <w:szCs w:val="18"/>
      </w:rPr>
      <w:t xml:space="preserve">Página 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  <w:lang w:val="pt-BR"/>
      </w:rPr>
      <w:instrText xml:space="preserve"> PAGE </w:instrText>
    </w:r>
    <w:r>
      <w:rPr>
        <w:rFonts w:ascii="Arial" w:hAnsi="Arial" w:cs="Arial"/>
        <w:bCs/>
        <w:sz w:val="18"/>
        <w:szCs w:val="18"/>
      </w:rPr>
      <w:fldChar w:fldCharType="separate"/>
    </w:r>
    <w:r w:rsidR="009F49FE">
      <w:rPr>
        <w:rFonts w:ascii="Arial" w:hAnsi="Arial" w:cs="Arial"/>
        <w:bCs/>
        <w:noProof/>
        <w:sz w:val="18"/>
        <w:szCs w:val="18"/>
        <w:lang w:val="pt-BR"/>
      </w:rPr>
      <w:t>1</w:t>
    </w:r>
    <w:r>
      <w:rPr>
        <w:rFonts w:ascii="Arial" w:hAnsi="Arial" w:cs="Arial"/>
        <w:bCs/>
        <w:sz w:val="18"/>
        <w:szCs w:val="18"/>
      </w:rPr>
      <w:fldChar w:fldCharType="end"/>
    </w:r>
    <w:r>
      <w:rPr>
        <w:rFonts w:ascii="Arial" w:hAnsi="Arial" w:cs="Arial"/>
        <w:sz w:val="18"/>
        <w:szCs w:val="18"/>
        <w:lang w:val="pt-BR"/>
      </w:rPr>
      <w:t xml:space="preserve"> de 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  <w:lang w:val="pt-BR"/>
      </w:rPr>
      <w:instrText xml:space="preserve"> NUMPAGES  </w:instrText>
    </w:r>
    <w:r>
      <w:rPr>
        <w:rFonts w:ascii="Arial" w:hAnsi="Arial" w:cs="Arial"/>
        <w:bCs/>
        <w:sz w:val="18"/>
        <w:szCs w:val="18"/>
      </w:rPr>
      <w:fldChar w:fldCharType="separate"/>
    </w:r>
    <w:r w:rsidR="009F49FE">
      <w:rPr>
        <w:rFonts w:ascii="Arial" w:hAnsi="Arial" w:cs="Arial"/>
        <w:bCs/>
        <w:noProof/>
        <w:sz w:val="18"/>
        <w:szCs w:val="18"/>
        <w:lang w:val="pt-BR"/>
      </w:rPr>
      <w:t>7</w:t>
    </w:r>
    <w:r>
      <w:rPr>
        <w:rFonts w:ascii="Arial" w:hAnsi="Arial" w:cs="Arial"/>
        <w:bCs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744B"/>
    <w:multiLevelType w:val="hybridMultilevel"/>
    <w:tmpl w:val="894CC21E"/>
    <w:lvl w:ilvl="0" w:tplc="84DC94E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62DE1"/>
    <w:multiLevelType w:val="hybridMultilevel"/>
    <w:tmpl w:val="627A7B38"/>
    <w:lvl w:ilvl="0" w:tplc="ABDCA4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40515"/>
    <w:multiLevelType w:val="multilevel"/>
    <w:tmpl w:val="54E2E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101208"/>
    <w:multiLevelType w:val="hybridMultilevel"/>
    <w:tmpl w:val="357C4A1A"/>
    <w:lvl w:ilvl="0" w:tplc="2D4C49EC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40" w:hanging="360"/>
      </w:p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2485CD3"/>
    <w:multiLevelType w:val="hybridMultilevel"/>
    <w:tmpl w:val="A6CC8F76"/>
    <w:lvl w:ilvl="0" w:tplc="ABDCA43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6145BF"/>
    <w:multiLevelType w:val="hybridMultilevel"/>
    <w:tmpl w:val="D646ED08"/>
    <w:lvl w:ilvl="0" w:tplc="ABDCA43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EC6977"/>
    <w:multiLevelType w:val="hybridMultilevel"/>
    <w:tmpl w:val="A8DED3E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850BE6"/>
    <w:multiLevelType w:val="hybridMultilevel"/>
    <w:tmpl w:val="9272830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DCA432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C63CCC"/>
    <w:multiLevelType w:val="hybridMultilevel"/>
    <w:tmpl w:val="55B6A370"/>
    <w:lvl w:ilvl="0" w:tplc="ABDCA43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C0458"/>
    <w:multiLevelType w:val="hybridMultilevel"/>
    <w:tmpl w:val="B9F8FCEA"/>
    <w:lvl w:ilvl="0" w:tplc="A36C012E">
      <w:start w:val="1"/>
      <w:numFmt w:val="lowerLetter"/>
      <w:lvlText w:val="%1."/>
      <w:lvlJc w:val="left"/>
      <w:pPr>
        <w:ind w:left="47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90" w:hanging="360"/>
      </w:pPr>
    </w:lvl>
    <w:lvl w:ilvl="2" w:tplc="240A001B" w:tentative="1">
      <w:start w:val="1"/>
      <w:numFmt w:val="lowerRoman"/>
      <w:lvlText w:val="%3."/>
      <w:lvlJc w:val="right"/>
      <w:pPr>
        <w:ind w:left="1910" w:hanging="180"/>
      </w:pPr>
    </w:lvl>
    <w:lvl w:ilvl="3" w:tplc="240A000F" w:tentative="1">
      <w:start w:val="1"/>
      <w:numFmt w:val="decimal"/>
      <w:lvlText w:val="%4."/>
      <w:lvlJc w:val="left"/>
      <w:pPr>
        <w:ind w:left="2630" w:hanging="360"/>
      </w:pPr>
    </w:lvl>
    <w:lvl w:ilvl="4" w:tplc="240A0019" w:tentative="1">
      <w:start w:val="1"/>
      <w:numFmt w:val="lowerLetter"/>
      <w:lvlText w:val="%5."/>
      <w:lvlJc w:val="left"/>
      <w:pPr>
        <w:ind w:left="3350" w:hanging="360"/>
      </w:pPr>
    </w:lvl>
    <w:lvl w:ilvl="5" w:tplc="240A001B" w:tentative="1">
      <w:start w:val="1"/>
      <w:numFmt w:val="lowerRoman"/>
      <w:lvlText w:val="%6."/>
      <w:lvlJc w:val="right"/>
      <w:pPr>
        <w:ind w:left="4070" w:hanging="180"/>
      </w:pPr>
    </w:lvl>
    <w:lvl w:ilvl="6" w:tplc="240A000F" w:tentative="1">
      <w:start w:val="1"/>
      <w:numFmt w:val="decimal"/>
      <w:lvlText w:val="%7."/>
      <w:lvlJc w:val="left"/>
      <w:pPr>
        <w:ind w:left="4790" w:hanging="360"/>
      </w:pPr>
    </w:lvl>
    <w:lvl w:ilvl="7" w:tplc="240A0019" w:tentative="1">
      <w:start w:val="1"/>
      <w:numFmt w:val="lowerLetter"/>
      <w:lvlText w:val="%8."/>
      <w:lvlJc w:val="left"/>
      <w:pPr>
        <w:ind w:left="5510" w:hanging="360"/>
      </w:pPr>
    </w:lvl>
    <w:lvl w:ilvl="8" w:tplc="240A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0">
    <w:nsid w:val="757309E7"/>
    <w:multiLevelType w:val="hybridMultilevel"/>
    <w:tmpl w:val="DAFECB4E"/>
    <w:lvl w:ilvl="0" w:tplc="ABDCA43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3B068C"/>
    <w:multiLevelType w:val="hybridMultilevel"/>
    <w:tmpl w:val="E264928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8"/>
  </w:num>
  <w:num w:numId="5">
    <w:abstractNumId w:val="1"/>
  </w:num>
  <w:num w:numId="6">
    <w:abstractNumId w:val="11"/>
  </w:num>
  <w:num w:numId="7">
    <w:abstractNumId w:val="10"/>
  </w:num>
  <w:num w:numId="8">
    <w:abstractNumId w:val="5"/>
  </w:num>
  <w:num w:numId="9">
    <w:abstractNumId w:val="6"/>
  </w:num>
  <w:num w:numId="10">
    <w:abstractNumId w:val="7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27F"/>
    <w:rsid w:val="00117277"/>
    <w:rsid w:val="002763F4"/>
    <w:rsid w:val="002A1683"/>
    <w:rsid w:val="002B349F"/>
    <w:rsid w:val="002D2C13"/>
    <w:rsid w:val="00322F8B"/>
    <w:rsid w:val="00416166"/>
    <w:rsid w:val="008D79FC"/>
    <w:rsid w:val="00957784"/>
    <w:rsid w:val="0096718B"/>
    <w:rsid w:val="009D346C"/>
    <w:rsid w:val="009F49FE"/>
    <w:rsid w:val="00A06B29"/>
    <w:rsid w:val="00B910CA"/>
    <w:rsid w:val="00BC7D50"/>
    <w:rsid w:val="00BE2D2D"/>
    <w:rsid w:val="00BE55D8"/>
    <w:rsid w:val="00C371C1"/>
    <w:rsid w:val="00E405BD"/>
    <w:rsid w:val="00E9227F"/>
    <w:rsid w:val="00F5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2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371C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71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10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0CA"/>
  </w:style>
  <w:style w:type="paragraph" w:styleId="Footer">
    <w:name w:val="footer"/>
    <w:basedOn w:val="Normal"/>
    <w:link w:val="FooterChar"/>
    <w:uiPriority w:val="99"/>
    <w:unhideWhenUsed/>
    <w:rsid w:val="00B910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0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2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371C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71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10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0CA"/>
  </w:style>
  <w:style w:type="paragraph" w:styleId="Footer">
    <w:name w:val="footer"/>
    <w:basedOn w:val="Normal"/>
    <w:link w:val="FooterChar"/>
    <w:uiPriority w:val="99"/>
    <w:unhideWhenUsed/>
    <w:rsid w:val="00B910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40715137</IDBDocs_x0020_Number>
    <TaxCatchAll xmlns="9c571b2f-e523-4ab2-ba2e-09e151a03ef4">
      <Value>5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CSD/HUD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Lopez Ghio, Ramiro Andres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CO-L1165,CO-X1018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DU-DUR</Webtopic>
    <Publishing_x0020_House xmlns="9c571b2f-e523-4ab2-ba2e-09e151a03ef4" xsi:nil="true"/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77EDEC1438FF14E9B8E60AD557A970D" ma:contentTypeVersion="0" ma:contentTypeDescription="A content type to manage public (operations) IDB documents" ma:contentTypeScope="" ma:versionID="0bbd251f0642d061612e2961c5b3a45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e396acf9842407597efee5fc1224e8a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060eec94-9ea5-4a7b-9f6d-cccf30bfb5dc}" ma:internalName="TaxCatchAll" ma:showField="CatchAllData" ma:web="de16acd7-ff20-4325-8e03-4fc85fddf8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060eec94-9ea5-4a7b-9f6d-cccf30bfb5dc}" ma:internalName="TaxCatchAllLabel" ma:readOnly="true" ma:showField="CatchAllDataLabel" ma:web="de16acd7-ff20-4325-8e03-4fc85fddf8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84744C-3BCB-42D7-BFC4-F9A9A1BE677F}"/>
</file>

<file path=customXml/itemProps2.xml><?xml version="1.0" encoding="utf-8"?>
<ds:datastoreItem xmlns:ds="http://schemas.openxmlformats.org/officeDocument/2006/customXml" ds:itemID="{7344BE0E-D08E-448F-931C-436E6C86C94B}"/>
</file>

<file path=customXml/itemProps3.xml><?xml version="1.0" encoding="utf-8"?>
<ds:datastoreItem xmlns:ds="http://schemas.openxmlformats.org/officeDocument/2006/customXml" ds:itemID="{EB7F9191-4B2C-4FED-886F-277C01F27186}"/>
</file>

<file path=customXml/itemProps4.xml><?xml version="1.0" encoding="utf-8"?>
<ds:datastoreItem xmlns:ds="http://schemas.openxmlformats.org/officeDocument/2006/customXml" ds:itemID="{7D8620CD-AA43-4FFA-A787-FA4593C060A3}"/>
</file>

<file path=customXml/itemProps5.xml><?xml version="1.0" encoding="utf-8"?>
<ds:datastoreItem xmlns:ds="http://schemas.openxmlformats.org/officeDocument/2006/customXml" ds:itemID="{FB6A8B6E-B7AB-415E-84FD-7AEE8946F5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2345</Words>
  <Characters>13369</Characters>
  <Application>Microsoft Office Word</Application>
  <DocSecurity>4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Consistencia del programa con las Estrategias Sectoriales y SFD</dc:title>
  <dc:creator>NLopez</dc:creator>
  <cp:lastModifiedBy>Test</cp:lastModifiedBy>
  <cp:revision>2</cp:revision>
  <dcterms:created xsi:type="dcterms:W3CDTF">2016-10-20T15:45:00Z</dcterms:created>
  <dcterms:modified xsi:type="dcterms:W3CDTF">2016-10-20T15:45:00Z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0x01010046CF21643EE8D14686A648AA6DAD089200877EDEC1438FF14E9B8E60AD557A970D</vt:lpwstr>
  </property>
  <property fmtid="{D5CDD505-2E9C-101B-9397-08002B2CF9AE}" pid="3" name="TaxKeyword">
    <vt:lpwstr/>
  </property>
  <property fmtid="{D5CDD505-2E9C-101B-9397-08002B2CF9AE}" pid="4" name="Function Operations IDB">
    <vt:lpwstr>6;#IDBDocs|cca77002-e150-4b2d-ab1f-1d7a7cdcae16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5;#Unclassified|a6dff32e-d477-44cd-a56b-85efe9e0a56c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5;#Unclassified|a6dff32e-d477-44cd-a56b-85efe9e0a56c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