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AD5C6" w14:textId="77777777" w:rsidR="00974EF5" w:rsidRDefault="00954FA3" w:rsidP="009B2398">
      <w:pPr>
        <w:spacing w:before="120" w:after="120"/>
        <w:jc w:val="center"/>
      </w:pPr>
      <w:r>
        <w:rPr>
          <w:rFonts w:ascii="Arial" w:hAnsi="Arial" w:cs="Arial"/>
          <w:b/>
        </w:rPr>
        <w:t>TC ABSTRACT</w:t>
      </w:r>
    </w:p>
    <w:p w14:paraId="286AD5C7" w14:textId="77777777" w:rsidR="00974EF5" w:rsidRDefault="00954FA3">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25"/>
        <w:gridCol w:w="4995"/>
      </w:tblGrid>
      <w:tr w:rsidR="00974EF5" w14:paraId="286AD5CA" w14:textId="77777777" w:rsidTr="003B456F">
        <w:trPr>
          <w:jc w:val="center"/>
        </w:trPr>
        <w:tc>
          <w:tcPr>
            <w:tcW w:w="4114" w:type="dxa"/>
          </w:tcPr>
          <w:p w14:paraId="286AD5C8" w14:textId="77777777" w:rsidR="00974EF5" w:rsidRDefault="00954FA3">
            <w:pPr>
              <w:spacing w:before="40" w:after="40"/>
              <w:ind w:left="115" w:hanging="115"/>
            </w:pPr>
            <w:r>
              <w:rPr>
                <w:rFonts w:ascii="Arial" w:hAnsi="Arial" w:cs="Arial"/>
                <w:sz w:val="18"/>
                <w:szCs w:val="18"/>
              </w:rPr>
              <w:t>▪ Country/Region:</w:t>
            </w:r>
          </w:p>
        </w:tc>
        <w:tc>
          <w:tcPr>
            <w:tcW w:w="5128" w:type="dxa"/>
          </w:tcPr>
          <w:p w14:paraId="286AD5C9" w14:textId="77777777" w:rsidR="00974EF5" w:rsidRDefault="00954FA3">
            <w:pPr>
              <w:spacing w:before="40" w:after="40"/>
            </w:pPr>
            <w:r>
              <w:rPr>
                <w:rFonts w:ascii="Arial" w:hAnsi="Arial" w:cs="Arial"/>
                <w:sz w:val="18"/>
                <w:szCs w:val="18"/>
              </w:rPr>
              <w:t>REGIONAL/IDB</w:t>
            </w:r>
          </w:p>
        </w:tc>
      </w:tr>
      <w:tr w:rsidR="00974EF5" w14:paraId="286AD5CD" w14:textId="77777777" w:rsidTr="003B456F">
        <w:trPr>
          <w:jc w:val="center"/>
        </w:trPr>
        <w:tc>
          <w:tcPr>
            <w:tcW w:w="4114" w:type="dxa"/>
          </w:tcPr>
          <w:p w14:paraId="286AD5CB" w14:textId="77777777" w:rsidR="00974EF5" w:rsidRDefault="00954FA3">
            <w:pPr>
              <w:spacing w:before="40" w:after="40"/>
              <w:ind w:left="115" w:hanging="115"/>
            </w:pPr>
            <w:r>
              <w:rPr>
                <w:rFonts w:ascii="Arial" w:hAnsi="Arial" w:cs="Arial"/>
                <w:sz w:val="18"/>
                <w:szCs w:val="18"/>
              </w:rPr>
              <w:t>▪ TC Name:</w:t>
            </w:r>
          </w:p>
        </w:tc>
        <w:tc>
          <w:tcPr>
            <w:tcW w:w="5128" w:type="dxa"/>
          </w:tcPr>
          <w:p w14:paraId="286AD5CC" w14:textId="77777777" w:rsidR="00974EF5" w:rsidRDefault="00954FA3">
            <w:pPr>
              <w:spacing w:before="40" w:after="40"/>
            </w:pPr>
            <w:r>
              <w:rPr>
                <w:rFonts w:ascii="Arial" w:hAnsi="Arial" w:cs="Arial"/>
                <w:sz w:val="18"/>
                <w:szCs w:val="18"/>
              </w:rPr>
              <w:t>InfraDigital - Promoting Digital Transformation for Infrastructure and Energy Sectors in LAC</w:t>
            </w:r>
          </w:p>
        </w:tc>
      </w:tr>
      <w:tr w:rsidR="00974EF5" w14:paraId="286AD5D0" w14:textId="77777777" w:rsidTr="003B456F">
        <w:trPr>
          <w:jc w:val="center"/>
        </w:trPr>
        <w:tc>
          <w:tcPr>
            <w:tcW w:w="4114" w:type="dxa"/>
          </w:tcPr>
          <w:p w14:paraId="286AD5CE" w14:textId="77777777" w:rsidR="00974EF5" w:rsidRDefault="00954FA3">
            <w:pPr>
              <w:spacing w:before="40" w:after="40"/>
              <w:ind w:left="115" w:hanging="115"/>
            </w:pPr>
            <w:r>
              <w:rPr>
                <w:rFonts w:ascii="Arial" w:hAnsi="Arial" w:cs="Arial"/>
                <w:sz w:val="18"/>
                <w:szCs w:val="18"/>
              </w:rPr>
              <w:t>▪ TC Number:</w:t>
            </w:r>
          </w:p>
        </w:tc>
        <w:tc>
          <w:tcPr>
            <w:tcW w:w="5128" w:type="dxa"/>
          </w:tcPr>
          <w:p w14:paraId="286AD5CF" w14:textId="77777777" w:rsidR="00974EF5" w:rsidRDefault="00954FA3">
            <w:pPr>
              <w:spacing w:before="40" w:after="40"/>
            </w:pPr>
            <w:r>
              <w:rPr>
                <w:rFonts w:ascii="Arial" w:hAnsi="Arial" w:cs="Arial"/>
                <w:sz w:val="18"/>
                <w:szCs w:val="18"/>
              </w:rPr>
              <w:t>RG-T4098</w:t>
            </w:r>
          </w:p>
        </w:tc>
      </w:tr>
      <w:tr w:rsidR="00974EF5" w:rsidRPr="009B2398" w14:paraId="286AD5D3" w14:textId="77777777" w:rsidTr="003B456F">
        <w:trPr>
          <w:jc w:val="center"/>
        </w:trPr>
        <w:tc>
          <w:tcPr>
            <w:tcW w:w="4114" w:type="dxa"/>
          </w:tcPr>
          <w:p w14:paraId="286AD5D1" w14:textId="77777777" w:rsidR="00974EF5" w:rsidRDefault="00954FA3">
            <w:pPr>
              <w:spacing w:before="40" w:after="40"/>
              <w:ind w:left="115" w:hanging="115"/>
            </w:pPr>
            <w:r>
              <w:rPr>
                <w:rFonts w:ascii="Arial" w:hAnsi="Arial" w:cs="Arial"/>
                <w:sz w:val="18"/>
                <w:szCs w:val="18"/>
              </w:rPr>
              <w:t>▪ Team Leader/Members:</w:t>
            </w:r>
          </w:p>
        </w:tc>
        <w:tc>
          <w:tcPr>
            <w:tcW w:w="5128" w:type="dxa"/>
          </w:tcPr>
          <w:p w14:paraId="286AD5D2" w14:textId="13D9EF75" w:rsidR="00974EF5" w:rsidRPr="00CA6F6A" w:rsidRDefault="00954FA3">
            <w:pPr>
              <w:spacing w:before="40" w:after="40"/>
              <w:rPr>
                <w:lang w:val="es-ES"/>
              </w:rPr>
            </w:pPr>
            <w:r w:rsidRPr="00CA6F6A">
              <w:rPr>
                <w:rFonts w:ascii="Arial" w:hAnsi="Arial" w:cs="Arial"/>
                <w:sz w:val="18"/>
                <w:szCs w:val="18"/>
                <w:lang w:val="es-ES"/>
              </w:rPr>
              <w:t>RIOBO PATINO, JAIRO ALEXANDER (INE/TSP) Team Leader; IRIGOYEN, JOSE LUIS (INE/ENE) Alternate Team Leader; CALDO, ALEJANDRA ANAHI (INE/TSP) Alternate Team Leader; BASANI, MARCELLO (INE/WSA); CALATAYUD, MARIA AGUSTINA (INE/TSP); ADRIANA UNZUETA SAAVEDRA (INE/INE); MARIA PFEIFER (INE/INE); NATALIA ALMEIDA (LEG/SGO); DE AZEVEDO, EDUARDO HENRIQUE (KIC/ICD); EMILIA MOLINA (INE/TSP); GONZALO RODRIGUEZ VALVERDE (INE/TSP)</w:t>
            </w:r>
          </w:p>
        </w:tc>
      </w:tr>
      <w:tr w:rsidR="00974EF5" w14:paraId="286AD5D6" w14:textId="77777777" w:rsidTr="003B456F">
        <w:trPr>
          <w:jc w:val="center"/>
        </w:trPr>
        <w:tc>
          <w:tcPr>
            <w:tcW w:w="4114" w:type="dxa"/>
          </w:tcPr>
          <w:p w14:paraId="286AD5D4" w14:textId="77777777" w:rsidR="00974EF5" w:rsidRDefault="00954FA3">
            <w:pPr>
              <w:spacing w:before="40" w:after="40"/>
              <w:ind w:left="115" w:hanging="115"/>
            </w:pPr>
            <w:r>
              <w:rPr>
                <w:rFonts w:ascii="Arial" w:hAnsi="Arial" w:cs="Arial"/>
                <w:sz w:val="18"/>
                <w:szCs w:val="18"/>
              </w:rPr>
              <w:t>▪ Taxonomy:</w:t>
            </w:r>
          </w:p>
        </w:tc>
        <w:tc>
          <w:tcPr>
            <w:tcW w:w="5128" w:type="dxa"/>
          </w:tcPr>
          <w:p w14:paraId="286AD5D5" w14:textId="77777777" w:rsidR="00974EF5" w:rsidRDefault="00954FA3">
            <w:pPr>
              <w:spacing w:before="40" w:after="40"/>
            </w:pPr>
            <w:r>
              <w:rPr>
                <w:rFonts w:ascii="Arial" w:hAnsi="Arial" w:cs="Arial"/>
                <w:sz w:val="18"/>
                <w:szCs w:val="18"/>
              </w:rPr>
              <w:t>Client Support</w:t>
            </w:r>
          </w:p>
        </w:tc>
      </w:tr>
      <w:tr w:rsidR="00974EF5" w14:paraId="286AD5D9" w14:textId="77777777" w:rsidTr="003B456F">
        <w:trPr>
          <w:jc w:val="center"/>
        </w:trPr>
        <w:tc>
          <w:tcPr>
            <w:tcW w:w="4114" w:type="dxa"/>
          </w:tcPr>
          <w:p w14:paraId="286AD5D7" w14:textId="77777777" w:rsidR="00974EF5" w:rsidRDefault="00954FA3">
            <w:pPr>
              <w:spacing w:before="40" w:after="40"/>
              <w:ind w:left="115" w:hanging="115"/>
            </w:pPr>
            <w:r>
              <w:rPr>
                <w:rFonts w:ascii="Arial" w:hAnsi="Arial" w:cs="Arial"/>
                <w:sz w:val="18"/>
                <w:szCs w:val="18"/>
              </w:rPr>
              <w:t>▪ Number and name of operation supported by the TC:</w:t>
            </w:r>
          </w:p>
        </w:tc>
        <w:tc>
          <w:tcPr>
            <w:tcW w:w="5128" w:type="dxa"/>
          </w:tcPr>
          <w:p w14:paraId="286AD5D8" w14:textId="77777777" w:rsidR="00974EF5" w:rsidRDefault="00954FA3">
            <w:pPr>
              <w:spacing w:before="40" w:after="40"/>
            </w:pPr>
            <w:r>
              <w:rPr>
                <w:rFonts w:ascii="Arial" w:hAnsi="Arial" w:cs="Arial"/>
                <w:sz w:val="18"/>
                <w:szCs w:val="18"/>
              </w:rPr>
              <w:t>N/A</w:t>
            </w:r>
          </w:p>
        </w:tc>
      </w:tr>
      <w:tr w:rsidR="00974EF5" w14:paraId="286AD5DC" w14:textId="77777777" w:rsidTr="003B456F">
        <w:trPr>
          <w:jc w:val="center"/>
        </w:trPr>
        <w:tc>
          <w:tcPr>
            <w:tcW w:w="4114" w:type="dxa"/>
          </w:tcPr>
          <w:p w14:paraId="286AD5DA" w14:textId="77777777" w:rsidR="00974EF5" w:rsidRDefault="00954FA3">
            <w:pPr>
              <w:spacing w:before="40" w:after="40"/>
              <w:ind w:left="115" w:hanging="115"/>
            </w:pPr>
            <w:r>
              <w:rPr>
                <w:rFonts w:ascii="Arial" w:hAnsi="Arial" w:cs="Arial"/>
                <w:sz w:val="18"/>
                <w:szCs w:val="18"/>
              </w:rPr>
              <w:t>▪ Date of TC Abstract:</w:t>
            </w:r>
          </w:p>
        </w:tc>
        <w:tc>
          <w:tcPr>
            <w:tcW w:w="5128" w:type="dxa"/>
          </w:tcPr>
          <w:p w14:paraId="286AD5DB" w14:textId="77777777" w:rsidR="00974EF5" w:rsidRDefault="00954FA3">
            <w:pPr>
              <w:spacing w:before="40" w:after="40"/>
            </w:pPr>
            <w:r>
              <w:rPr>
                <w:rFonts w:ascii="Arial" w:hAnsi="Arial" w:cs="Arial"/>
                <w:sz w:val="18"/>
                <w:szCs w:val="18"/>
              </w:rPr>
              <w:t>22 Mar 2022</w:t>
            </w:r>
          </w:p>
        </w:tc>
      </w:tr>
      <w:tr w:rsidR="00974EF5" w14:paraId="286AD5DF" w14:textId="77777777" w:rsidTr="003B456F">
        <w:trPr>
          <w:jc w:val="center"/>
        </w:trPr>
        <w:tc>
          <w:tcPr>
            <w:tcW w:w="4114" w:type="dxa"/>
          </w:tcPr>
          <w:p w14:paraId="286AD5DD" w14:textId="77777777" w:rsidR="00974EF5" w:rsidRDefault="00954FA3">
            <w:pPr>
              <w:spacing w:before="40" w:after="40"/>
              <w:ind w:left="115" w:hanging="115"/>
            </w:pPr>
            <w:r>
              <w:rPr>
                <w:rFonts w:ascii="Arial" w:hAnsi="Arial" w:cs="Arial"/>
                <w:sz w:val="18"/>
                <w:szCs w:val="18"/>
              </w:rPr>
              <w:t>▪ Beneficiary:</w:t>
            </w:r>
          </w:p>
        </w:tc>
        <w:tc>
          <w:tcPr>
            <w:tcW w:w="5128" w:type="dxa"/>
          </w:tcPr>
          <w:p w14:paraId="286AD5DE" w14:textId="77777777" w:rsidR="00974EF5" w:rsidRDefault="00954FA3">
            <w:pPr>
              <w:spacing w:before="40" w:after="40"/>
            </w:pPr>
            <w:r>
              <w:rPr>
                <w:rFonts w:ascii="Arial" w:hAnsi="Arial" w:cs="Arial"/>
                <w:sz w:val="18"/>
                <w:szCs w:val="18"/>
              </w:rPr>
              <w:t>Colombia, Paraguay and Uruguay.</w:t>
            </w:r>
          </w:p>
        </w:tc>
      </w:tr>
      <w:tr w:rsidR="00974EF5" w14:paraId="286AD5E2" w14:textId="77777777" w:rsidTr="003B456F">
        <w:trPr>
          <w:jc w:val="center"/>
        </w:trPr>
        <w:tc>
          <w:tcPr>
            <w:tcW w:w="4114" w:type="dxa"/>
          </w:tcPr>
          <w:p w14:paraId="286AD5E0" w14:textId="77777777" w:rsidR="00974EF5" w:rsidRDefault="00954FA3">
            <w:pPr>
              <w:spacing w:before="40" w:after="40"/>
              <w:ind w:left="115" w:hanging="115"/>
            </w:pPr>
            <w:r>
              <w:rPr>
                <w:rFonts w:ascii="Arial" w:hAnsi="Arial" w:cs="Arial"/>
                <w:sz w:val="18"/>
                <w:szCs w:val="18"/>
              </w:rPr>
              <w:t>▪ Executing Agency:</w:t>
            </w:r>
          </w:p>
        </w:tc>
        <w:tc>
          <w:tcPr>
            <w:tcW w:w="5128" w:type="dxa"/>
          </w:tcPr>
          <w:p w14:paraId="286AD5E1" w14:textId="77777777" w:rsidR="00974EF5" w:rsidRDefault="00954FA3">
            <w:pPr>
              <w:spacing w:before="40" w:after="40"/>
            </w:pPr>
            <w:r>
              <w:rPr>
                <w:rFonts w:ascii="Arial" w:hAnsi="Arial" w:cs="Arial"/>
                <w:sz w:val="18"/>
                <w:szCs w:val="18"/>
              </w:rPr>
              <w:t>INTER-AMERICAN DEVELOPMENT BANK</w:t>
            </w:r>
          </w:p>
        </w:tc>
      </w:tr>
      <w:tr w:rsidR="00974EF5" w14:paraId="286AD5E5" w14:textId="77777777" w:rsidTr="003B456F">
        <w:trPr>
          <w:jc w:val="center"/>
        </w:trPr>
        <w:tc>
          <w:tcPr>
            <w:tcW w:w="4114" w:type="dxa"/>
          </w:tcPr>
          <w:p w14:paraId="286AD5E3" w14:textId="77777777" w:rsidR="00974EF5" w:rsidRDefault="00954FA3">
            <w:pPr>
              <w:spacing w:before="40" w:after="40"/>
              <w:ind w:left="115" w:hanging="115"/>
            </w:pPr>
            <w:r>
              <w:rPr>
                <w:rFonts w:ascii="Arial" w:hAnsi="Arial" w:cs="Arial"/>
                <w:sz w:val="18"/>
                <w:szCs w:val="18"/>
              </w:rPr>
              <w:t>▪ IDB funding requested:</w:t>
            </w:r>
          </w:p>
        </w:tc>
        <w:tc>
          <w:tcPr>
            <w:tcW w:w="5128" w:type="dxa"/>
          </w:tcPr>
          <w:p w14:paraId="286AD5E4" w14:textId="77777777" w:rsidR="00974EF5" w:rsidRDefault="00954FA3">
            <w:pPr>
              <w:bidi/>
              <w:spacing w:before="40" w:after="40"/>
            </w:pPr>
            <w:r>
              <w:rPr>
                <w:rFonts w:ascii="Arial" w:hAnsi="Arial" w:cs="Arial"/>
                <w:sz w:val="18"/>
                <w:szCs w:val="18"/>
              </w:rPr>
              <w:t>US$770,000.00</w:t>
            </w:r>
          </w:p>
        </w:tc>
      </w:tr>
      <w:tr w:rsidR="00974EF5" w14:paraId="286AD5E8" w14:textId="77777777" w:rsidTr="003B456F">
        <w:trPr>
          <w:jc w:val="center"/>
        </w:trPr>
        <w:tc>
          <w:tcPr>
            <w:tcW w:w="4114" w:type="dxa"/>
          </w:tcPr>
          <w:p w14:paraId="286AD5E6" w14:textId="77777777" w:rsidR="00974EF5" w:rsidRDefault="00954FA3">
            <w:pPr>
              <w:spacing w:before="40" w:after="40"/>
              <w:ind w:left="115" w:hanging="115"/>
            </w:pPr>
            <w:r>
              <w:rPr>
                <w:rFonts w:ascii="Arial" w:hAnsi="Arial" w:cs="Arial"/>
                <w:sz w:val="18"/>
                <w:szCs w:val="18"/>
              </w:rPr>
              <w:t>▪ Local counterpart funding:</w:t>
            </w:r>
          </w:p>
        </w:tc>
        <w:tc>
          <w:tcPr>
            <w:tcW w:w="5128" w:type="dxa"/>
          </w:tcPr>
          <w:p w14:paraId="286AD5E7" w14:textId="77777777" w:rsidR="00974EF5" w:rsidRDefault="00954FA3">
            <w:pPr>
              <w:bidi/>
              <w:spacing w:before="40" w:after="40"/>
            </w:pPr>
            <w:r>
              <w:rPr>
                <w:rFonts w:ascii="Arial" w:hAnsi="Arial" w:cs="Arial"/>
                <w:sz w:val="18"/>
                <w:szCs w:val="18"/>
              </w:rPr>
              <w:t>US$0.00</w:t>
            </w:r>
          </w:p>
        </w:tc>
      </w:tr>
      <w:tr w:rsidR="00974EF5" w14:paraId="286AD5EB" w14:textId="77777777" w:rsidTr="003B456F">
        <w:trPr>
          <w:jc w:val="center"/>
        </w:trPr>
        <w:tc>
          <w:tcPr>
            <w:tcW w:w="4114" w:type="dxa"/>
          </w:tcPr>
          <w:p w14:paraId="286AD5E9" w14:textId="77777777" w:rsidR="00974EF5" w:rsidRDefault="00954FA3">
            <w:pPr>
              <w:spacing w:before="40" w:after="40"/>
              <w:ind w:left="115" w:hanging="115"/>
            </w:pPr>
            <w:r>
              <w:rPr>
                <w:rFonts w:ascii="Arial" w:hAnsi="Arial" w:cs="Arial"/>
                <w:sz w:val="18"/>
                <w:szCs w:val="18"/>
              </w:rPr>
              <w:t>▪ Disbursement period:</w:t>
            </w:r>
          </w:p>
        </w:tc>
        <w:tc>
          <w:tcPr>
            <w:tcW w:w="5128" w:type="dxa"/>
          </w:tcPr>
          <w:p w14:paraId="286AD5EA" w14:textId="77777777" w:rsidR="00974EF5" w:rsidRDefault="00954FA3">
            <w:pPr>
              <w:bidi/>
              <w:spacing w:before="40" w:after="40"/>
            </w:pPr>
            <w:r>
              <w:rPr>
                <w:rFonts w:ascii="Arial" w:hAnsi="Arial" w:cs="Arial"/>
                <w:sz w:val="18"/>
                <w:szCs w:val="18"/>
              </w:rPr>
              <w:t>36 months</w:t>
            </w:r>
          </w:p>
        </w:tc>
      </w:tr>
      <w:tr w:rsidR="00974EF5" w14:paraId="286AD5EE" w14:textId="77777777" w:rsidTr="003B456F">
        <w:trPr>
          <w:jc w:val="center"/>
        </w:trPr>
        <w:tc>
          <w:tcPr>
            <w:tcW w:w="4114" w:type="dxa"/>
          </w:tcPr>
          <w:p w14:paraId="286AD5EC" w14:textId="77777777" w:rsidR="00974EF5" w:rsidRDefault="00954FA3">
            <w:pPr>
              <w:spacing w:before="40" w:after="40"/>
              <w:ind w:left="115" w:hanging="115"/>
            </w:pPr>
            <w:r>
              <w:rPr>
                <w:rFonts w:ascii="Arial" w:hAnsi="Arial" w:cs="Arial"/>
                <w:sz w:val="18"/>
                <w:szCs w:val="18"/>
              </w:rPr>
              <w:t>▪ Types of consultants:</w:t>
            </w:r>
          </w:p>
        </w:tc>
        <w:tc>
          <w:tcPr>
            <w:tcW w:w="5128" w:type="dxa"/>
          </w:tcPr>
          <w:p w14:paraId="286AD5ED" w14:textId="14C528FB" w:rsidR="00974EF5" w:rsidRDefault="00954FA3">
            <w:pPr>
              <w:spacing w:before="40" w:after="40"/>
            </w:pPr>
            <w:r>
              <w:rPr>
                <w:rFonts w:ascii="Arial" w:hAnsi="Arial" w:cs="Arial"/>
                <w:sz w:val="18"/>
                <w:szCs w:val="18"/>
              </w:rPr>
              <w:t>Individuals</w:t>
            </w:r>
            <w:r w:rsidR="006F78C0">
              <w:rPr>
                <w:rFonts w:ascii="Arial" w:hAnsi="Arial" w:cs="Arial"/>
                <w:sz w:val="18"/>
                <w:szCs w:val="18"/>
              </w:rPr>
              <w:t xml:space="preserve"> and f</w:t>
            </w:r>
            <w:r>
              <w:rPr>
                <w:rFonts w:ascii="Arial" w:hAnsi="Arial" w:cs="Arial"/>
                <w:sz w:val="18"/>
                <w:szCs w:val="18"/>
              </w:rPr>
              <w:t>irms</w:t>
            </w:r>
          </w:p>
        </w:tc>
      </w:tr>
      <w:tr w:rsidR="00974EF5" w14:paraId="286AD5F1" w14:textId="77777777" w:rsidTr="003B456F">
        <w:trPr>
          <w:jc w:val="center"/>
        </w:trPr>
        <w:tc>
          <w:tcPr>
            <w:tcW w:w="4114" w:type="dxa"/>
          </w:tcPr>
          <w:p w14:paraId="286AD5EF" w14:textId="77777777" w:rsidR="00974EF5" w:rsidRDefault="00954FA3">
            <w:pPr>
              <w:spacing w:before="40" w:after="40"/>
              <w:ind w:left="115" w:hanging="115"/>
            </w:pPr>
            <w:r>
              <w:rPr>
                <w:rFonts w:ascii="Arial" w:hAnsi="Arial" w:cs="Arial"/>
                <w:sz w:val="18"/>
                <w:szCs w:val="18"/>
              </w:rPr>
              <w:t>▪ Prepared by Unit:</w:t>
            </w:r>
          </w:p>
        </w:tc>
        <w:tc>
          <w:tcPr>
            <w:tcW w:w="5128" w:type="dxa"/>
          </w:tcPr>
          <w:p w14:paraId="286AD5F0" w14:textId="28BBA76A" w:rsidR="00974EF5" w:rsidRDefault="00954FA3">
            <w:pPr>
              <w:spacing w:before="40" w:after="40"/>
            </w:pPr>
            <w:r>
              <w:rPr>
                <w:rFonts w:ascii="Arial" w:hAnsi="Arial" w:cs="Arial"/>
                <w:sz w:val="18"/>
                <w:szCs w:val="18"/>
              </w:rPr>
              <w:t>INE-Infrastructure and Energy Sector</w:t>
            </w:r>
          </w:p>
        </w:tc>
      </w:tr>
      <w:tr w:rsidR="00974EF5" w14:paraId="286AD5F4" w14:textId="77777777" w:rsidTr="003B456F">
        <w:trPr>
          <w:jc w:val="center"/>
        </w:trPr>
        <w:tc>
          <w:tcPr>
            <w:tcW w:w="4114" w:type="dxa"/>
          </w:tcPr>
          <w:p w14:paraId="286AD5F2" w14:textId="77777777" w:rsidR="00974EF5" w:rsidRDefault="00954FA3">
            <w:pPr>
              <w:spacing w:before="40" w:after="40"/>
              <w:ind w:left="115" w:hanging="115"/>
            </w:pPr>
            <w:r>
              <w:rPr>
                <w:rFonts w:ascii="Arial" w:hAnsi="Arial" w:cs="Arial"/>
                <w:sz w:val="18"/>
                <w:szCs w:val="18"/>
              </w:rPr>
              <w:t>▪ Unit of Disbursement Responsibility:</w:t>
            </w:r>
          </w:p>
        </w:tc>
        <w:tc>
          <w:tcPr>
            <w:tcW w:w="5128" w:type="dxa"/>
          </w:tcPr>
          <w:p w14:paraId="286AD5F3" w14:textId="54AC6EAE" w:rsidR="00974EF5" w:rsidRDefault="00954FA3">
            <w:pPr>
              <w:spacing w:before="40" w:after="40"/>
            </w:pPr>
            <w:r>
              <w:rPr>
                <w:rFonts w:ascii="Arial" w:hAnsi="Arial" w:cs="Arial"/>
                <w:sz w:val="18"/>
                <w:szCs w:val="18"/>
              </w:rPr>
              <w:t>INE/INE-Infrastructure and Energy Sector</w:t>
            </w:r>
          </w:p>
        </w:tc>
      </w:tr>
      <w:tr w:rsidR="00974EF5" w14:paraId="286AD5F7" w14:textId="77777777" w:rsidTr="003B456F">
        <w:trPr>
          <w:jc w:val="center"/>
        </w:trPr>
        <w:tc>
          <w:tcPr>
            <w:tcW w:w="4114" w:type="dxa"/>
          </w:tcPr>
          <w:p w14:paraId="286AD5F5" w14:textId="66BA5895" w:rsidR="00974EF5" w:rsidRDefault="00954FA3">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5128" w:type="dxa"/>
          </w:tcPr>
          <w:p w14:paraId="286AD5F6" w14:textId="025A8C05" w:rsidR="00974EF5" w:rsidRDefault="00954FA3">
            <w:pPr>
              <w:spacing w:before="40" w:after="40"/>
            </w:pPr>
            <w:r>
              <w:rPr>
                <w:rFonts w:ascii="Arial" w:hAnsi="Arial" w:cs="Arial"/>
                <w:sz w:val="18"/>
                <w:szCs w:val="18"/>
              </w:rPr>
              <w:t>No</w:t>
            </w:r>
            <w:r>
              <w:rPr>
                <w:rFonts w:ascii="Arial" w:hAnsi="Arial" w:cs="Arial"/>
                <w:sz w:val="18"/>
                <w:szCs w:val="18"/>
              </w:rPr>
              <w:br/>
              <w:t>No</w:t>
            </w:r>
          </w:p>
        </w:tc>
      </w:tr>
      <w:tr w:rsidR="00974EF5" w14:paraId="286AD5FA" w14:textId="77777777" w:rsidTr="003B456F">
        <w:trPr>
          <w:jc w:val="center"/>
        </w:trPr>
        <w:tc>
          <w:tcPr>
            <w:tcW w:w="4114" w:type="dxa"/>
          </w:tcPr>
          <w:p w14:paraId="286AD5F8" w14:textId="19D6BCF3" w:rsidR="00974EF5" w:rsidRDefault="00954FA3">
            <w:pPr>
              <w:spacing w:before="40" w:after="40"/>
              <w:ind w:left="115" w:hanging="115"/>
            </w:pPr>
            <w:r>
              <w:rPr>
                <w:rFonts w:ascii="Arial" w:hAnsi="Arial" w:cs="Arial"/>
                <w:sz w:val="18"/>
                <w:szCs w:val="18"/>
              </w:rPr>
              <w:t xml:space="preserve">▪ Alignment to the Update to the Institutional Strategy </w:t>
            </w:r>
            <w:r w:rsidR="001D6F13">
              <w:rPr>
                <w:rFonts w:ascii="Arial" w:hAnsi="Arial" w:cs="Arial"/>
                <w:sz w:val="18"/>
                <w:szCs w:val="18"/>
              </w:rPr>
              <w:t>2020</w:t>
            </w:r>
            <w:r>
              <w:rPr>
                <w:rFonts w:ascii="Arial" w:hAnsi="Arial" w:cs="Arial"/>
                <w:sz w:val="18"/>
                <w:szCs w:val="18"/>
              </w:rPr>
              <w:t>-202</w:t>
            </w:r>
            <w:r w:rsidR="001D6F13">
              <w:rPr>
                <w:rFonts w:ascii="Arial" w:hAnsi="Arial" w:cs="Arial"/>
                <w:sz w:val="18"/>
                <w:szCs w:val="18"/>
              </w:rPr>
              <w:t>3</w:t>
            </w:r>
            <w:r>
              <w:rPr>
                <w:rFonts w:ascii="Arial" w:hAnsi="Arial" w:cs="Arial"/>
                <w:sz w:val="18"/>
                <w:szCs w:val="18"/>
              </w:rPr>
              <w:t>:</w:t>
            </w:r>
          </w:p>
        </w:tc>
        <w:tc>
          <w:tcPr>
            <w:tcW w:w="5128" w:type="dxa"/>
          </w:tcPr>
          <w:p w14:paraId="286AD5F9" w14:textId="5E52D029" w:rsidR="00974EF5" w:rsidRDefault="00954FA3">
            <w:pPr>
              <w:spacing w:before="40" w:after="40"/>
            </w:pPr>
            <w:r>
              <w:rPr>
                <w:rFonts w:ascii="Arial" w:hAnsi="Arial" w:cs="Arial"/>
                <w:sz w:val="18"/>
                <w:szCs w:val="18"/>
              </w:rPr>
              <w:t>Social inclusion and equality; Productivity and innovation; Economic integration; Institutional capacity and rule of law; Environmental sustainability; Gender equality</w:t>
            </w:r>
          </w:p>
        </w:tc>
      </w:tr>
    </w:tbl>
    <w:p w14:paraId="286AD5FE" w14:textId="77777777" w:rsidR="00974EF5" w:rsidRDefault="00954FA3">
      <w:pPr>
        <w:spacing w:before="120" w:after="120"/>
        <w:ind w:left="579" w:hanging="579"/>
      </w:pPr>
      <w:r>
        <w:rPr>
          <w:rFonts w:ascii="Arial" w:hAnsi="Arial" w:cs="Arial"/>
          <w:b/>
        </w:rPr>
        <w:t>II.</w:t>
      </w:r>
      <w:r>
        <w:rPr>
          <w:rFonts w:ascii="Arial" w:hAnsi="Arial" w:cs="Arial"/>
          <w:b/>
        </w:rPr>
        <w:tab/>
        <w:t>Objective and Justification</w:t>
      </w:r>
    </w:p>
    <w:p w14:paraId="286AD5FF" w14:textId="0CAD8F10" w:rsidR="00974EF5" w:rsidRDefault="00954FA3">
      <w:pPr>
        <w:spacing w:before="120" w:after="120"/>
        <w:ind w:left="579" w:hanging="579"/>
        <w:jc w:val="both"/>
      </w:pPr>
      <w:r>
        <w:rPr>
          <w:rFonts w:ascii="Arial" w:hAnsi="Arial" w:cs="Arial"/>
        </w:rPr>
        <w:t>2.1</w:t>
      </w:r>
      <w:r>
        <w:rPr>
          <w:rFonts w:ascii="Arial" w:hAnsi="Arial" w:cs="Arial"/>
        </w:rPr>
        <w:tab/>
        <w:t xml:space="preserve">This </w:t>
      </w:r>
      <w:r w:rsidR="00C97B60">
        <w:rPr>
          <w:rFonts w:ascii="Arial" w:hAnsi="Arial" w:cs="Arial"/>
        </w:rPr>
        <w:t>Technical Cooperation (</w:t>
      </w:r>
      <w:r>
        <w:rPr>
          <w:rFonts w:ascii="Arial" w:hAnsi="Arial" w:cs="Arial"/>
        </w:rPr>
        <w:t>TC</w:t>
      </w:r>
      <w:r w:rsidR="00C97B60">
        <w:rPr>
          <w:rFonts w:ascii="Arial" w:hAnsi="Arial" w:cs="Arial"/>
        </w:rPr>
        <w:t>)</w:t>
      </w:r>
      <w:r>
        <w:rPr>
          <w:rFonts w:ascii="Arial" w:hAnsi="Arial" w:cs="Arial"/>
        </w:rPr>
        <w:t xml:space="preserve"> aims to promote digital transformation for infrastructure</w:t>
      </w:r>
      <w:r w:rsidR="00A31D93">
        <w:rPr>
          <w:rFonts w:ascii="Arial" w:hAnsi="Arial" w:cs="Arial"/>
        </w:rPr>
        <w:t xml:space="preserve"> and energy</w:t>
      </w:r>
      <w:r>
        <w:rPr>
          <w:rFonts w:ascii="Arial" w:hAnsi="Arial" w:cs="Arial"/>
        </w:rPr>
        <w:t xml:space="preserve"> service providers, the public sector, and consumers, combined with the promotion of innovation in the ecosystem. The furtherance initiatives are: </w:t>
      </w:r>
      <w:r w:rsidR="00FB2BAD">
        <w:rPr>
          <w:rFonts w:ascii="Arial" w:hAnsi="Arial" w:cs="Arial"/>
        </w:rPr>
        <w:br/>
      </w:r>
      <w:r>
        <w:rPr>
          <w:rFonts w:ascii="Arial" w:hAnsi="Arial" w:cs="Arial"/>
        </w:rPr>
        <w:t>(i) the framework of digital roadmaps</w:t>
      </w:r>
      <w:r w:rsidR="00053B5D">
        <w:rPr>
          <w:rFonts w:ascii="Arial" w:hAnsi="Arial" w:cs="Arial"/>
        </w:rPr>
        <w:t>;</w:t>
      </w:r>
      <w:r>
        <w:rPr>
          <w:rFonts w:ascii="Arial" w:hAnsi="Arial" w:cs="Arial"/>
        </w:rPr>
        <w:t xml:space="preserve"> (ii) open innovation processes</w:t>
      </w:r>
      <w:r w:rsidR="00053B5D">
        <w:rPr>
          <w:rFonts w:ascii="Arial" w:hAnsi="Arial" w:cs="Arial"/>
        </w:rPr>
        <w:t>;</w:t>
      </w:r>
      <w:r>
        <w:rPr>
          <w:rFonts w:ascii="Arial" w:hAnsi="Arial" w:cs="Arial"/>
        </w:rPr>
        <w:t>(iii) the incorporation of digital components in operations</w:t>
      </w:r>
      <w:r w:rsidR="00053B5D">
        <w:rPr>
          <w:rFonts w:ascii="Arial" w:hAnsi="Arial" w:cs="Arial"/>
        </w:rPr>
        <w:t>;</w:t>
      </w:r>
      <w:r>
        <w:rPr>
          <w:rFonts w:ascii="Arial" w:hAnsi="Arial" w:cs="Arial"/>
        </w:rPr>
        <w:t xml:space="preserve"> and (iv) the development of prototypes, tools, technologies, and digital platforms.</w:t>
      </w:r>
    </w:p>
    <w:p w14:paraId="286AD600" w14:textId="763AFA50" w:rsidR="00974EF5" w:rsidRDefault="00954FA3">
      <w:pPr>
        <w:spacing w:before="120" w:after="120"/>
        <w:ind w:left="579" w:hanging="579"/>
        <w:jc w:val="both"/>
      </w:pPr>
      <w:r>
        <w:rPr>
          <w:rFonts w:ascii="Arial" w:hAnsi="Arial" w:cs="Arial"/>
        </w:rPr>
        <w:t>2.2</w:t>
      </w:r>
      <w:r>
        <w:rPr>
          <w:rFonts w:ascii="Arial" w:hAnsi="Arial" w:cs="Arial"/>
        </w:rPr>
        <w:tab/>
        <w:t xml:space="preserve">Digital transformation for </w:t>
      </w:r>
      <w:r w:rsidR="008B6AB9">
        <w:rPr>
          <w:rFonts w:ascii="Arial" w:hAnsi="Arial" w:cs="Arial"/>
        </w:rPr>
        <w:t>i</w:t>
      </w:r>
      <w:r>
        <w:rPr>
          <w:rFonts w:ascii="Arial" w:hAnsi="Arial" w:cs="Arial"/>
        </w:rPr>
        <w:t xml:space="preserve">nfrastructure and </w:t>
      </w:r>
      <w:r w:rsidR="008B6AB9">
        <w:rPr>
          <w:rFonts w:ascii="Arial" w:hAnsi="Arial" w:cs="Arial"/>
        </w:rPr>
        <w:t>e</w:t>
      </w:r>
      <w:r>
        <w:rPr>
          <w:rFonts w:ascii="Arial" w:hAnsi="Arial" w:cs="Arial"/>
        </w:rPr>
        <w:t>nergy services in Latin America and the Caribbean (LAC) can improve the provision and increase the coverage of services, with the consequent impact on the citizens' life quality and the opening towards greater social and gender inclusion. Furthermore, investment in new technologies paves the way for a sustainable and resilient infrastructure that supports the following benefits: (i) increased productivity and efficiency of companies involved in the provision of services</w:t>
      </w:r>
      <w:r w:rsidR="00053B5D">
        <w:rPr>
          <w:rFonts w:ascii="Arial" w:hAnsi="Arial" w:cs="Arial"/>
        </w:rPr>
        <w:t>;</w:t>
      </w:r>
      <w:r>
        <w:rPr>
          <w:rFonts w:ascii="Arial" w:hAnsi="Arial" w:cs="Arial"/>
        </w:rPr>
        <w:t xml:space="preserve"> </w:t>
      </w:r>
      <w:r w:rsidR="00CA6F6A">
        <w:rPr>
          <w:rFonts w:ascii="Arial" w:hAnsi="Arial" w:cs="Arial"/>
        </w:rPr>
        <w:br/>
      </w:r>
      <w:r>
        <w:rPr>
          <w:rFonts w:ascii="Arial" w:hAnsi="Arial" w:cs="Arial"/>
        </w:rPr>
        <w:t>(ii) automation of activities</w:t>
      </w:r>
      <w:r w:rsidR="00053B5D">
        <w:rPr>
          <w:rFonts w:ascii="Arial" w:hAnsi="Arial" w:cs="Arial"/>
        </w:rPr>
        <w:t>;</w:t>
      </w:r>
      <w:r>
        <w:rPr>
          <w:rFonts w:ascii="Arial" w:hAnsi="Arial" w:cs="Arial"/>
        </w:rPr>
        <w:t xml:space="preserve"> (iii) creation of new services and products</w:t>
      </w:r>
      <w:r w:rsidR="00053B5D">
        <w:rPr>
          <w:rFonts w:ascii="Arial" w:hAnsi="Arial" w:cs="Arial"/>
        </w:rPr>
        <w:t>;</w:t>
      </w:r>
      <w:r>
        <w:rPr>
          <w:rFonts w:ascii="Arial" w:hAnsi="Arial" w:cs="Arial"/>
        </w:rPr>
        <w:t xml:space="preserve"> (iv) optimization and management of installed assets</w:t>
      </w:r>
      <w:r w:rsidR="00053B5D">
        <w:rPr>
          <w:rFonts w:ascii="Arial" w:hAnsi="Arial" w:cs="Arial"/>
        </w:rPr>
        <w:t>;</w:t>
      </w:r>
      <w:r>
        <w:rPr>
          <w:rFonts w:ascii="Arial" w:hAnsi="Arial" w:cs="Arial"/>
        </w:rPr>
        <w:t xml:space="preserve"> (v) cost reduction of the value chain</w:t>
      </w:r>
      <w:r w:rsidR="00053B5D">
        <w:rPr>
          <w:rFonts w:ascii="Arial" w:hAnsi="Arial" w:cs="Arial"/>
        </w:rPr>
        <w:t>;</w:t>
      </w:r>
      <w:r>
        <w:rPr>
          <w:rFonts w:ascii="Arial" w:hAnsi="Arial" w:cs="Arial"/>
        </w:rPr>
        <w:t xml:space="preserve"> </w:t>
      </w:r>
      <w:r w:rsidR="009B10AA">
        <w:rPr>
          <w:rFonts w:ascii="Arial" w:hAnsi="Arial" w:cs="Arial"/>
        </w:rPr>
        <w:br/>
      </w:r>
      <w:r>
        <w:rPr>
          <w:rFonts w:ascii="Arial" w:hAnsi="Arial" w:cs="Arial"/>
        </w:rPr>
        <w:t>(vi) improvement and transparency with the public sector</w:t>
      </w:r>
      <w:r w:rsidR="00053B5D">
        <w:rPr>
          <w:rFonts w:ascii="Arial" w:hAnsi="Arial" w:cs="Arial"/>
        </w:rPr>
        <w:t>;</w:t>
      </w:r>
      <w:r>
        <w:rPr>
          <w:rFonts w:ascii="Arial" w:hAnsi="Arial" w:cs="Arial"/>
        </w:rPr>
        <w:t xml:space="preserve"> (vii) precision and efficiency in decision-making</w:t>
      </w:r>
      <w:r w:rsidR="00F02A72">
        <w:rPr>
          <w:rFonts w:ascii="Arial" w:hAnsi="Arial" w:cs="Arial"/>
        </w:rPr>
        <w:t>;</w:t>
      </w:r>
      <w:r>
        <w:rPr>
          <w:rFonts w:ascii="Arial" w:hAnsi="Arial" w:cs="Arial"/>
        </w:rPr>
        <w:t xml:space="preserve"> and (viii) empowerment of users regarding services.</w:t>
      </w:r>
    </w:p>
    <w:p w14:paraId="286AD601" w14:textId="7FA8E9BA" w:rsidR="00974EF5" w:rsidRDefault="00954FA3">
      <w:pPr>
        <w:spacing w:before="120" w:after="120"/>
        <w:ind w:left="579" w:hanging="579"/>
        <w:jc w:val="both"/>
      </w:pPr>
      <w:r>
        <w:rPr>
          <w:rFonts w:ascii="Arial" w:hAnsi="Arial" w:cs="Arial"/>
        </w:rPr>
        <w:lastRenderedPageBreak/>
        <w:t>2.3</w:t>
      </w:r>
      <w:r>
        <w:rPr>
          <w:rFonts w:ascii="Arial" w:hAnsi="Arial" w:cs="Arial"/>
        </w:rPr>
        <w:tab/>
        <w:t xml:space="preserve">Understanding the importance and associated risks, this TC will cover the following components to strengthen the digital and innovation transformation: (i) </w:t>
      </w:r>
      <w:r w:rsidR="00D84925">
        <w:rPr>
          <w:rFonts w:ascii="Arial" w:hAnsi="Arial" w:cs="Arial"/>
        </w:rPr>
        <w:t>b</w:t>
      </w:r>
      <w:r>
        <w:rPr>
          <w:rFonts w:ascii="Arial" w:hAnsi="Arial" w:cs="Arial"/>
        </w:rPr>
        <w:t>uild digital transformation roadmaps for the energy, transportation</w:t>
      </w:r>
      <w:r w:rsidR="00D84925">
        <w:rPr>
          <w:rFonts w:ascii="Arial" w:hAnsi="Arial" w:cs="Arial"/>
        </w:rPr>
        <w:t xml:space="preserve"> and</w:t>
      </w:r>
      <w:r>
        <w:rPr>
          <w:rFonts w:ascii="Arial" w:hAnsi="Arial" w:cs="Arial"/>
        </w:rPr>
        <w:t xml:space="preserve"> water and sanitation sectors; (ii) </w:t>
      </w:r>
      <w:r w:rsidR="00C97B60">
        <w:rPr>
          <w:rFonts w:ascii="Arial" w:hAnsi="Arial" w:cs="Arial"/>
        </w:rPr>
        <w:t>e</w:t>
      </w:r>
      <w:r>
        <w:rPr>
          <w:rFonts w:ascii="Arial" w:hAnsi="Arial" w:cs="Arial"/>
        </w:rPr>
        <w:t xml:space="preserve">xecute an </w:t>
      </w:r>
      <w:r w:rsidR="00D84925">
        <w:rPr>
          <w:rFonts w:ascii="Arial" w:hAnsi="Arial" w:cs="Arial"/>
        </w:rPr>
        <w:t>o</w:t>
      </w:r>
      <w:r>
        <w:rPr>
          <w:rFonts w:ascii="Arial" w:hAnsi="Arial" w:cs="Arial"/>
        </w:rPr>
        <w:t xml:space="preserve">pen </w:t>
      </w:r>
      <w:r w:rsidR="00D84925">
        <w:rPr>
          <w:rFonts w:ascii="Arial" w:hAnsi="Arial" w:cs="Arial"/>
        </w:rPr>
        <w:t>c</w:t>
      </w:r>
      <w:r>
        <w:rPr>
          <w:rFonts w:ascii="Arial" w:hAnsi="Arial" w:cs="Arial"/>
        </w:rPr>
        <w:t>all within the open innovation process</w:t>
      </w:r>
      <w:r w:rsidR="00F02A72">
        <w:rPr>
          <w:rFonts w:ascii="Arial" w:hAnsi="Arial" w:cs="Arial"/>
        </w:rPr>
        <w:t>;</w:t>
      </w:r>
      <w:r>
        <w:rPr>
          <w:rFonts w:ascii="Arial" w:hAnsi="Arial" w:cs="Arial"/>
        </w:rPr>
        <w:t xml:space="preserve"> (iii) </w:t>
      </w:r>
      <w:r w:rsidR="00D84925">
        <w:rPr>
          <w:rFonts w:ascii="Arial" w:hAnsi="Arial" w:cs="Arial"/>
        </w:rPr>
        <w:t>i</w:t>
      </w:r>
      <w:r>
        <w:rPr>
          <w:rFonts w:ascii="Arial" w:hAnsi="Arial" w:cs="Arial"/>
        </w:rPr>
        <w:t>ncorporate digital components in infrastructure operations</w:t>
      </w:r>
      <w:r w:rsidR="00F02A72">
        <w:rPr>
          <w:rFonts w:ascii="Arial" w:hAnsi="Arial" w:cs="Arial"/>
        </w:rPr>
        <w:t>;</w:t>
      </w:r>
      <w:r>
        <w:rPr>
          <w:rFonts w:ascii="Arial" w:hAnsi="Arial" w:cs="Arial"/>
        </w:rPr>
        <w:t xml:space="preserve"> and (iv) </w:t>
      </w:r>
      <w:r w:rsidR="00D84925">
        <w:rPr>
          <w:rFonts w:ascii="Arial" w:hAnsi="Arial" w:cs="Arial"/>
        </w:rPr>
        <w:t>s</w:t>
      </w:r>
      <w:r>
        <w:rPr>
          <w:rFonts w:ascii="Arial" w:hAnsi="Arial" w:cs="Arial"/>
        </w:rPr>
        <w:t>upport the development of infrastructure and innovation and technology tools.</w:t>
      </w:r>
    </w:p>
    <w:p w14:paraId="286AD603" w14:textId="1823357D" w:rsidR="00974EF5" w:rsidRDefault="00954FA3">
      <w:pPr>
        <w:spacing w:before="120" w:after="120"/>
        <w:ind w:left="579" w:hanging="579"/>
        <w:jc w:val="both"/>
      </w:pPr>
      <w:r>
        <w:rPr>
          <w:rFonts w:ascii="Arial" w:hAnsi="Arial" w:cs="Arial"/>
        </w:rPr>
        <w:t>2.4</w:t>
      </w:r>
      <w:r>
        <w:rPr>
          <w:rFonts w:ascii="Arial" w:hAnsi="Arial" w:cs="Arial"/>
        </w:rPr>
        <w:tab/>
        <w:t xml:space="preserve">This TC is strategically aligned with the Second Update to the Institutional Strategy 2020-2023 (AB-3190-2) in the development challenge of Productivity and Innovation, </w:t>
      </w:r>
      <w:r w:rsidR="009B10AA">
        <w:rPr>
          <w:rFonts w:ascii="Arial" w:hAnsi="Arial" w:cs="Arial"/>
        </w:rPr>
        <w:br/>
      </w:r>
      <w:r>
        <w:rPr>
          <w:rFonts w:ascii="Arial" w:hAnsi="Arial" w:cs="Arial"/>
        </w:rPr>
        <w:t>by helping to improve the innovation capacity of public sector agencies and service providers. It is also aligned with the cross-cutting areas of: (i) Climate Change (CC) and Environmental Sustainability, by promoting innovation and digital technologies that enable projects that reduce pressure on the environment and strength resilience to CC impacts; (ii) Gender Equality and Diversity</w:t>
      </w:r>
      <w:r w:rsidR="007F28A0">
        <w:rPr>
          <w:rFonts w:ascii="Arial" w:hAnsi="Arial" w:cs="Arial"/>
        </w:rPr>
        <w:t>,</w:t>
      </w:r>
      <w:r>
        <w:rPr>
          <w:rFonts w:ascii="Arial" w:hAnsi="Arial" w:cs="Arial"/>
        </w:rPr>
        <w:t xml:space="preserve"> by </w:t>
      </w:r>
      <w:r w:rsidR="00C97B60">
        <w:rPr>
          <w:rFonts w:ascii="Arial" w:hAnsi="Arial" w:cs="Arial"/>
        </w:rPr>
        <w:t>c</w:t>
      </w:r>
      <w:r>
        <w:rPr>
          <w:rFonts w:ascii="Arial" w:hAnsi="Arial" w:cs="Arial"/>
        </w:rPr>
        <w:t xml:space="preserve">apturing data disaggregated by type of user to ensure that policy recommendations are sensitive to the needs of these groups; </w:t>
      </w:r>
      <w:r w:rsidR="00F02A72">
        <w:rPr>
          <w:rFonts w:ascii="Arial" w:hAnsi="Arial" w:cs="Arial"/>
        </w:rPr>
        <w:t xml:space="preserve">and </w:t>
      </w:r>
      <w:r>
        <w:rPr>
          <w:rFonts w:ascii="Arial" w:hAnsi="Arial" w:cs="Arial"/>
        </w:rPr>
        <w:t xml:space="preserve">(iii) Institutional Capacity and </w:t>
      </w:r>
      <w:r w:rsidR="00EA249A">
        <w:rPr>
          <w:rFonts w:ascii="Arial" w:hAnsi="Arial" w:cs="Arial"/>
        </w:rPr>
        <w:t>R</w:t>
      </w:r>
      <w:r>
        <w:rPr>
          <w:rFonts w:ascii="Arial" w:hAnsi="Arial" w:cs="Arial"/>
        </w:rPr>
        <w:t xml:space="preserve">ule of </w:t>
      </w:r>
      <w:r w:rsidR="00EA249A">
        <w:rPr>
          <w:rFonts w:ascii="Arial" w:hAnsi="Arial" w:cs="Arial"/>
        </w:rPr>
        <w:t>L</w:t>
      </w:r>
      <w:r>
        <w:rPr>
          <w:rFonts w:ascii="Arial" w:hAnsi="Arial" w:cs="Arial"/>
        </w:rPr>
        <w:t>aw</w:t>
      </w:r>
      <w:r w:rsidR="002850B9">
        <w:rPr>
          <w:rFonts w:ascii="Arial" w:hAnsi="Arial" w:cs="Arial"/>
        </w:rPr>
        <w:t>,</w:t>
      </w:r>
      <w:r>
        <w:rPr>
          <w:rFonts w:ascii="Arial" w:hAnsi="Arial" w:cs="Arial"/>
        </w:rPr>
        <w:t xml:space="preserve"> by strengthening of planning capacities in the </w:t>
      </w:r>
      <w:r w:rsidR="007F7615">
        <w:rPr>
          <w:rFonts w:ascii="Arial" w:hAnsi="Arial" w:cs="Arial"/>
        </w:rPr>
        <w:t xml:space="preserve">public </w:t>
      </w:r>
      <w:r>
        <w:rPr>
          <w:rFonts w:ascii="Arial" w:hAnsi="Arial" w:cs="Arial"/>
        </w:rPr>
        <w:t>sector through the availability of more data and more robust models for decision making. In turn, it improves transparency by promoting digital platforms as an information center. It also generates roadmaps as the primary source of direction for planning technological investments and development projects in the region.</w:t>
      </w:r>
      <w:r w:rsidR="00DE05E6">
        <w:rPr>
          <w:rFonts w:ascii="Arial" w:hAnsi="Arial" w:cs="Arial"/>
        </w:rPr>
        <w:t xml:space="preserve"> </w:t>
      </w:r>
      <w:r>
        <w:rPr>
          <w:rFonts w:ascii="Arial" w:hAnsi="Arial" w:cs="Arial"/>
        </w:rPr>
        <w:tab/>
        <w:t xml:space="preserve">Likewise, the TC is aligned with the Bank's </w:t>
      </w:r>
      <w:hyperlink r:id="rId9" w:history="1">
        <w:r w:rsidR="00FD0DBB" w:rsidRPr="003B4539">
          <w:rPr>
            <w:rStyle w:val="Hyperlink"/>
            <w:rFonts w:ascii="Arial" w:eastAsia="Times New Roman" w:hAnsi="Arial" w:cs="Arial"/>
            <w:lang w:eastAsia="es-419"/>
          </w:rPr>
          <w:t>Vision 2025. Reinvest the Americas: A Decade of Opportunity</w:t>
        </w:r>
      </w:hyperlink>
      <w:r>
        <w:rPr>
          <w:rFonts w:ascii="Arial" w:hAnsi="Arial" w:cs="Arial"/>
        </w:rPr>
        <w:t xml:space="preserve">, especially with the priorities of Digital Economy, Support for SMEs, and Regional Integration by incorporating and promoting new and innovative technologies, digital transformation in the public sector and among services providers, and a more thriving innovation ecosystem. By using digital technologies, infrastructure </w:t>
      </w:r>
      <w:r w:rsidR="002B62A6">
        <w:rPr>
          <w:rFonts w:ascii="Arial" w:hAnsi="Arial" w:cs="Arial"/>
        </w:rPr>
        <w:t xml:space="preserve">and energy </w:t>
      </w:r>
      <w:r>
        <w:rPr>
          <w:rFonts w:ascii="Arial" w:hAnsi="Arial" w:cs="Arial"/>
        </w:rPr>
        <w:t>sectors raise their performance by increasing efficiency, associated with task automation and cost reduction, thus generating greater global competitiveness and regional integration.</w:t>
      </w:r>
    </w:p>
    <w:p w14:paraId="286AD604" w14:textId="5F620B6B" w:rsidR="00974EF5" w:rsidRDefault="00954FA3">
      <w:pPr>
        <w:spacing w:before="120" w:after="120"/>
        <w:ind w:left="579" w:hanging="579"/>
        <w:jc w:val="both"/>
      </w:pPr>
      <w:r>
        <w:rPr>
          <w:rFonts w:ascii="Arial" w:hAnsi="Arial" w:cs="Arial"/>
        </w:rPr>
        <w:t>2.6</w:t>
      </w:r>
      <w:r>
        <w:rPr>
          <w:rFonts w:ascii="Arial" w:hAnsi="Arial" w:cs="Arial"/>
        </w:rPr>
        <w:tab/>
        <w:t xml:space="preserve">The expected results and benefits for the countries include: (i) roadmaps for the implementation of digital transformation of public sector agencies and infrastructure services providers; (ii) identification of entrepreneurs and startups who provide solutions to specific sectorial problems in the infrastructure </w:t>
      </w:r>
      <w:r w:rsidR="00096E37">
        <w:rPr>
          <w:rFonts w:ascii="Arial" w:hAnsi="Arial" w:cs="Arial"/>
        </w:rPr>
        <w:t xml:space="preserve">and energy </w:t>
      </w:r>
      <w:r>
        <w:rPr>
          <w:rFonts w:ascii="Arial" w:hAnsi="Arial" w:cs="Arial"/>
        </w:rPr>
        <w:t>sectors; (iii) a catalogue of innovative solutions that can be included in INE´s operations; and (iv) digital solutions that provide solutions to specific sectorial problems.</w:t>
      </w:r>
    </w:p>
    <w:p w14:paraId="286AD605" w14:textId="77777777" w:rsidR="00974EF5" w:rsidRDefault="00954FA3">
      <w:pPr>
        <w:spacing w:before="120" w:after="120"/>
        <w:ind w:left="579" w:hanging="579"/>
      </w:pPr>
      <w:r>
        <w:rPr>
          <w:rFonts w:ascii="Arial" w:hAnsi="Arial" w:cs="Arial"/>
          <w:b/>
        </w:rPr>
        <w:t>III.</w:t>
      </w:r>
      <w:r>
        <w:rPr>
          <w:rFonts w:ascii="Arial" w:hAnsi="Arial" w:cs="Arial"/>
          <w:b/>
        </w:rPr>
        <w:tab/>
        <w:t>Description of Activities and Outputs</w:t>
      </w:r>
    </w:p>
    <w:p w14:paraId="286AD606" w14:textId="399DE9DE" w:rsidR="00974EF5" w:rsidRDefault="00954FA3">
      <w:pPr>
        <w:spacing w:before="120" w:after="120"/>
        <w:ind w:left="579" w:hanging="579"/>
        <w:jc w:val="both"/>
      </w:pPr>
      <w:r>
        <w:rPr>
          <w:rFonts w:ascii="Arial" w:hAnsi="Arial" w:cs="Arial"/>
        </w:rPr>
        <w:t>3.1</w:t>
      </w:r>
      <w:r>
        <w:rPr>
          <w:rFonts w:ascii="Arial" w:hAnsi="Arial" w:cs="Arial"/>
        </w:rPr>
        <w:tab/>
      </w:r>
      <w:r>
        <w:rPr>
          <w:rFonts w:ascii="Arial" w:hAnsi="Arial" w:cs="Arial"/>
          <w:b/>
        </w:rPr>
        <w:t>Component I</w:t>
      </w:r>
      <w:r w:rsidR="0099453E">
        <w:rPr>
          <w:rFonts w:ascii="Arial" w:hAnsi="Arial" w:cs="Arial"/>
          <w:b/>
        </w:rPr>
        <w:t>.</w:t>
      </w:r>
      <w:r>
        <w:rPr>
          <w:rFonts w:ascii="Arial" w:hAnsi="Arial" w:cs="Arial"/>
          <w:b/>
        </w:rPr>
        <w:t xml:space="preserve"> Build a roadmap for the implementation of digital transformation for the energy, transportation, and water and sanitation sectors</w:t>
      </w:r>
      <w:r w:rsidR="0006093A">
        <w:rPr>
          <w:rFonts w:ascii="Arial" w:hAnsi="Arial" w:cs="Arial"/>
          <w:b/>
        </w:rPr>
        <w:t xml:space="preserve"> </w:t>
      </w:r>
      <w:r w:rsidR="0006093A" w:rsidRPr="003B456F">
        <w:rPr>
          <w:rFonts w:ascii="Arial" w:hAnsi="Arial" w:cs="Arial"/>
          <w:b/>
          <w:bCs/>
        </w:rPr>
        <w:t>(</w:t>
      </w:r>
      <w:r w:rsidR="0006093A" w:rsidRPr="003B456F">
        <w:rPr>
          <w:rFonts w:ascii="Arial" w:hAnsi="Arial" w:cs="Arial"/>
          <w:b/>
        </w:rPr>
        <w:t>US$1</w:t>
      </w:r>
      <w:r w:rsidR="0006093A">
        <w:rPr>
          <w:rFonts w:ascii="Arial" w:hAnsi="Arial" w:cs="Arial"/>
          <w:b/>
        </w:rPr>
        <w:t>3</w:t>
      </w:r>
      <w:r w:rsidR="0006093A" w:rsidRPr="003B456F">
        <w:rPr>
          <w:rFonts w:ascii="Arial" w:hAnsi="Arial" w:cs="Arial"/>
          <w:b/>
        </w:rPr>
        <w:t>0</w:t>
      </w:r>
      <w:r w:rsidR="00F00DA6">
        <w:rPr>
          <w:rFonts w:ascii="Arial" w:hAnsi="Arial" w:cs="Arial"/>
          <w:b/>
        </w:rPr>
        <w:t>,</w:t>
      </w:r>
      <w:r w:rsidR="0006093A" w:rsidRPr="003B456F">
        <w:rPr>
          <w:rFonts w:ascii="Arial" w:hAnsi="Arial" w:cs="Arial"/>
          <w:b/>
        </w:rPr>
        <w:t>000</w:t>
      </w:r>
      <w:r w:rsidR="00F00DA6">
        <w:rPr>
          <w:rFonts w:ascii="Arial" w:hAnsi="Arial" w:cs="Arial"/>
          <w:b/>
        </w:rPr>
        <w:t>.</w:t>
      </w:r>
      <w:r w:rsidR="0006093A" w:rsidRPr="003B456F">
        <w:rPr>
          <w:rFonts w:ascii="Arial" w:hAnsi="Arial" w:cs="Arial"/>
          <w:b/>
        </w:rPr>
        <w:t>00)</w:t>
      </w:r>
      <w:r>
        <w:rPr>
          <w:rFonts w:ascii="Arial" w:hAnsi="Arial" w:cs="Arial"/>
          <w:b/>
        </w:rPr>
        <w:t xml:space="preserve">. </w:t>
      </w:r>
      <w:r w:rsidR="009B10AA">
        <w:rPr>
          <w:rFonts w:ascii="Arial" w:hAnsi="Arial" w:cs="Arial"/>
          <w:b/>
        </w:rPr>
        <w:br/>
      </w:r>
      <w:r>
        <w:rPr>
          <w:rFonts w:ascii="Arial" w:hAnsi="Arial" w:cs="Arial"/>
        </w:rPr>
        <w:t>It will finance the diagnostic of digital transformation, identify gaps concerning leading countries worldwide, and propose policy recommendations based on best practices to build an institutional and policy architecture that facilitates early adoption and leapfrogging of technologies applied to the infrastructure</w:t>
      </w:r>
      <w:r w:rsidR="00096E37">
        <w:rPr>
          <w:rFonts w:ascii="Arial" w:hAnsi="Arial" w:cs="Arial"/>
        </w:rPr>
        <w:t xml:space="preserve"> and energy</w:t>
      </w:r>
      <w:r>
        <w:rPr>
          <w:rFonts w:ascii="Arial" w:hAnsi="Arial" w:cs="Arial"/>
        </w:rPr>
        <w:t xml:space="preserve"> sectors. In addition, it will ensure strategic alignment with productivity and innovation, institutional capacity and the rule of law, and environmental sustainability.</w:t>
      </w:r>
    </w:p>
    <w:p w14:paraId="286AD607" w14:textId="7137A082" w:rsidR="00974EF5" w:rsidRDefault="00954FA3">
      <w:pPr>
        <w:spacing w:before="120" w:after="120"/>
        <w:ind w:left="579" w:hanging="579"/>
        <w:jc w:val="both"/>
      </w:pPr>
      <w:r>
        <w:rPr>
          <w:rFonts w:ascii="Arial" w:hAnsi="Arial" w:cs="Arial"/>
        </w:rPr>
        <w:t>3.2</w:t>
      </w:r>
      <w:r>
        <w:rPr>
          <w:rFonts w:ascii="Arial" w:hAnsi="Arial" w:cs="Arial"/>
        </w:rPr>
        <w:tab/>
      </w:r>
      <w:r>
        <w:rPr>
          <w:rFonts w:ascii="Arial" w:hAnsi="Arial" w:cs="Arial"/>
          <w:b/>
        </w:rPr>
        <w:t>Component II</w:t>
      </w:r>
      <w:r w:rsidR="0099453E">
        <w:rPr>
          <w:rFonts w:ascii="Arial" w:hAnsi="Arial" w:cs="Arial"/>
          <w:b/>
        </w:rPr>
        <w:t>.</w:t>
      </w:r>
      <w:r>
        <w:rPr>
          <w:rFonts w:ascii="Arial" w:hAnsi="Arial" w:cs="Arial"/>
          <w:b/>
        </w:rPr>
        <w:t xml:space="preserve"> Execute an open call within the open innovation process</w:t>
      </w:r>
      <w:r w:rsidR="0006093A">
        <w:rPr>
          <w:rFonts w:ascii="Arial" w:hAnsi="Arial" w:cs="Arial"/>
          <w:b/>
        </w:rPr>
        <w:t xml:space="preserve"> </w:t>
      </w:r>
      <w:r w:rsidR="0006093A" w:rsidRPr="0075437D">
        <w:rPr>
          <w:rFonts w:ascii="Arial" w:hAnsi="Arial" w:cs="Arial"/>
          <w:b/>
          <w:bCs/>
        </w:rPr>
        <w:t>(</w:t>
      </w:r>
      <w:r w:rsidR="0006093A" w:rsidRPr="0075437D">
        <w:rPr>
          <w:rFonts w:ascii="Arial" w:hAnsi="Arial" w:cs="Arial"/>
          <w:b/>
        </w:rPr>
        <w:t>US$1</w:t>
      </w:r>
      <w:r w:rsidR="0006093A">
        <w:rPr>
          <w:rFonts w:ascii="Arial" w:hAnsi="Arial" w:cs="Arial"/>
          <w:b/>
        </w:rPr>
        <w:t>1</w:t>
      </w:r>
      <w:r w:rsidR="0006093A" w:rsidRPr="0075437D">
        <w:rPr>
          <w:rFonts w:ascii="Arial" w:hAnsi="Arial" w:cs="Arial"/>
          <w:b/>
        </w:rPr>
        <w:t>0</w:t>
      </w:r>
      <w:r w:rsidR="00F00DA6">
        <w:rPr>
          <w:rFonts w:ascii="Arial" w:hAnsi="Arial" w:cs="Arial"/>
          <w:b/>
        </w:rPr>
        <w:t>,</w:t>
      </w:r>
      <w:r w:rsidR="0006093A" w:rsidRPr="0075437D">
        <w:rPr>
          <w:rFonts w:ascii="Arial" w:hAnsi="Arial" w:cs="Arial"/>
          <w:b/>
        </w:rPr>
        <w:t>000</w:t>
      </w:r>
      <w:r w:rsidR="00F00DA6">
        <w:rPr>
          <w:rFonts w:ascii="Arial" w:hAnsi="Arial" w:cs="Arial"/>
          <w:b/>
        </w:rPr>
        <w:t>.</w:t>
      </w:r>
      <w:r w:rsidR="0006093A" w:rsidRPr="0075437D">
        <w:rPr>
          <w:rFonts w:ascii="Arial" w:hAnsi="Arial" w:cs="Arial"/>
          <w:b/>
        </w:rPr>
        <w:t>00)</w:t>
      </w:r>
      <w:r>
        <w:rPr>
          <w:rFonts w:ascii="Arial" w:hAnsi="Arial" w:cs="Arial"/>
          <w:b/>
        </w:rPr>
        <w:t xml:space="preserve">. </w:t>
      </w:r>
      <w:r>
        <w:rPr>
          <w:rFonts w:ascii="Arial" w:hAnsi="Arial" w:cs="Arial"/>
        </w:rPr>
        <w:t>It will finance an open call to the entrepreneurial community to present innovative solutions to some of the region's main challenges of infrastructure services. In addition, it will analyze the degree of innovation, costs, implementation times, functionality, and impact on social inclusion and gender equality of the proposals. Winning solutions will be financed and accompanied in their adaptation and implementation processes.</w:t>
      </w:r>
    </w:p>
    <w:p w14:paraId="286AD608" w14:textId="0624E337" w:rsidR="00974EF5" w:rsidRDefault="00954FA3">
      <w:pPr>
        <w:spacing w:before="120" w:after="120"/>
        <w:ind w:left="579" w:hanging="579"/>
        <w:jc w:val="both"/>
      </w:pPr>
      <w:r>
        <w:rPr>
          <w:rFonts w:ascii="Arial" w:hAnsi="Arial" w:cs="Arial"/>
        </w:rPr>
        <w:t>3.3</w:t>
      </w:r>
      <w:r>
        <w:rPr>
          <w:rFonts w:ascii="Arial" w:hAnsi="Arial" w:cs="Arial"/>
        </w:rPr>
        <w:tab/>
      </w:r>
      <w:r>
        <w:rPr>
          <w:rFonts w:ascii="Arial" w:hAnsi="Arial" w:cs="Arial"/>
          <w:b/>
        </w:rPr>
        <w:t>Component III</w:t>
      </w:r>
      <w:r w:rsidR="0099453E">
        <w:rPr>
          <w:rFonts w:ascii="Arial" w:hAnsi="Arial" w:cs="Arial"/>
          <w:b/>
        </w:rPr>
        <w:t>.</w:t>
      </w:r>
      <w:r>
        <w:rPr>
          <w:rFonts w:ascii="Arial" w:hAnsi="Arial" w:cs="Arial"/>
          <w:b/>
        </w:rPr>
        <w:t xml:space="preserve"> Incorporate digital components and activities in the infrastructure and energy sector</w:t>
      </w:r>
      <w:r w:rsidR="00313B88">
        <w:rPr>
          <w:rFonts w:ascii="Arial" w:hAnsi="Arial" w:cs="Arial"/>
          <w:b/>
        </w:rPr>
        <w:t>s</w:t>
      </w:r>
      <w:r>
        <w:rPr>
          <w:rFonts w:ascii="Arial" w:hAnsi="Arial" w:cs="Arial"/>
          <w:b/>
        </w:rPr>
        <w:t xml:space="preserve"> operations</w:t>
      </w:r>
      <w:r w:rsidR="0006093A">
        <w:rPr>
          <w:rFonts w:ascii="Arial" w:hAnsi="Arial" w:cs="Arial"/>
          <w:b/>
        </w:rPr>
        <w:t xml:space="preserve"> </w:t>
      </w:r>
      <w:r w:rsidR="0006093A" w:rsidRPr="0075437D">
        <w:rPr>
          <w:rFonts w:ascii="Arial" w:hAnsi="Arial" w:cs="Arial"/>
          <w:b/>
          <w:bCs/>
        </w:rPr>
        <w:t>(</w:t>
      </w:r>
      <w:r w:rsidR="0006093A" w:rsidRPr="0075437D">
        <w:rPr>
          <w:rFonts w:ascii="Arial" w:hAnsi="Arial" w:cs="Arial"/>
          <w:b/>
        </w:rPr>
        <w:t>US$1</w:t>
      </w:r>
      <w:r w:rsidR="0006093A">
        <w:rPr>
          <w:rFonts w:ascii="Arial" w:hAnsi="Arial" w:cs="Arial"/>
          <w:b/>
        </w:rPr>
        <w:t>5</w:t>
      </w:r>
      <w:r w:rsidR="0006093A" w:rsidRPr="0075437D">
        <w:rPr>
          <w:rFonts w:ascii="Arial" w:hAnsi="Arial" w:cs="Arial"/>
          <w:b/>
        </w:rPr>
        <w:t>0</w:t>
      </w:r>
      <w:r w:rsidR="00F00DA6">
        <w:rPr>
          <w:rFonts w:ascii="Arial" w:hAnsi="Arial" w:cs="Arial"/>
          <w:b/>
        </w:rPr>
        <w:t>,</w:t>
      </w:r>
      <w:r w:rsidR="0006093A" w:rsidRPr="0075437D">
        <w:rPr>
          <w:rFonts w:ascii="Arial" w:hAnsi="Arial" w:cs="Arial"/>
          <w:b/>
        </w:rPr>
        <w:t>000</w:t>
      </w:r>
      <w:r w:rsidR="00F00DA6">
        <w:rPr>
          <w:rFonts w:ascii="Arial" w:hAnsi="Arial" w:cs="Arial"/>
          <w:b/>
        </w:rPr>
        <w:t>.</w:t>
      </w:r>
      <w:r w:rsidR="0006093A" w:rsidRPr="0075437D">
        <w:rPr>
          <w:rFonts w:ascii="Arial" w:hAnsi="Arial" w:cs="Arial"/>
          <w:b/>
        </w:rPr>
        <w:t>00)</w:t>
      </w:r>
      <w:r>
        <w:rPr>
          <w:rFonts w:ascii="Arial" w:hAnsi="Arial" w:cs="Arial"/>
          <w:b/>
        </w:rPr>
        <w:t xml:space="preserve">. </w:t>
      </w:r>
      <w:r>
        <w:rPr>
          <w:rFonts w:ascii="Arial" w:hAnsi="Arial" w:cs="Arial"/>
        </w:rPr>
        <w:t xml:space="preserve">It will finance the human resources and </w:t>
      </w:r>
      <w:r w:rsidR="007064FE">
        <w:rPr>
          <w:rFonts w:ascii="Arial" w:hAnsi="Arial" w:cs="Arial"/>
        </w:rPr>
        <w:t>Information Technologies (</w:t>
      </w:r>
      <w:r>
        <w:rPr>
          <w:rFonts w:ascii="Arial" w:hAnsi="Arial" w:cs="Arial"/>
        </w:rPr>
        <w:t>IT</w:t>
      </w:r>
      <w:r w:rsidR="007064FE">
        <w:rPr>
          <w:rFonts w:ascii="Arial" w:hAnsi="Arial" w:cs="Arial"/>
        </w:rPr>
        <w:t>)</w:t>
      </w:r>
      <w:r>
        <w:rPr>
          <w:rFonts w:ascii="Arial" w:hAnsi="Arial" w:cs="Arial"/>
        </w:rPr>
        <w:t xml:space="preserve"> infrastructure needed to provide a continuous </w:t>
      </w:r>
      <w:r>
        <w:rPr>
          <w:rFonts w:ascii="Arial" w:hAnsi="Arial" w:cs="Arial"/>
        </w:rPr>
        <w:lastRenderedPageBreak/>
        <w:t>repository of innovative solutions that can be included in INE´s operations. In addition, it will create a collaborative tool to track the pipeline and manage the data needed to feed digital components and activities for energy, water and sanitation, and transportation operations.</w:t>
      </w:r>
    </w:p>
    <w:p w14:paraId="286AD609" w14:textId="59B0F183" w:rsidR="00974EF5" w:rsidRDefault="00954FA3">
      <w:pPr>
        <w:spacing w:before="120" w:after="120"/>
        <w:ind w:left="579" w:hanging="579"/>
        <w:jc w:val="both"/>
      </w:pPr>
      <w:r>
        <w:rPr>
          <w:rFonts w:ascii="Arial" w:hAnsi="Arial" w:cs="Arial"/>
        </w:rPr>
        <w:t>3.4</w:t>
      </w:r>
      <w:r>
        <w:rPr>
          <w:rFonts w:ascii="Arial" w:hAnsi="Arial" w:cs="Arial"/>
        </w:rPr>
        <w:tab/>
      </w:r>
      <w:r>
        <w:rPr>
          <w:rFonts w:ascii="Arial" w:hAnsi="Arial" w:cs="Arial"/>
          <w:b/>
        </w:rPr>
        <w:t>Component IV</w:t>
      </w:r>
      <w:r w:rsidR="0099453E">
        <w:rPr>
          <w:rFonts w:ascii="Arial" w:hAnsi="Arial" w:cs="Arial"/>
          <w:b/>
        </w:rPr>
        <w:t>.</w:t>
      </w:r>
      <w:r>
        <w:rPr>
          <w:rFonts w:ascii="Arial" w:hAnsi="Arial" w:cs="Arial"/>
          <w:b/>
        </w:rPr>
        <w:t xml:space="preserve"> Support the development of digital innovation and technology tools</w:t>
      </w:r>
      <w:r w:rsidR="00F00DA6">
        <w:rPr>
          <w:rFonts w:ascii="Arial" w:hAnsi="Arial" w:cs="Arial"/>
          <w:b/>
        </w:rPr>
        <w:t xml:space="preserve"> </w:t>
      </w:r>
      <w:r w:rsidR="00F00DA6" w:rsidRPr="0075437D">
        <w:rPr>
          <w:rFonts w:ascii="Arial" w:hAnsi="Arial" w:cs="Arial"/>
          <w:b/>
          <w:bCs/>
        </w:rPr>
        <w:t>(</w:t>
      </w:r>
      <w:r w:rsidR="00F00DA6" w:rsidRPr="0075437D">
        <w:rPr>
          <w:rFonts w:ascii="Arial" w:hAnsi="Arial" w:cs="Arial"/>
          <w:b/>
        </w:rPr>
        <w:t>US$</w:t>
      </w:r>
      <w:r w:rsidR="00F00DA6">
        <w:rPr>
          <w:rFonts w:ascii="Arial" w:hAnsi="Arial" w:cs="Arial"/>
          <w:b/>
        </w:rPr>
        <w:t>380,</w:t>
      </w:r>
      <w:r w:rsidR="00F00DA6" w:rsidRPr="0075437D">
        <w:rPr>
          <w:rFonts w:ascii="Arial" w:hAnsi="Arial" w:cs="Arial"/>
          <w:b/>
        </w:rPr>
        <w:t>000</w:t>
      </w:r>
      <w:r w:rsidR="00F00DA6">
        <w:rPr>
          <w:rFonts w:ascii="Arial" w:hAnsi="Arial" w:cs="Arial"/>
          <w:b/>
        </w:rPr>
        <w:t>.</w:t>
      </w:r>
      <w:r w:rsidR="00F00DA6" w:rsidRPr="0075437D">
        <w:rPr>
          <w:rFonts w:ascii="Arial" w:hAnsi="Arial" w:cs="Arial"/>
          <w:b/>
        </w:rPr>
        <w:t>00)</w:t>
      </w:r>
      <w:r>
        <w:rPr>
          <w:rFonts w:ascii="Arial" w:hAnsi="Arial" w:cs="Arial"/>
          <w:b/>
        </w:rPr>
        <w:t xml:space="preserve">. </w:t>
      </w:r>
      <w:r>
        <w:rPr>
          <w:rFonts w:ascii="Arial" w:hAnsi="Arial" w:cs="Arial"/>
        </w:rPr>
        <w:t xml:space="preserve">It will finance the development of prototypes of Big Data, Machine Learning, Artificial Intelligence, the Internet of Things, and </w:t>
      </w:r>
      <w:r w:rsidR="007064FE">
        <w:rPr>
          <w:rFonts w:ascii="Arial" w:hAnsi="Arial" w:cs="Arial"/>
        </w:rPr>
        <w:t>IT</w:t>
      </w:r>
      <w:r>
        <w:rPr>
          <w:rFonts w:ascii="Arial" w:hAnsi="Arial" w:cs="Arial"/>
        </w:rPr>
        <w:t xml:space="preserve"> that provide solutions to sectorial problems in the beneficiary countries. In addition, it will finance the development, implementation, training, and dissemination of open-source digital applications that can be replicated in other countries. This will provide productivity gains and contribute to environmental sustainability.</w:t>
      </w:r>
    </w:p>
    <w:p w14:paraId="286AD60A" w14:textId="77777777" w:rsidR="00974EF5" w:rsidRDefault="00954FA3">
      <w:pPr>
        <w:spacing w:before="120" w:after="120"/>
        <w:ind w:left="579" w:hanging="579"/>
      </w:pPr>
      <w:r>
        <w:rPr>
          <w:rFonts w:ascii="Arial" w:hAnsi="Arial" w:cs="Arial"/>
          <w:b/>
        </w:rPr>
        <w:t>IV.</w:t>
      </w:r>
      <w:r>
        <w:rPr>
          <w:rFonts w:ascii="Arial" w:hAnsi="Arial" w:cs="Arial"/>
          <w:b/>
        </w:rPr>
        <w:tab/>
        <w:t>Budget</w:t>
      </w:r>
    </w:p>
    <w:p w14:paraId="286AD60B" w14:textId="4F407C48" w:rsidR="00974EF5" w:rsidRPr="00CA6F6A" w:rsidRDefault="00954FA3" w:rsidP="003B456F">
      <w:pPr>
        <w:spacing w:before="120" w:after="120"/>
        <w:jc w:val="center"/>
        <w:rPr>
          <w:sz w:val="20"/>
          <w:szCs w:val="20"/>
        </w:rPr>
      </w:pPr>
      <w:r w:rsidRPr="00CA6F6A">
        <w:rPr>
          <w:rFonts w:ascii="Arial" w:hAnsi="Arial" w:cs="Arial"/>
          <w:b/>
          <w:sz w:val="20"/>
          <w:szCs w:val="20"/>
        </w:rPr>
        <w:t>Indicative Budget</w:t>
      </w:r>
      <w:r w:rsidR="007064FE" w:rsidRPr="00CA6F6A">
        <w:rPr>
          <w:rFonts w:ascii="Arial" w:hAnsi="Arial" w:cs="Arial"/>
          <w:b/>
          <w:sz w:val="20"/>
          <w:szCs w:val="20"/>
        </w:rPr>
        <w:t xml:space="preserve"> (US$)</w:t>
      </w:r>
    </w:p>
    <w:tbl>
      <w:tblPr>
        <w:tblStyle w:val="TableGrid"/>
        <w:tblW w:w="0" w:type="auto"/>
        <w:tblInd w:w="558" w:type="dxa"/>
        <w:tblLook w:val="04A0" w:firstRow="1" w:lastRow="0" w:firstColumn="1" w:lastColumn="0" w:noHBand="0" w:noVBand="1"/>
      </w:tblPr>
      <w:tblGrid>
        <w:gridCol w:w="5219"/>
        <w:gridCol w:w="1781"/>
        <w:gridCol w:w="1458"/>
      </w:tblGrid>
      <w:tr w:rsidR="000D5CDD" w14:paraId="286AD610" w14:textId="77777777" w:rsidTr="00CA6F6A">
        <w:tc>
          <w:tcPr>
            <w:tcW w:w="5310" w:type="dxa"/>
            <w:vAlign w:val="center"/>
          </w:tcPr>
          <w:p w14:paraId="286AD60C" w14:textId="77777777" w:rsidR="000D5CDD" w:rsidRDefault="000D5CDD">
            <w:pPr>
              <w:spacing w:before="40" w:after="40"/>
              <w:jc w:val="center"/>
            </w:pPr>
            <w:r>
              <w:rPr>
                <w:rFonts w:ascii="Arial" w:hAnsi="Arial" w:cs="Arial"/>
                <w:b/>
                <w:sz w:val="18"/>
                <w:szCs w:val="18"/>
              </w:rPr>
              <w:t>Activity/Component</w:t>
            </w:r>
          </w:p>
        </w:tc>
        <w:tc>
          <w:tcPr>
            <w:tcW w:w="1800" w:type="dxa"/>
          </w:tcPr>
          <w:p w14:paraId="286AD60D" w14:textId="77777777" w:rsidR="000D5CDD" w:rsidRDefault="000D5CDD">
            <w:pPr>
              <w:spacing w:before="40" w:after="40"/>
              <w:jc w:val="center"/>
            </w:pPr>
            <w:r>
              <w:rPr>
                <w:rFonts w:ascii="Arial" w:hAnsi="Arial" w:cs="Arial"/>
                <w:b/>
                <w:sz w:val="18"/>
                <w:szCs w:val="18"/>
              </w:rPr>
              <w:t>IDB/Fund Funding</w:t>
            </w:r>
          </w:p>
        </w:tc>
        <w:tc>
          <w:tcPr>
            <w:tcW w:w="1468" w:type="dxa"/>
          </w:tcPr>
          <w:p w14:paraId="286AD60F" w14:textId="77777777" w:rsidR="000D5CDD" w:rsidRDefault="000D5CDD">
            <w:pPr>
              <w:spacing w:before="40" w:after="40"/>
              <w:jc w:val="center"/>
            </w:pPr>
            <w:r>
              <w:rPr>
                <w:rFonts w:ascii="Arial" w:hAnsi="Arial" w:cs="Arial"/>
                <w:b/>
                <w:sz w:val="18"/>
                <w:szCs w:val="18"/>
              </w:rPr>
              <w:t>Total Funding</w:t>
            </w:r>
          </w:p>
        </w:tc>
      </w:tr>
      <w:tr w:rsidR="000D5CDD" w14:paraId="286AD615" w14:textId="77777777" w:rsidTr="00CA6F6A">
        <w:tc>
          <w:tcPr>
            <w:tcW w:w="5310" w:type="dxa"/>
            <w:vAlign w:val="center"/>
          </w:tcPr>
          <w:p w14:paraId="286AD611" w14:textId="4D724FAB" w:rsidR="000D5CDD" w:rsidRDefault="00C5468B">
            <w:pPr>
              <w:spacing w:before="40" w:after="40"/>
            </w:pPr>
            <w:r w:rsidRPr="003B456F">
              <w:rPr>
                <w:rFonts w:ascii="Arial" w:hAnsi="Arial" w:cs="Arial"/>
                <w:b/>
                <w:bCs/>
                <w:sz w:val="18"/>
                <w:szCs w:val="18"/>
              </w:rPr>
              <w:t>Component I.</w:t>
            </w:r>
            <w:r>
              <w:rPr>
                <w:rFonts w:ascii="Arial" w:hAnsi="Arial" w:cs="Arial"/>
                <w:sz w:val="18"/>
                <w:szCs w:val="18"/>
              </w:rPr>
              <w:t xml:space="preserve"> </w:t>
            </w:r>
            <w:r w:rsidR="000D5CDD">
              <w:rPr>
                <w:rFonts w:ascii="Arial" w:hAnsi="Arial" w:cs="Arial"/>
                <w:sz w:val="18"/>
                <w:szCs w:val="18"/>
              </w:rPr>
              <w:t>Build a roadmap for the implementation of digital transformation for the energy, transportation, and water and sanitation sectors</w:t>
            </w:r>
          </w:p>
        </w:tc>
        <w:tc>
          <w:tcPr>
            <w:tcW w:w="1800" w:type="dxa"/>
            <w:vAlign w:val="center"/>
          </w:tcPr>
          <w:p w14:paraId="286AD612" w14:textId="742E10F8" w:rsidR="000D5CDD" w:rsidRDefault="000D5CDD">
            <w:pPr>
              <w:spacing w:before="40" w:after="40"/>
              <w:jc w:val="right"/>
            </w:pPr>
            <w:r>
              <w:rPr>
                <w:rFonts w:ascii="Arial" w:hAnsi="Arial" w:cs="Arial"/>
                <w:sz w:val="18"/>
                <w:szCs w:val="18"/>
              </w:rPr>
              <w:t>130,000.00</w:t>
            </w:r>
          </w:p>
        </w:tc>
        <w:tc>
          <w:tcPr>
            <w:tcW w:w="1468" w:type="dxa"/>
            <w:vAlign w:val="center"/>
          </w:tcPr>
          <w:p w14:paraId="286AD614" w14:textId="264DE6E4" w:rsidR="000D5CDD" w:rsidRDefault="000D5CDD">
            <w:pPr>
              <w:spacing w:before="40" w:after="40"/>
              <w:jc w:val="right"/>
            </w:pPr>
            <w:r>
              <w:rPr>
                <w:rFonts w:ascii="Arial" w:hAnsi="Arial" w:cs="Arial"/>
                <w:sz w:val="18"/>
                <w:szCs w:val="18"/>
              </w:rPr>
              <w:t>130,000.00</w:t>
            </w:r>
          </w:p>
        </w:tc>
      </w:tr>
      <w:tr w:rsidR="000D5CDD" w14:paraId="286AD61A" w14:textId="77777777" w:rsidTr="00CA6F6A">
        <w:tc>
          <w:tcPr>
            <w:tcW w:w="5310" w:type="dxa"/>
            <w:vAlign w:val="center"/>
          </w:tcPr>
          <w:p w14:paraId="286AD616" w14:textId="27271866" w:rsidR="000D5CDD" w:rsidRDefault="00C5468B">
            <w:pPr>
              <w:spacing w:before="40" w:after="40"/>
            </w:pPr>
            <w:r w:rsidRPr="006B1173">
              <w:rPr>
                <w:rFonts w:ascii="Arial" w:hAnsi="Arial" w:cs="Arial"/>
                <w:b/>
                <w:bCs/>
                <w:sz w:val="18"/>
                <w:szCs w:val="18"/>
              </w:rPr>
              <w:t>Component I</w:t>
            </w:r>
            <w:r>
              <w:rPr>
                <w:rFonts w:ascii="Arial" w:hAnsi="Arial" w:cs="Arial"/>
                <w:b/>
                <w:bCs/>
                <w:sz w:val="18"/>
                <w:szCs w:val="18"/>
              </w:rPr>
              <w:t>I</w:t>
            </w:r>
            <w:r w:rsidRPr="006B1173">
              <w:rPr>
                <w:rFonts w:ascii="Arial" w:hAnsi="Arial" w:cs="Arial"/>
                <w:b/>
                <w:bCs/>
                <w:sz w:val="18"/>
                <w:szCs w:val="18"/>
              </w:rPr>
              <w:t>.</w:t>
            </w:r>
            <w:r>
              <w:rPr>
                <w:rFonts w:ascii="Arial" w:hAnsi="Arial" w:cs="Arial"/>
                <w:b/>
                <w:bCs/>
                <w:sz w:val="18"/>
                <w:szCs w:val="18"/>
              </w:rPr>
              <w:t xml:space="preserve"> </w:t>
            </w:r>
            <w:r w:rsidR="000D5CDD">
              <w:rPr>
                <w:rFonts w:ascii="Arial" w:hAnsi="Arial" w:cs="Arial"/>
                <w:sz w:val="18"/>
                <w:szCs w:val="18"/>
              </w:rPr>
              <w:t>Execute an open call within the open innovation process</w:t>
            </w:r>
          </w:p>
        </w:tc>
        <w:tc>
          <w:tcPr>
            <w:tcW w:w="1800" w:type="dxa"/>
            <w:vAlign w:val="center"/>
          </w:tcPr>
          <w:p w14:paraId="286AD617" w14:textId="159F88C8" w:rsidR="000D5CDD" w:rsidRDefault="000D5CDD">
            <w:pPr>
              <w:spacing w:before="40" w:after="40"/>
              <w:jc w:val="right"/>
            </w:pPr>
            <w:r>
              <w:rPr>
                <w:rFonts w:ascii="Arial" w:hAnsi="Arial" w:cs="Arial"/>
                <w:sz w:val="18"/>
                <w:szCs w:val="18"/>
              </w:rPr>
              <w:t>110,000.00</w:t>
            </w:r>
          </w:p>
        </w:tc>
        <w:tc>
          <w:tcPr>
            <w:tcW w:w="1468" w:type="dxa"/>
            <w:vAlign w:val="center"/>
          </w:tcPr>
          <w:p w14:paraId="286AD619" w14:textId="244F0CDE" w:rsidR="000D5CDD" w:rsidRDefault="000D5CDD">
            <w:pPr>
              <w:spacing w:before="40" w:after="40"/>
              <w:jc w:val="right"/>
            </w:pPr>
            <w:r>
              <w:rPr>
                <w:rFonts w:ascii="Arial" w:hAnsi="Arial" w:cs="Arial"/>
                <w:sz w:val="18"/>
                <w:szCs w:val="18"/>
              </w:rPr>
              <w:t>110,000.00</w:t>
            </w:r>
          </w:p>
        </w:tc>
      </w:tr>
      <w:tr w:rsidR="000D5CDD" w14:paraId="286AD61F" w14:textId="77777777" w:rsidTr="00CA6F6A">
        <w:tc>
          <w:tcPr>
            <w:tcW w:w="5310" w:type="dxa"/>
            <w:vAlign w:val="center"/>
          </w:tcPr>
          <w:p w14:paraId="286AD61B" w14:textId="1A9F29D9" w:rsidR="000D5CDD" w:rsidRDefault="00C5468B">
            <w:pPr>
              <w:spacing w:before="40" w:after="40"/>
            </w:pPr>
            <w:r w:rsidRPr="006B1173">
              <w:rPr>
                <w:rFonts w:ascii="Arial" w:hAnsi="Arial" w:cs="Arial"/>
                <w:b/>
                <w:bCs/>
                <w:sz w:val="18"/>
                <w:szCs w:val="18"/>
              </w:rPr>
              <w:t>Component I</w:t>
            </w:r>
            <w:r>
              <w:rPr>
                <w:rFonts w:ascii="Arial" w:hAnsi="Arial" w:cs="Arial"/>
                <w:b/>
                <w:bCs/>
                <w:sz w:val="18"/>
                <w:szCs w:val="18"/>
              </w:rPr>
              <w:t>II</w:t>
            </w:r>
            <w:r w:rsidRPr="006B1173">
              <w:rPr>
                <w:rFonts w:ascii="Arial" w:hAnsi="Arial" w:cs="Arial"/>
                <w:b/>
                <w:bCs/>
                <w:sz w:val="18"/>
                <w:szCs w:val="18"/>
              </w:rPr>
              <w:t>.</w:t>
            </w:r>
            <w:r>
              <w:rPr>
                <w:rFonts w:ascii="Arial" w:hAnsi="Arial" w:cs="Arial"/>
                <w:b/>
                <w:bCs/>
                <w:sz w:val="18"/>
                <w:szCs w:val="18"/>
              </w:rPr>
              <w:t xml:space="preserve"> </w:t>
            </w:r>
            <w:r w:rsidR="000D5CDD">
              <w:rPr>
                <w:rFonts w:ascii="Arial" w:hAnsi="Arial" w:cs="Arial"/>
                <w:sz w:val="18"/>
                <w:szCs w:val="18"/>
              </w:rPr>
              <w:t>Incorporate digital components and activities in the infrastructure and energy sectors operations</w:t>
            </w:r>
          </w:p>
        </w:tc>
        <w:tc>
          <w:tcPr>
            <w:tcW w:w="1800" w:type="dxa"/>
            <w:vAlign w:val="center"/>
          </w:tcPr>
          <w:p w14:paraId="286AD61C" w14:textId="07AD5A92" w:rsidR="000D5CDD" w:rsidRDefault="000D5CDD">
            <w:pPr>
              <w:spacing w:before="40" w:after="40"/>
              <w:jc w:val="right"/>
            </w:pPr>
            <w:r>
              <w:rPr>
                <w:rFonts w:ascii="Arial" w:hAnsi="Arial" w:cs="Arial"/>
                <w:sz w:val="18"/>
                <w:szCs w:val="18"/>
              </w:rPr>
              <w:t>150,000.00</w:t>
            </w:r>
          </w:p>
        </w:tc>
        <w:tc>
          <w:tcPr>
            <w:tcW w:w="1468" w:type="dxa"/>
            <w:vAlign w:val="center"/>
          </w:tcPr>
          <w:p w14:paraId="286AD61E" w14:textId="2078562D" w:rsidR="000D5CDD" w:rsidRDefault="000D5CDD">
            <w:pPr>
              <w:spacing w:before="40" w:after="40"/>
              <w:jc w:val="right"/>
            </w:pPr>
            <w:r>
              <w:rPr>
                <w:rFonts w:ascii="Arial" w:hAnsi="Arial" w:cs="Arial"/>
                <w:sz w:val="18"/>
                <w:szCs w:val="18"/>
              </w:rPr>
              <w:t>150,000.00</w:t>
            </w:r>
          </w:p>
        </w:tc>
      </w:tr>
      <w:tr w:rsidR="000D5CDD" w14:paraId="286AD624" w14:textId="77777777" w:rsidTr="00CA6F6A">
        <w:tc>
          <w:tcPr>
            <w:tcW w:w="5310" w:type="dxa"/>
            <w:vAlign w:val="center"/>
          </w:tcPr>
          <w:p w14:paraId="286AD620" w14:textId="34AE0FFD" w:rsidR="000D5CDD" w:rsidRDefault="00C5468B">
            <w:pPr>
              <w:spacing w:before="40" w:after="40"/>
            </w:pPr>
            <w:r w:rsidRPr="003B456F">
              <w:rPr>
                <w:rFonts w:ascii="Arial" w:hAnsi="Arial" w:cs="Arial"/>
                <w:b/>
                <w:bCs/>
                <w:sz w:val="18"/>
                <w:szCs w:val="18"/>
              </w:rPr>
              <w:t>Component IV.</w:t>
            </w:r>
            <w:r>
              <w:rPr>
                <w:rFonts w:ascii="Arial" w:hAnsi="Arial" w:cs="Arial"/>
                <w:sz w:val="18"/>
                <w:szCs w:val="18"/>
              </w:rPr>
              <w:t xml:space="preserve"> </w:t>
            </w:r>
            <w:r w:rsidR="000D5CDD">
              <w:rPr>
                <w:rFonts w:ascii="Arial" w:hAnsi="Arial" w:cs="Arial"/>
                <w:sz w:val="18"/>
                <w:szCs w:val="18"/>
              </w:rPr>
              <w:t>Support the development of digital innovation and technology tools</w:t>
            </w:r>
          </w:p>
        </w:tc>
        <w:tc>
          <w:tcPr>
            <w:tcW w:w="1800" w:type="dxa"/>
            <w:vAlign w:val="center"/>
          </w:tcPr>
          <w:p w14:paraId="286AD621" w14:textId="438ECC99" w:rsidR="000D5CDD" w:rsidRDefault="000D5CDD">
            <w:pPr>
              <w:spacing w:before="40" w:after="40"/>
              <w:jc w:val="right"/>
            </w:pPr>
            <w:r>
              <w:rPr>
                <w:rFonts w:ascii="Arial" w:hAnsi="Arial" w:cs="Arial"/>
                <w:sz w:val="18"/>
                <w:szCs w:val="18"/>
              </w:rPr>
              <w:t>380,000.00</w:t>
            </w:r>
          </w:p>
        </w:tc>
        <w:tc>
          <w:tcPr>
            <w:tcW w:w="1468" w:type="dxa"/>
            <w:vAlign w:val="center"/>
          </w:tcPr>
          <w:p w14:paraId="286AD623" w14:textId="584BD1A9" w:rsidR="000D5CDD" w:rsidRDefault="000D5CDD">
            <w:pPr>
              <w:spacing w:before="40" w:after="40"/>
              <w:jc w:val="right"/>
            </w:pPr>
            <w:r>
              <w:rPr>
                <w:rFonts w:ascii="Arial" w:hAnsi="Arial" w:cs="Arial"/>
                <w:sz w:val="18"/>
                <w:szCs w:val="18"/>
              </w:rPr>
              <w:t>380,000.00</w:t>
            </w:r>
          </w:p>
        </w:tc>
      </w:tr>
      <w:tr w:rsidR="000D5CDD" w14:paraId="286AD629" w14:textId="77777777" w:rsidTr="00CA6F6A">
        <w:tc>
          <w:tcPr>
            <w:tcW w:w="5310" w:type="dxa"/>
            <w:vAlign w:val="center"/>
          </w:tcPr>
          <w:p w14:paraId="286AD625" w14:textId="77777777" w:rsidR="000D5CDD" w:rsidRDefault="000D5CDD">
            <w:pPr>
              <w:spacing w:before="40" w:after="40"/>
            </w:pPr>
            <w:r>
              <w:rPr>
                <w:rFonts w:ascii="Arial" w:hAnsi="Arial" w:cs="Arial"/>
                <w:b/>
                <w:sz w:val="18"/>
                <w:szCs w:val="18"/>
              </w:rPr>
              <w:t>Total</w:t>
            </w:r>
          </w:p>
        </w:tc>
        <w:tc>
          <w:tcPr>
            <w:tcW w:w="1800" w:type="dxa"/>
            <w:vAlign w:val="center"/>
          </w:tcPr>
          <w:p w14:paraId="286AD626" w14:textId="6FB7368E" w:rsidR="000D5CDD" w:rsidRDefault="000D5CDD">
            <w:pPr>
              <w:spacing w:before="40" w:after="40"/>
              <w:jc w:val="right"/>
            </w:pPr>
            <w:r>
              <w:rPr>
                <w:rFonts w:ascii="Arial" w:hAnsi="Arial" w:cs="Arial"/>
                <w:b/>
                <w:sz w:val="18"/>
                <w:szCs w:val="18"/>
              </w:rPr>
              <w:t>770,000.00</w:t>
            </w:r>
          </w:p>
        </w:tc>
        <w:tc>
          <w:tcPr>
            <w:tcW w:w="1468" w:type="dxa"/>
            <w:vAlign w:val="center"/>
          </w:tcPr>
          <w:p w14:paraId="286AD628" w14:textId="62B4D095" w:rsidR="000D5CDD" w:rsidRDefault="000D5CDD">
            <w:pPr>
              <w:spacing w:before="40" w:after="40"/>
              <w:jc w:val="right"/>
            </w:pPr>
            <w:r>
              <w:rPr>
                <w:rFonts w:ascii="Arial" w:hAnsi="Arial" w:cs="Arial"/>
                <w:b/>
                <w:sz w:val="18"/>
                <w:szCs w:val="18"/>
              </w:rPr>
              <w:t>770,000.00</w:t>
            </w:r>
          </w:p>
        </w:tc>
      </w:tr>
    </w:tbl>
    <w:p w14:paraId="286AD62A" w14:textId="77777777" w:rsidR="00974EF5" w:rsidRDefault="00954FA3">
      <w:pPr>
        <w:spacing w:before="120" w:after="120"/>
        <w:ind w:left="579" w:hanging="579"/>
      </w:pPr>
      <w:r>
        <w:rPr>
          <w:rFonts w:ascii="Arial" w:hAnsi="Arial" w:cs="Arial"/>
          <w:b/>
        </w:rPr>
        <w:t>V.</w:t>
      </w:r>
      <w:r>
        <w:rPr>
          <w:rFonts w:ascii="Arial" w:hAnsi="Arial" w:cs="Arial"/>
          <w:b/>
        </w:rPr>
        <w:tab/>
        <w:t>Executing Agency and Execution Structure</w:t>
      </w:r>
    </w:p>
    <w:p w14:paraId="286AD62B" w14:textId="76D172B3" w:rsidR="00974EF5" w:rsidRDefault="00954FA3" w:rsidP="003B456F">
      <w:pPr>
        <w:spacing w:before="120" w:after="120"/>
        <w:ind w:left="576" w:hanging="576"/>
        <w:jc w:val="both"/>
      </w:pPr>
      <w:r>
        <w:rPr>
          <w:rFonts w:ascii="Arial" w:hAnsi="Arial" w:cs="Arial"/>
        </w:rPr>
        <w:t>5.1</w:t>
      </w:r>
      <w:r>
        <w:rPr>
          <w:rFonts w:ascii="Arial" w:hAnsi="Arial" w:cs="Arial"/>
        </w:rPr>
        <w:tab/>
        <w:t>The executing agency will be the IDB, which will act in coordination with the relevant stakeholders of the competent bodies of the infrastructure and energy sector</w:t>
      </w:r>
      <w:r w:rsidR="00313B88">
        <w:rPr>
          <w:rFonts w:ascii="Arial" w:hAnsi="Arial" w:cs="Arial"/>
        </w:rPr>
        <w:t>s</w:t>
      </w:r>
      <w:r>
        <w:rPr>
          <w:rFonts w:ascii="Arial" w:hAnsi="Arial" w:cs="Arial"/>
        </w:rPr>
        <w:t>, the private sector and other related stakeholders.</w:t>
      </w:r>
    </w:p>
    <w:p w14:paraId="1AEA3C83" w14:textId="68A88556" w:rsidR="009126E5" w:rsidRPr="002C6511" w:rsidRDefault="00954FA3" w:rsidP="003B456F">
      <w:pPr>
        <w:spacing w:before="120" w:after="120"/>
        <w:ind w:left="576" w:hanging="576"/>
        <w:jc w:val="both"/>
        <w:rPr>
          <w:rFonts w:ascii="Arial" w:hAnsi="Arial" w:cs="Arial"/>
        </w:rPr>
      </w:pPr>
      <w:r>
        <w:rPr>
          <w:rFonts w:ascii="Arial" w:hAnsi="Arial" w:cs="Arial"/>
        </w:rPr>
        <w:t>5.2</w:t>
      </w:r>
      <w:r>
        <w:rPr>
          <w:rFonts w:ascii="Arial" w:hAnsi="Arial" w:cs="Arial"/>
        </w:rPr>
        <w:tab/>
        <w:t>The IDB's execution is justified by its experience in: (i) institutional strengthening in the infrastructure and energy sector</w:t>
      </w:r>
      <w:r w:rsidR="00270F98">
        <w:rPr>
          <w:rFonts w:ascii="Arial" w:hAnsi="Arial" w:cs="Arial"/>
        </w:rPr>
        <w:t>s</w:t>
      </w:r>
      <w:r w:rsidR="0099453E">
        <w:rPr>
          <w:rFonts w:ascii="Arial" w:hAnsi="Arial" w:cs="Arial"/>
        </w:rPr>
        <w:t>;</w:t>
      </w:r>
      <w:r>
        <w:rPr>
          <w:rFonts w:ascii="Arial" w:hAnsi="Arial" w:cs="Arial"/>
        </w:rPr>
        <w:t xml:space="preserve"> (ii) digital transformation and innovation technologies</w:t>
      </w:r>
      <w:r w:rsidR="0099453E">
        <w:rPr>
          <w:rFonts w:ascii="Arial" w:hAnsi="Arial" w:cs="Arial"/>
        </w:rPr>
        <w:t>;</w:t>
      </w:r>
      <w:r>
        <w:rPr>
          <w:rFonts w:ascii="Arial" w:hAnsi="Arial" w:cs="Arial"/>
        </w:rPr>
        <w:t xml:space="preserve"> and (iii) exchange of international experiences and best practices. Therefore, the Bank will be responsible for the procurement of consulting and non-consulting services in accordance with applicable policies and procedures.</w:t>
      </w:r>
      <w:r w:rsidR="00DE500E">
        <w:rPr>
          <w:rFonts w:ascii="Arial" w:hAnsi="Arial" w:cs="Arial"/>
        </w:rPr>
        <w:t xml:space="preserve"> </w:t>
      </w:r>
      <w:r>
        <w:rPr>
          <w:rFonts w:ascii="Arial" w:hAnsi="Arial" w:cs="Arial"/>
        </w:rPr>
        <w:t xml:space="preserve">The INE/INE team in </w:t>
      </w:r>
      <w:r w:rsidR="001A442B">
        <w:rPr>
          <w:rFonts w:ascii="Arial" w:hAnsi="Arial" w:cs="Arial"/>
        </w:rPr>
        <w:br/>
      </w:r>
      <w:r>
        <w:rPr>
          <w:rFonts w:ascii="Arial" w:hAnsi="Arial" w:cs="Arial"/>
        </w:rPr>
        <w:t>Washington D.C. will be in charge of supervision.</w:t>
      </w:r>
    </w:p>
    <w:p w14:paraId="286AD62D" w14:textId="77777777" w:rsidR="00974EF5" w:rsidRDefault="00954FA3">
      <w:pPr>
        <w:spacing w:before="120" w:after="120"/>
        <w:ind w:left="579" w:hanging="579"/>
      </w:pPr>
      <w:r>
        <w:rPr>
          <w:rFonts w:ascii="Arial" w:hAnsi="Arial" w:cs="Arial"/>
          <w:b/>
        </w:rPr>
        <w:t>VI.</w:t>
      </w:r>
      <w:r>
        <w:rPr>
          <w:rFonts w:ascii="Arial" w:hAnsi="Arial" w:cs="Arial"/>
          <w:b/>
        </w:rPr>
        <w:tab/>
        <w:t>Project Risks and Issues</w:t>
      </w:r>
    </w:p>
    <w:p w14:paraId="286AD62E" w14:textId="125AE2AD" w:rsidR="00974EF5" w:rsidRDefault="00954FA3" w:rsidP="003B456F">
      <w:pPr>
        <w:spacing w:before="120" w:after="120"/>
        <w:ind w:left="576" w:hanging="576"/>
        <w:jc w:val="both"/>
      </w:pPr>
      <w:r>
        <w:rPr>
          <w:rFonts w:ascii="Arial" w:hAnsi="Arial" w:cs="Arial"/>
        </w:rPr>
        <w:t>6.1</w:t>
      </w:r>
      <w:r>
        <w:rPr>
          <w:rFonts w:ascii="Arial" w:hAnsi="Arial" w:cs="Arial"/>
        </w:rPr>
        <w:tab/>
        <w:t xml:space="preserve">The analysis identified as a risk the eventual low involvement of relevant stakeholders in the design and implementation of digital roadmaps and pilots. This risk is mitigated by close policy dialogue and collaboration between </w:t>
      </w:r>
      <w:r w:rsidR="005950E1" w:rsidRPr="005950E1">
        <w:rPr>
          <w:rFonts w:ascii="Arial" w:hAnsi="Arial" w:cs="Arial"/>
        </w:rPr>
        <w:t>Infrastructure and Energy Sector</w:t>
      </w:r>
      <w:r w:rsidR="00B851B3">
        <w:rPr>
          <w:rFonts w:ascii="Arial" w:hAnsi="Arial" w:cs="Arial"/>
        </w:rPr>
        <w:t xml:space="preserve"> Department</w:t>
      </w:r>
      <w:r w:rsidR="005950E1" w:rsidRPr="005950E1">
        <w:rPr>
          <w:rFonts w:ascii="Arial" w:hAnsi="Arial" w:cs="Arial"/>
        </w:rPr>
        <w:t xml:space="preserve"> </w:t>
      </w:r>
      <w:r w:rsidR="005950E1">
        <w:rPr>
          <w:rFonts w:ascii="Arial" w:hAnsi="Arial" w:cs="Arial"/>
        </w:rPr>
        <w:t>(</w:t>
      </w:r>
      <w:r>
        <w:rPr>
          <w:rFonts w:ascii="Arial" w:hAnsi="Arial" w:cs="Arial"/>
        </w:rPr>
        <w:t>INE</w:t>
      </w:r>
      <w:r w:rsidR="005950E1">
        <w:rPr>
          <w:rFonts w:ascii="Arial" w:hAnsi="Arial" w:cs="Arial"/>
        </w:rPr>
        <w:t>)</w:t>
      </w:r>
      <w:r>
        <w:rPr>
          <w:rFonts w:ascii="Arial" w:hAnsi="Arial" w:cs="Arial"/>
        </w:rPr>
        <w:t xml:space="preserve"> </w:t>
      </w:r>
      <w:r w:rsidR="00B851B3" w:rsidRPr="003F0B54">
        <w:rPr>
          <w:rFonts w:ascii="Arial" w:hAnsi="Arial" w:cs="Arial"/>
        </w:rPr>
        <w:t>of the IDB</w:t>
      </w:r>
      <w:r w:rsidR="00B851B3">
        <w:rPr>
          <w:rFonts w:ascii="Arial" w:hAnsi="Arial" w:cs="Arial"/>
        </w:rPr>
        <w:t xml:space="preserve"> </w:t>
      </w:r>
      <w:r>
        <w:rPr>
          <w:rFonts w:ascii="Arial" w:hAnsi="Arial" w:cs="Arial"/>
        </w:rPr>
        <w:t xml:space="preserve">and relevant public stakeholders in the region. Another risk is the eventual low participation of entrepreneurs in the open call. This risk is mitigated by close interaction with the digital ecosystem, leveraged on </w:t>
      </w:r>
      <w:r w:rsidR="003F0B54" w:rsidRPr="003F0B54">
        <w:rPr>
          <w:rFonts w:ascii="Arial" w:hAnsi="Arial" w:cs="Arial"/>
        </w:rPr>
        <w:t xml:space="preserve">experience of the Knowledge, Innovation and Communication </w:t>
      </w:r>
      <w:r w:rsidR="00B851B3">
        <w:rPr>
          <w:rFonts w:ascii="Arial" w:hAnsi="Arial" w:cs="Arial"/>
        </w:rPr>
        <w:t>S</w:t>
      </w:r>
      <w:r w:rsidR="003F0B54" w:rsidRPr="003F0B54">
        <w:rPr>
          <w:rFonts w:ascii="Arial" w:hAnsi="Arial" w:cs="Arial"/>
        </w:rPr>
        <w:t>ector</w:t>
      </w:r>
      <w:r w:rsidR="003F0B54">
        <w:rPr>
          <w:rFonts w:ascii="Arial" w:hAnsi="Arial" w:cs="Arial"/>
        </w:rPr>
        <w:t xml:space="preserve"> (KIC)</w:t>
      </w:r>
      <w:r w:rsidR="003F0B54" w:rsidRPr="003F0B54">
        <w:rPr>
          <w:rFonts w:ascii="Arial" w:hAnsi="Arial" w:cs="Arial"/>
        </w:rPr>
        <w:t xml:space="preserve"> of the IDB</w:t>
      </w:r>
      <w:r>
        <w:rPr>
          <w:rFonts w:ascii="Arial" w:hAnsi="Arial" w:cs="Arial"/>
        </w:rPr>
        <w:t>. Finally, the development of digital tools involving new technologies presents a risk by its innovative nature. This risk will be mitigated by a thorough review of previous experiences and the use of agile methodologies.</w:t>
      </w:r>
    </w:p>
    <w:p w14:paraId="286AD62F" w14:textId="77777777" w:rsidR="00974EF5" w:rsidRDefault="00954FA3" w:rsidP="003B456F">
      <w:pPr>
        <w:spacing w:before="120" w:after="120"/>
        <w:ind w:left="576" w:hanging="576"/>
        <w:jc w:val="both"/>
      </w:pPr>
      <w:r>
        <w:rPr>
          <w:rFonts w:ascii="Arial" w:hAnsi="Arial" w:cs="Arial"/>
        </w:rPr>
        <w:t>6.2</w:t>
      </w:r>
      <w:r>
        <w:rPr>
          <w:rFonts w:ascii="Arial" w:hAnsi="Arial" w:cs="Arial"/>
        </w:rPr>
        <w:tab/>
        <w:t>Additionally, due to the nature of this TC, no environmental or social risks associated with its implementation have been identified.</w:t>
      </w:r>
    </w:p>
    <w:p w14:paraId="286AD630" w14:textId="77777777" w:rsidR="00974EF5" w:rsidRDefault="00954FA3" w:rsidP="003B456F">
      <w:pPr>
        <w:spacing w:before="120" w:after="120"/>
        <w:ind w:left="576" w:hanging="576"/>
      </w:pPr>
      <w:r>
        <w:rPr>
          <w:rFonts w:ascii="Arial" w:hAnsi="Arial" w:cs="Arial"/>
          <w:b/>
        </w:rPr>
        <w:lastRenderedPageBreak/>
        <w:t>VII.</w:t>
      </w:r>
      <w:r>
        <w:rPr>
          <w:rFonts w:ascii="Arial" w:hAnsi="Arial" w:cs="Arial"/>
          <w:b/>
        </w:rPr>
        <w:tab/>
        <w:t>Environmental and Social Classification</w:t>
      </w:r>
    </w:p>
    <w:p w14:paraId="286AD631" w14:textId="77777777" w:rsidR="00974EF5" w:rsidRDefault="00954FA3" w:rsidP="003B456F">
      <w:pPr>
        <w:spacing w:before="120" w:after="120"/>
        <w:ind w:left="576" w:hanging="576"/>
        <w:jc w:val="both"/>
      </w:pPr>
      <w:r>
        <w:rPr>
          <w:rFonts w:ascii="Arial" w:hAnsi="Arial" w:cs="Arial"/>
        </w:rPr>
        <w:t>7.1</w:t>
      </w:r>
      <w:r>
        <w:rPr>
          <w:rFonts w:ascii="Arial" w:hAnsi="Arial" w:cs="Arial"/>
        </w:rPr>
        <w:tab/>
        <w:t>The ESG classification for this operation is "undefined".</w:t>
      </w:r>
    </w:p>
    <w:sectPr w:rsidR="00974EF5" w:rsidSect="00FC302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C4370" w14:textId="77777777" w:rsidR="00C01C6B" w:rsidRDefault="00C01C6B">
      <w:r>
        <w:separator/>
      </w:r>
    </w:p>
  </w:endnote>
  <w:endnote w:type="continuationSeparator" w:id="0">
    <w:p w14:paraId="793F552B" w14:textId="77777777" w:rsidR="00C01C6B" w:rsidRDefault="00C01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632" w14:textId="4AAB5EE1" w:rsidR="00974EF5" w:rsidRDefault="00954FA3">
    <w:pPr>
      <w:pStyle w:val="FooterStyle"/>
      <w:jc w:val="center"/>
    </w:pPr>
    <w:r>
      <w:t xml:space="preserve"> - </w:t>
    </w:r>
    <w:r>
      <w:fldChar w:fldCharType="begin"/>
    </w:r>
    <w:r>
      <w:instrText xml:space="preserve"> PAGE </w:instrText>
    </w:r>
    <w:r>
      <w:fldChar w:fldCharType="separate"/>
    </w:r>
    <w:r w:rsidR="009126E5">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187F5" w14:textId="77777777" w:rsidR="00C01C6B" w:rsidRDefault="00C01C6B">
      <w:r>
        <w:separator/>
      </w:r>
    </w:p>
  </w:footnote>
  <w:footnote w:type="continuationSeparator" w:id="0">
    <w:p w14:paraId="2C614A74" w14:textId="77777777" w:rsidR="00C01C6B" w:rsidRDefault="00C01C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53B5D"/>
    <w:rsid w:val="0006093A"/>
    <w:rsid w:val="00096E37"/>
    <w:rsid w:val="000D5CDD"/>
    <w:rsid w:val="001915A3"/>
    <w:rsid w:val="001A442B"/>
    <w:rsid w:val="001D6F13"/>
    <w:rsid w:val="001E4CBA"/>
    <w:rsid w:val="00217F62"/>
    <w:rsid w:val="00220A59"/>
    <w:rsid w:val="002251E0"/>
    <w:rsid w:val="00263D69"/>
    <w:rsid w:val="00270F98"/>
    <w:rsid w:val="002850B9"/>
    <w:rsid w:val="00294102"/>
    <w:rsid w:val="002B62A6"/>
    <w:rsid w:val="002C57DC"/>
    <w:rsid w:val="002C6511"/>
    <w:rsid w:val="0030785F"/>
    <w:rsid w:val="00313B88"/>
    <w:rsid w:val="003B3E58"/>
    <w:rsid w:val="003B4539"/>
    <w:rsid w:val="003B456F"/>
    <w:rsid w:val="003C4A6D"/>
    <w:rsid w:val="003E0457"/>
    <w:rsid w:val="003F0B54"/>
    <w:rsid w:val="0047168D"/>
    <w:rsid w:val="004D1AD3"/>
    <w:rsid w:val="005950E1"/>
    <w:rsid w:val="005953DB"/>
    <w:rsid w:val="00601787"/>
    <w:rsid w:val="006234CD"/>
    <w:rsid w:val="006530A4"/>
    <w:rsid w:val="00673B9D"/>
    <w:rsid w:val="006B1852"/>
    <w:rsid w:val="006E683F"/>
    <w:rsid w:val="006F78C0"/>
    <w:rsid w:val="007064FE"/>
    <w:rsid w:val="007906A6"/>
    <w:rsid w:val="007E4ED3"/>
    <w:rsid w:val="007F28A0"/>
    <w:rsid w:val="007F7615"/>
    <w:rsid w:val="008307FD"/>
    <w:rsid w:val="00831F61"/>
    <w:rsid w:val="00833616"/>
    <w:rsid w:val="00837B76"/>
    <w:rsid w:val="008B6AB9"/>
    <w:rsid w:val="008F133A"/>
    <w:rsid w:val="009126E5"/>
    <w:rsid w:val="00954005"/>
    <w:rsid w:val="00954FA3"/>
    <w:rsid w:val="00974EF5"/>
    <w:rsid w:val="0099453E"/>
    <w:rsid w:val="009B10AA"/>
    <w:rsid w:val="009B2398"/>
    <w:rsid w:val="009F3ABB"/>
    <w:rsid w:val="00A31D93"/>
    <w:rsid w:val="00A365A9"/>
    <w:rsid w:val="00A906D8"/>
    <w:rsid w:val="00AB5A74"/>
    <w:rsid w:val="00AC577F"/>
    <w:rsid w:val="00B0376E"/>
    <w:rsid w:val="00B851B3"/>
    <w:rsid w:val="00C01C6B"/>
    <w:rsid w:val="00C2431E"/>
    <w:rsid w:val="00C5468B"/>
    <w:rsid w:val="00C97B60"/>
    <w:rsid w:val="00CA6F6A"/>
    <w:rsid w:val="00D11F23"/>
    <w:rsid w:val="00D84925"/>
    <w:rsid w:val="00D86129"/>
    <w:rsid w:val="00DE05E6"/>
    <w:rsid w:val="00DE500E"/>
    <w:rsid w:val="00DF5533"/>
    <w:rsid w:val="00E32161"/>
    <w:rsid w:val="00E96755"/>
    <w:rsid w:val="00EA249A"/>
    <w:rsid w:val="00ED2244"/>
    <w:rsid w:val="00EF18A0"/>
    <w:rsid w:val="00F00DA6"/>
    <w:rsid w:val="00F02126"/>
    <w:rsid w:val="00F02A72"/>
    <w:rsid w:val="00F071AE"/>
    <w:rsid w:val="00FB2BAD"/>
    <w:rsid w:val="00FD0D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AD5C6"/>
  <w15:docId w15:val="{47A7F099-E0F6-40FD-9FE5-97D9AEE8D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character" w:styleId="CommentReference">
    <w:name w:val="annotation reference"/>
    <w:basedOn w:val="DefaultParagraphFont"/>
    <w:uiPriority w:val="99"/>
    <w:semiHidden/>
    <w:unhideWhenUsed/>
    <w:rsid w:val="00C97B60"/>
    <w:rPr>
      <w:sz w:val="16"/>
      <w:szCs w:val="16"/>
    </w:rPr>
  </w:style>
  <w:style w:type="paragraph" w:styleId="CommentText">
    <w:name w:val="annotation text"/>
    <w:basedOn w:val="Normal"/>
    <w:link w:val="CommentTextChar"/>
    <w:uiPriority w:val="99"/>
    <w:semiHidden/>
    <w:unhideWhenUsed/>
    <w:rsid w:val="00C97B60"/>
    <w:rPr>
      <w:sz w:val="20"/>
      <w:szCs w:val="20"/>
    </w:rPr>
  </w:style>
  <w:style w:type="character" w:customStyle="1" w:styleId="CommentTextChar">
    <w:name w:val="Comment Text Char"/>
    <w:basedOn w:val="DefaultParagraphFont"/>
    <w:link w:val="CommentText"/>
    <w:uiPriority w:val="99"/>
    <w:semiHidden/>
    <w:rsid w:val="00C97B60"/>
    <w:rPr>
      <w:sz w:val="20"/>
      <w:szCs w:val="20"/>
    </w:rPr>
  </w:style>
  <w:style w:type="paragraph" w:styleId="CommentSubject">
    <w:name w:val="annotation subject"/>
    <w:basedOn w:val="CommentText"/>
    <w:next w:val="CommentText"/>
    <w:link w:val="CommentSubjectChar"/>
    <w:uiPriority w:val="99"/>
    <w:semiHidden/>
    <w:unhideWhenUsed/>
    <w:rsid w:val="00C97B60"/>
    <w:rPr>
      <w:b/>
      <w:bCs/>
    </w:rPr>
  </w:style>
  <w:style w:type="character" w:customStyle="1" w:styleId="CommentSubjectChar">
    <w:name w:val="Comment Subject Char"/>
    <w:basedOn w:val="CommentTextChar"/>
    <w:link w:val="CommentSubject"/>
    <w:uiPriority w:val="99"/>
    <w:semiHidden/>
    <w:rsid w:val="00C97B60"/>
    <w:rPr>
      <w:b/>
      <w:bCs/>
      <w:sz w:val="20"/>
      <w:szCs w:val="20"/>
    </w:rPr>
  </w:style>
  <w:style w:type="paragraph" w:styleId="Revision">
    <w:name w:val="Revision"/>
    <w:hidden/>
    <w:uiPriority w:val="99"/>
    <w:semiHidden/>
    <w:rsid w:val="00C97B60"/>
  </w:style>
  <w:style w:type="character" w:styleId="Hyperlink">
    <w:name w:val="Hyperlink"/>
    <w:basedOn w:val="DefaultParagraphFont"/>
    <w:uiPriority w:val="99"/>
    <w:unhideWhenUsed/>
    <w:rsid w:val="00FD0DBB"/>
    <w:rPr>
      <w:color w:val="0563C1" w:themeColor="hyperlink"/>
      <w:u w:val="single"/>
    </w:rPr>
  </w:style>
  <w:style w:type="character" w:styleId="FollowedHyperlink">
    <w:name w:val="FollowedHyperlink"/>
    <w:basedOn w:val="DefaultParagraphFont"/>
    <w:uiPriority w:val="99"/>
    <w:semiHidden/>
    <w:unhideWhenUsed/>
    <w:rsid w:val="00FD0DBB"/>
    <w:rPr>
      <w:color w:val="954F72" w:themeColor="followedHyperlink"/>
      <w:u w:val="single"/>
    </w:rPr>
  </w:style>
  <w:style w:type="character" w:styleId="UnresolvedMention">
    <w:name w:val="Unresolved Mention"/>
    <w:basedOn w:val="DefaultParagraphFont"/>
    <w:uiPriority w:val="99"/>
    <w:semiHidden/>
    <w:unhideWhenUsed/>
    <w:rsid w:val="003B4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1.xml"/><Relationship Id="rId18"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5.xml"/><Relationship Id="rId16" Type="http://schemas.openxmlformats.org/officeDocument/2006/relationships/customXml" Target="../customXml/item4.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idbdocs.iadb.org/wsdocs/getdocument.aspx?docnum=EZSHARE-1618510001-5370&amp;CONTDISP=inline"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6E120138B659E4FBA25DC6E508547C1" ma:contentTypeVersion="0" ma:contentTypeDescription="The base project type from which other project content types inherit their information." ma:contentTypeScope="" ma:versionID="154f8f92bced6b784a513cb99e23e5a7">
  <xsd:schema xmlns:xsd="http://www.w3.org/2001/XMLSchema" xmlns:xs="http://www.w3.org/2001/XMLSchema" xmlns:p="http://schemas.microsoft.com/office/2006/metadata/properties" xmlns:ns2="cdc7663a-08f0-4737-9e8c-148ce897a09c" targetNamespace="http://schemas.microsoft.com/office/2006/metadata/properties" ma:root="true" ma:fieldsID="0aa96fb509823d5b8051a5847513bf5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INE/TSP</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Riobo Patino Jairo Alexander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165</Value>
      <Value>88</Value>
      <Value>107</Value>
      <Value>1</Value>
      <Value>44</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RG-T4098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EZSHARE-800208071-1</_dlc_DocId>
    <_dlc_DocIdUrl xmlns="cdc7663a-08f0-4737-9e8c-148ce897a09c">
      <Url>https://idbg.sharepoint.com/teams/EZ-RG-TCP/RG-T4098/_layouts/15/DocIdRedir.aspx?ID=EZSHARE-800208071-1</Url>
      <Description>EZSHARE-800208071-1</Description>
    </_dlc_DocIdUrl>
  </documentManagement>
</p:properties>
</file>

<file path=customXml/itemProps1.xml><?xml version="1.0" encoding="utf-8"?>
<ds:datastoreItem xmlns:ds="http://schemas.openxmlformats.org/officeDocument/2006/customXml" ds:itemID="{EE96416F-0CBD-4231-B0E6-88F54269185D}"/>
</file>

<file path=customXml/itemProps2.xml><?xml version="1.0" encoding="utf-8"?>
<ds:datastoreItem xmlns:ds="http://schemas.openxmlformats.org/officeDocument/2006/customXml" ds:itemID="{9CD5F705-3774-4BBF-9AEA-3784511EDFD2}"/>
</file>

<file path=customXml/itemProps3.xml><?xml version="1.0" encoding="utf-8"?>
<ds:datastoreItem xmlns:ds="http://schemas.openxmlformats.org/officeDocument/2006/customXml" ds:itemID="{AFE1C73B-3739-46FB-BC23-C9136EE62FCC}"/>
</file>

<file path=customXml/itemProps4.xml><?xml version="1.0" encoding="utf-8"?>
<ds:datastoreItem xmlns:ds="http://schemas.openxmlformats.org/officeDocument/2006/customXml" ds:itemID="{E74C5962-38C1-44A8-B227-2F1DAFA82271}"/>
</file>

<file path=customXml/itemProps5.xml><?xml version="1.0" encoding="utf-8"?>
<ds:datastoreItem xmlns:ds="http://schemas.openxmlformats.org/officeDocument/2006/customXml" ds:itemID="{3AE8036F-C2B2-403D-86FE-285FE566798F}"/>
</file>

<file path=customXml/itemProps6.xml><?xml version="1.0" encoding="utf-8"?>
<ds:datastoreItem xmlns:ds="http://schemas.openxmlformats.org/officeDocument/2006/customXml" ds:itemID="{46CE6514-A198-4E31-9CDD-3C134A657908}"/>
</file>

<file path=docProps/app.xml><?xml version="1.0" encoding="utf-8"?>
<Properties xmlns="http://schemas.openxmlformats.org/officeDocument/2006/extended-properties" xmlns:vt="http://schemas.openxmlformats.org/officeDocument/2006/docPropsVTypes">
  <Template>Normal</Template>
  <TotalTime>21</TotalTime>
  <Pages>3</Pages>
  <Words>1604</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Pons Romero, Maria</dc:creator>
  <cp:keywords/>
  <cp:lastModifiedBy>Gonzalo Rodriguez Valverde</cp:lastModifiedBy>
  <cp:revision>12</cp:revision>
  <dcterms:created xsi:type="dcterms:W3CDTF">2022-05-19T14:18:00Z</dcterms:created>
  <dcterms:modified xsi:type="dcterms:W3CDTF">2022-05-19T22:12:00Z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0x010100ACF722E9F6B0B149B0CD8BE2560A667200D6E120138B659E4FBA25DC6E508547C1</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165;#OTHER|b00cef88-4299-4df6-9efe-56a7c46d7424</vt:lpwstr>
  </property>
  <property fmtid="{D5CDD505-2E9C-101B-9397-08002B2CF9AE}" pid="13" name="Fund IDB">
    <vt:lpwstr>107;#TBD|d62f6e05-3e80-4abd-9bb4-5f10b4906ff6</vt:lpwstr>
  </property>
  <property fmtid="{D5CDD505-2E9C-101B-9397-08002B2CF9AE}" pid="14" name="Sector IDB">
    <vt:lpwstr>88;#OTHER|4bf49567-b6b7-4f15-bd8c-30222dd969d6</vt:lpwstr>
  </property>
  <property fmtid="{D5CDD505-2E9C-101B-9397-08002B2CF9AE}" pid="15" name="_dlc_DocIdItemGuid">
    <vt:lpwstr>449936ba-42ef-4375-9cdc-8c0601e3dca8</vt:lpwstr>
  </property>
  <property fmtid="{D5CDD505-2E9C-101B-9397-08002B2CF9AE}" pid="16" name="Disclosure Activity">
    <vt:lpwstr>TC Abstract</vt:lpwstr>
  </property>
  <property fmtid="{D5CDD505-2E9C-101B-9397-08002B2CF9AE}" pid="17" name="Webtopic">
    <vt:lpwstr/>
  </property>
  <property fmtid="{D5CDD505-2E9C-101B-9397-08002B2CF9AE}" pid="18" name="Series Operations IDB">
    <vt:lpwstr/>
  </property>
</Properties>
</file>