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5CE" w:rsidRPr="00C875CE" w:rsidRDefault="00C875CE" w:rsidP="00C875CE">
      <w:pPr>
        <w:spacing w:after="0"/>
        <w:jc w:val="center"/>
        <w:rPr>
          <w:rFonts w:ascii="Arial" w:hAnsi="Arial" w:cs="Arial"/>
          <w:b/>
          <w:smallCaps/>
          <w:sz w:val="28"/>
          <w:szCs w:val="28"/>
          <w:lang w:val="es-ES_tradnl"/>
        </w:rPr>
      </w:pPr>
      <w:r w:rsidRPr="00C875CE">
        <w:rPr>
          <w:rFonts w:ascii="Arial" w:hAnsi="Arial" w:cs="Arial"/>
          <w:b/>
          <w:smallCaps/>
          <w:sz w:val="28"/>
          <w:szCs w:val="28"/>
          <w:lang w:val="es-ES_tradnl"/>
        </w:rPr>
        <w:t>Programa Integral de Desarrollo Turístico y Urbano de la Ciudad Colonial de Santo Domingo</w:t>
      </w:r>
    </w:p>
    <w:p w:rsidR="007C0CFA" w:rsidRPr="00C875CE" w:rsidRDefault="007C0CFA" w:rsidP="007C0CFA">
      <w:pPr>
        <w:shd w:val="clear" w:color="auto" w:fill="FFFFFF"/>
        <w:spacing w:after="0" w:line="240" w:lineRule="auto"/>
        <w:jc w:val="both"/>
        <w:rPr>
          <w:rFonts w:ascii="Calibri" w:eastAsia="Calibri" w:hAnsi="Calibri" w:cs="+mn-cs"/>
          <w:color w:val="000000"/>
          <w:kern w:val="24"/>
          <w:lang w:val="es-ES_tradnl"/>
        </w:rPr>
      </w:pPr>
    </w:p>
    <w:p w:rsidR="00280733" w:rsidRDefault="00280733" w:rsidP="00C875CE">
      <w:pPr>
        <w:shd w:val="clear" w:color="auto" w:fill="FFFFFF"/>
        <w:spacing w:after="0" w:line="240" w:lineRule="auto"/>
        <w:jc w:val="center"/>
        <w:rPr>
          <w:rFonts w:ascii="Arial" w:eastAsia="Calibri" w:hAnsi="Arial" w:cs="Arial"/>
          <w:b/>
          <w:color w:val="000000"/>
          <w:kern w:val="24"/>
          <w:sz w:val="24"/>
          <w:szCs w:val="24"/>
          <w:lang w:val="es-AR"/>
        </w:rPr>
      </w:pPr>
    </w:p>
    <w:p w:rsidR="007C0CFA" w:rsidRPr="00280733" w:rsidRDefault="00D11A59" w:rsidP="00280733">
      <w:pPr>
        <w:spacing w:after="120" w:line="240" w:lineRule="auto"/>
        <w:jc w:val="center"/>
        <w:rPr>
          <w:rFonts w:ascii="Arial" w:eastAsia="Times New Roman" w:hAnsi="Arial" w:cs="Arial"/>
          <w:b/>
          <w:color w:val="365F91" w:themeColor="accent1" w:themeShade="BF"/>
          <w:lang w:val="es-ES" w:eastAsia="es-MX"/>
        </w:rPr>
      </w:pPr>
      <w:r w:rsidRPr="00280733">
        <w:rPr>
          <w:rFonts w:ascii="Arial" w:eastAsia="Times New Roman" w:hAnsi="Arial" w:cs="Arial"/>
          <w:b/>
          <w:color w:val="365F91" w:themeColor="accent1" w:themeShade="BF"/>
          <w:lang w:val="es-ES" w:eastAsia="es-MX"/>
        </w:rPr>
        <w:t>Pautas para la prepar</w:t>
      </w:r>
      <w:r w:rsidR="00C875CE" w:rsidRPr="00280733">
        <w:rPr>
          <w:rFonts w:ascii="Arial" w:eastAsia="Times New Roman" w:hAnsi="Arial" w:cs="Arial"/>
          <w:b/>
          <w:color w:val="365F91" w:themeColor="accent1" w:themeShade="BF"/>
          <w:lang w:val="es-ES" w:eastAsia="es-MX"/>
        </w:rPr>
        <w:t>ación de una estrategia gradual</w:t>
      </w:r>
      <w:r w:rsidR="00C875CE" w:rsidRPr="00280733">
        <w:rPr>
          <w:rFonts w:ascii="Arial" w:eastAsia="Times New Roman" w:hAnsi="Arial" w:cs="Arial"/>
          <w:b/>
          <w:color w:val="365F91" w:themeColor="accent1" w:themeShade="BF"/>
          <w:lang w:val="es-ES" w:eastAsia="es-MX"/>
        </w:rPr>
        <w:br/>
      </w:r>
      <w:r w:rsidRPr="00280733">
        <w:rPr>
          <w:rFonts w:ascii="Arial" w:eastAsia="Times New Roman" w:hAnsi="Arial" w:cs="Arial"/>
          <w:b/>
          <w:color w:val="365F91" w:themeColor="accent1" w:themeShade="BF"/>
          <w:lang w:val="es-ES" w:eastAsia="es-MX"/>
        </w:rPr>
        <w:t>de intervención de la CCSD</w:t>
      </w:r>
    </w:p>
    <w:p w:rsidR="00D11A59" w:rsidRPr="00280733" w:rsidRDefault="00D11A59" w:rsidP="007C0CFA">
      <w:pPr>
        <w:shd w:val="clear" w:color="auto" w:fill="FFFFFF"/>
        <w:spacing w:after="0" w:line="240" w:lineRule="auto"/>
        <w:jc w:val="both"/>
        <w:rPr>
          <w:rFonts w:ascii="Calibri" w:eastAsia="Calibri" w:hAnsi="Calibri" w:cs="+mn-cs"/>
          <w:b/>
          <w:color w:val="000000"/>
          <w:kern w:val="24"/>
          <w:sz w:val="28"/>
          <w:szCs w:val="28"/>
          <w:lang w:val="es-ES"/>
        </w:rPr>
      </w:pPr>
      <w:bookmarkStart w:id="0" w:name="_GoBack"/>
      <w:bookmarkEnd w:id="0"/>
    </w:p>
    <w:p w:rsidR="007C0CFA" w:rsidRPr="00280733" w:rsidRDefault="003149EA" w:rsidP="00C875CE">
      <w:pPr>
        <w:shd w:val="clear" w:color="auto" w:fill="FFFFFF"/>
        <w:spacing w:after="120" w:line="240" w:lineRule="auto"/>
        <w:jc w:val="both"/>
        <w:rPr>
          <w:rFonts w:ascii="Arial" w:eastAsia="Times New Roman" w:hAnsi="Arial" w:cs="Arial"/>
          <w:lang w:val="es-ES" w:eastAsia="es-MX"/>
        </w:rPr>
      </w:pPr>
      <w:r w:rsidRPr="00280733">
        <w:rPr>
          <w:rFonts w:ascii="Arial" w:eastAsia="Calibri" w:hAnsi="Arial" w:cs="Arial"/>
          <w:kern w:val="24"/>
          <w:lang w:val="es-ES"/>
        </w:rPr>
        <w:t xml:space="preserve">Siguiendo el documento del proyecto, </w:t>
      </w:r>
      <w:r w:rsidR="007C0CFA" w:rsidRPr="00280733">
        <w:rPr>
          <w:rFonts w:ascii="Arial" w:eastAsia="Times New Roman" w:hAnsi="Arial" w:cs="Arial"/>
          <w:lang w:val="es-ES" w:eastAsia="es-MX"/>
        </w:rPr>
        <w:t xml:space="preserve">puede </w:t>
      </w:r>
      <w:r w:rsidRPr="00280733">
        <w:rPr>
          <w:rFonts w:ascii="Arial" w:eastAsia="Times New Roman" w:hAnsi="Arial" w:cs="Arial"/>
          <w:lang w:val="es-ES" w:eastAsia="es-MX"/>
        </w:rPr>
        <w:t>afirmarse</w:t>
      </w:r>
      <w:r w:rsidR="007C0CFA" w:rsidRPr="00280733">
        <w:rPr>
          <w:rFonts w:ascii="Arial" w:eastAsia="Times New Roman" w:hAnsi="Arial" w:cs="Arial"/>
          <w:lang w:val="es-ES" w:eastAsia="es-MX"/>
        </w:rPr>
        <w:t xml:space="preserve"> que si bien </w:t>
      </w:r>
      <w:r w:rsidRPr="00280733">
        <w:rPr>
          <w:rFonts w:ascii="Arial" w:eastAsia="Times New Roman" w:hAnsi="Arial" w:cs="Arial"/>
          <w:lang w:val="es-ES" w:eastAsia="es-MX"/>
        </w:rPr>
        <w:t>se</w:t>
      </w:r>
      <w:r w:rsidR="007C0CFA" w:rsidRPr="00280733">
        <w:rPr>
          <w:rFonts w:ascii="Arial" w:eastAsia="Times New Roman" w:hAnsi="Arial" w:cs="Arial"/>
          <w:lang w:val="es-ES" w:eastAsia="es-MX"/>
        </w:rPr>
        <w:t xml:space="preserve"> propone </w:t>
      </w:r>
      <w:r w:rsidR="003B4959" w:rsidRPr="00280733">
        <w:rPr>
          <w:rFonts w:ascii="Arial" w:eastAsia="Times New Roman" w:hAnsi="Arial" w:cs="Arial"/>
          <w:lang w:val="es-ES" w:eastAsia="es-MX"/>
        </w:rPr>
        <w:t>abrir muchos frentes</w:t>
      </w:r>
      <w:r w:rsidRPr="00280733">
        <w:rPr>
          <w:rFonts w:ascii="Arial" w:eastAsia="Times New Roman" w:hAnsi="Arial" w:cs="Arial"/>
          <w:lang w:val="es-ES" w:eastAsia="es-MX"/>
        </w:rPr>
        <w:t xml:space="preserve"> de trabajo simultáneos</w:t>
      </w:r>
      <w:r w:rsidR="007C0CFA" w:rsidRPr="00280733">
        <w:rPr>
          <w:rFonts w:ascii="Arial" w:eastAsia="Times New Roman" w:hAnsi="Arial" w:cs="Arial"/>
          <w:lang w:val="es-ES" w:eastAsia="es-MX"/>
        </w:rPr>
        <w:t>,</w:t>
      </w:r>
      <w:r w:rsidR="003B4959" w:rsidRPr="00280733">
        <w:rPr>
          <w:rFonts w:ascii="Arial" w:eastAsia="Times New Roman" w:hAnsi="Arial" w:cs="Arial"/>
          <w:lang w:val="es-ES" w:eastAsia="es-MX"/>
        </w:rPr>
        <w:t xml:space="preserve"> las acciones </w:t>
      </w:r>
      <w:r w:rsidR="007C0CFA" w:rsidRPr="00280733">
        <w:rPr>
          <w:rFonts w:ascii="Arial" w:eastAsia="Times New Roman" w:hAnsi="Arial" w:cs="Arial"/>
          <w:lang w:val="es-ES" w:eastAsia="es-MX"/>
        </w:rPr>
        <w:t>se organizan ent</w:t>
      </w:r>
      <w:r w:rsidR="00C875CE" w:rsidRPr="00280733">
        <w:rPr>
          <w:rFonts w:ascii="Arial" w:eastAsia="Times New Roman" w:hAnsi="Arial" w:cs="Arial"/>
          <w:lang w:val="es-ES" w:eastAsia="es-MX"/>
        </w:rPr>
        <w:t>orno</w:t>
      </w:r>
      <w:r w:rsidR="007C0CFA" w:rsidRPr="00280733">
        <w:rPr>
          <w:rFonts w:ascii="Arial" w:eastAsia="Times New Roman" w:hAnsi="Arial" w:cs="Arial"/>
          <w:lang w:val="es-ES" w:eastAsia="es-MX"/>
        </w:rPr>
        <w:t xml:space="preserve"> de un conjunto de intervenci</w:t>
      </w:r>
      <w:r w:rsidR="00C875CE" w:rsidRPr="00280733">
        <w:rPr>
          <w:rFonts w:ascii="Arial" w:eastAsia="Times New Roman" w:hAnsi="Arial" w:cs="Arial"/>
          <w:lang w:val="es-ES" w:eastAsia="es-MX"/>
        </w:rPr>
        <w:t>o</w:t>
      </w:r>
      <w:r w:rsidR="007C0CFA" w:rsidRPr="00280733">
        <w:rPr>
          <w:rFonts w:ascii="Arial" w:eastAsia="Times New Roman" w:hAnsi="Arial" w:cs="Arial"/>
          <w:lang w:val="es-ES" w:eastAsia="es-MX"/>
        </w:rPr>
        <w:t>n</w:t>
      </w:r>
      <w:r w:rsidR="00C875CE" w:rsidRPr="00280733">
        <w:rPr>
          <w:rFonts w:ascii="Arial" w:eastAsia="Times New Roman" w:hAnsi="Arial" w:cs="Arial"/>
          <w:lang w:val="es-ES" w:eastAsia="es-MX"/>
        </w:rPr>
        <w:t>es</w:t>
      </w:r>
      <w:r w:rsidR="007C0CFA" w:rsidRPr="00280733">
        <w:rPr>
          <w:rFonts w:ascii="Arial" w:eastAsia="Times New Roman" w:hAnsi="Arial" w:cs="Arial"/>
          <w:lang w:val="es-ES" w:eastAsia="es-MX"/>
        </w:rPr>
        <w:t xml:space="preserve"> relativamente simples. </w:t>
      </w:r>
    </w:p>
    <w:p w:rsidR="007C0CFA" w:rsidRPr="00280733" w:rsidRDefault="003149EA" w:rsidP="00C875CE">
      <w:pPr>
        <w:shd w:val="clear" w:color="auto" w:fill="FFFFFF"/>
        <w:spacing w:after="120" w:line="240" w:lineRule="auto"/>
        <w:jc w:val="both"/>
        <w:rPr>
          <w:rFonts w:ascii="Arial" w:eastAsia="Times New Roman" w:hAnsi="Arial" w:cs="Arial"/>
          <w:lang w:val="es-ES" w:eastAsia="es-MX"/>
        </w:rPr>
      </w:pPr>
      <w:r w:rsidRPr="00280733">
        <w:rPr>
          <w:rFonts w:ascii="Arial" w:eastAsia="Times New Roman" w:hAnsi="Arial" w:cs="Arial"/>
          <w:lang w:val="es-ES" w:eastAsia="es-MX"/>
        </w:rPr>
        <w:t>En lo referido a las obras s</w:t>
      </w:r>
      <w:r w:rsidR="007C0CFA" w:rsidRPr="00280733">
        <w:rPr>
          <w:rFonts w:ascii="Arial" w:eastAsia="Times New Roman" w:hAnsi="Arial" w:cs="Arial"/>
          <w:lang w:val="es-ES" w:eastAsia="es-MX"/>
        </w:rPr>
        <w:t>e pueden diferenciar distinto tipo de acciones.</w:t>
      </w:r>
      <w:r w:rsidR="00C875CE" w:rsidRPr="00280733">
        <w:rPr>
          <w:rFonts w:ascii="Arial" w:eastAsia="Times New Roman" w:hAnsi="Arial" w:cs="Arial"/>
          <w:lang w:val="es-ES" w:eastAsia="es-MX"/>
        </w:rPr>
        <w:t xml:space="preserve"> </w:t>
      </w:r>
      <w:r w:rsidR="007C0CFA" w:rsidRPr="00280733">
        <w:rPr>
          <w:rFonts w:ascii="Arial" w:eastAsia="Times New Roman" w:hAnsi="Arial" w:cs="Arial"/>
          <w:lang w:val="es-ES" w:eastAsia="es-MX"/>
        </w:rPr>
        <w:t>Las primeras son obras: algunas sobre el espacio público, otras sobre edificios monumentales y de muchas obras pequeñas rehabilitación de vivienda</w:t>
      </w:r>
      <w:r w:rsidR="00C875CE" w:rsidRPr="00280733">
        <w:rPr>
          <w:rFonts w:ascii="Arial" w:eastAsia="Times New Roman" w:hAnsi="Arial" w:cs="Arial"/>
          <w:lang w:val="es-ES" w:eastAsia="es-MX"/>
        </w:rPr>
        <w:t>;</w:t>
      </w:r>
    </w:p>
    <w:p w:rsidR="007C0CFA" w:rsidRPr="00280733" w:rsidRDefault="007C0CFA" w:rsidP="00C875CE">
      <w:pPr>
        <w:numPr>
          <w:ilvl w:val="0"/>
          <w:numId w:val="2"/>
        </w:numPr>
        <w:shd w:val="clear" w:color="auto" w:fill="FFFFFF"/>
        <w:spacing w:after="120" w:line="240" w:lineRule="auto"/>
        <w:jc w:val="both"/>
        <w:rPr>
          <w:rFonts w:ascii="Arial" w:eastAsia="Times New Roman" w:hAnsi="Arial" w:cs="Arial"/>
          <w:lang w:val="es-ES" w:eastAsia="es-MX"/>
        </w:rPr>
      </w:pPr>
      <w:r w:rsidRPr="00280733">
        <w:rPr>
          <w:rFonts w:ascii="Arial" w:eastAsia="Times New Roman" w:hAnsi="Arial" w:cs="Arial"/>
          <w:lang w:val="es-ES" w:eastAsia="es-MX"/>
        </w:rPr>
        <w:t>Las intervenciones sobre espacio público diferencias tres tipos de calles</w:t>
      </w:r>
      <w:r w:rsidR="00C30E2C" w:rsidRPr="00280733">
        <w:rPr>
          <w:rFonts w:ascii="Arial" w:eastAsia="Times New Roman" w:hAnsi="Arial" w:cs="Arial"/>
          <w:lang w:val="es-ES" w:eastAsia="es-MX"/>
        </w:rPr>
        <w:t xml:space="preserve"> priorizadas</w:t>
      </w:r>
      <w:r w:rsidRPr="00280733">
        <w:rPr>
          <w:rFonts w:ascii="Arial" w:eastAsia="Times New Roman" w:hAnsi="Arial" w:cs="Arial"/>
          <w:lang w:val="es-ES" w:eastAsia="es-MX"/>
        </w:rPr>
        <w:t xml:space="preserve"> con estándares diferentes (</w:t>
      </w:r>
      <w:r w:rsidR="00C30E2C" w:rsidRPr="00280733">
        <w:rPr>
          <w:rFonts w:ascii="Arial" w:eastAsia="Times New Roman" w:hAnsi="Arial" w:cs="Arial"/>
          <w:lang w:val="es-ES" w:eastAsia="es-MX"/>
        </w:rPr>
        <w:t xml:space="preserve">calles </w:t>
      </w:r>
      <w:r w:rsidRPr="00280733">
        <w:rPr>
          <w:rFonts w:ascii="Arial" w:eastAsia="Times New Roman" w:hAnsi="Arial" w:cs="Arial"/>
          <w:lang w:val="es-ES" w:eastAsia="es-MX"/>
        </w:rPr>
        <w:t>A</w:t>
      </w:r>
      <w:r w:rsidR="00C875CE" w:rsidRPr="00280733">
        <w:rPr>
          <w:rFonts w:ascii="Arial" w:eastAsia="Times New Roman" w:hAnsi="Arial" w:cs="Arial"/>
          <w:lang w:val="es-ES" w:eastAsia="es-MX"/>
        </w:rPr>
        <w:t xml:space="preserve"> </w:t>
      </w:r>
      <w:r w:rsidR="00C30E2C" w:rsidRPr="00280733">
        <w:rPr>
          <w:rFonts w:ascii="Arial" w:eastAsia="Times New Roman" w:hAnsi="Arial" w:cs="Arial"/>
          <w:lang w:val="es-ES" w:eastAsia="es-MX"/>
        </w:rPr>
        <w:t>1000m</w:t>
      </w:r>
      <w:r w:rsidRPr="00280733">
        <w:rPr>
          <w:rFonts w:ascii="Arial" w:eastAsia="Times New Roman" w:hAnsi="Arial" w:cs="Arial"/>
          <w:lang w:val="es-ES" w:eastAsia="es-MX"/>
        </w:rPr>
        <w:t xml:space="preserve">; </w:t>
      </w:r>
      <w:r w:rsidR="00C30E2C" w:rsidRPr="00280733">
        <w:rPr>
          <w:rFonts w:ascii="Arial" w:eastAsia="Times New Roman" w:hAnsi="Arial" w:cs="Arial"/>
          <w:lang w:val="es-ES" w:eastAsia="es-MX"/>
        </w:rPr>
        <w:t xml:space="preserve">calles </w:t>
      </w:r>
      <w:r w:rsidRPr="00280733">
        <w:rPr>
          <w:rFonts w:ascii="Arial" w:eastAsia="Times New Roman" w:hAnsi="Arial" w:cs="Arial"/>
          <w:lang w:val="es-ES" w:eastAsia="es-MX"/>
        </w:rPr>
        <w:t>B</w:t>
      </w:r>
      <w:r w:rsidR="00C30E2C" w:rsidRPr="00280733">
        <w:rPr>
          <w:rFonts w:ascii="Arial" w:eastAsia="Times New Roman" w:hAnsi="Arial" w:cs="Arial"/>
          <w:lang w:val="es-ES" w:eastAsia="es-MX"/>
        </w:rPr>
        <w:t xml:space="preserve"> 2030m</w:t>
      </w:r>
      <w:r w:rsidRPr="00280733">
        <w:rPr>
          <w:rFonts w:ascii="Arial" w:eastAsia="Times New Roman" w:hAnsi="Arial" w:cs="Arial"/>
          <w:lang w:val="es-ES" w:eastAsia="es-MX"/>
        </w:rPr>
        <w:t xml:space="preserve"> y </w:t>
      </w:r>
      <w:r w:rsidR="00C30E2C" w:rsidRPr="00280733">
        <w:rPr>
          <w:rFonts w:ascii="Arial" w:eastAsia="Times New Roman" w:hAnsi="Arial" w:cs="Arial"/>
          <w:lang w:val="es-ES" w:eastAsia="es-MX"/>
        </w:rPr>
        <w:t xml:space="preserve">calles </w:t>
      </w:r>
      <w:r w:rsidRPr="00280733">
        <w:rPr>
          <w:rFonts w:ascii="Arial" w:eastAsia="Times New Roman" w:hAnsi="Arial" w:cs="Arial"/>
          <w:lang w:val="es-ES" w:eastAsia="es-MX"/>
        </w:rPr>
        <w:t>C</w:t>
      </w:r>
      <w:r w:rsidR="00C30E2C" w:rsidRPr="00280733">
        <w:rPr>
          <w:rFonts w:ascii="Arial" w:eastAsia="Times New Roman" w:hAnsi="Arial" w:cs="Arial"/>
          <w:lang w:val="es-ES" w:eastAsia="es-MX"/>
        </w:rPr>
        <w:t xml:space="preserve"> 3.400m</w:t>
      </w:r>
      <w:r w:rsidRPr="00280733">
        <w:rPr>
          <w:rFonts w:ascii="Arial" w:eastAsia="Times New Roman" w:hAnsi="Arial" w:cs="Arial"/>
          <w:lang w:val="es-ES" w:eastAsia="es-MX"/>
        </w:rPr>
        <w:t xml:space="preserve">) y algunas plazas y parques. </w:t>
      </w:r>
    </w:p>
    <w:p w:rsidR="007C0CFA" w:rsidRPr="00280733" w:rsidRDefault="007C0CFA" w:rsidP="00C875CE">
      <w:pPr>
        <w:numPr>
          <w:ilvl w:val="0"/>
          <w:numId w:val="2"/>
        </w:numPr>
        <w:shd w:val="clear" w:color="auto" w:fill="FFFFFF"/>
        <w:spacing w:after="120" w:line="240" w:lineRule="auto"/>
        <w:jc w:val="both"/>
        <w:rPr>
          <w:rFonts w:ascii="Arial" w:eastAsia="Times New Roman" w:hAnsi="Arial" w:cs="Arial"/>
          <w:lang w:val="es-ES" w:eastAsia="es-MX"/>
        </w:rPr>
      </w:pPr>
      <w:r w:rsidRPr="00280733">
        <w:rPr>
          <w:rFonts w:ascii="Arial" w:eastAsia="Times New Roman" w:hAnsi="Arial" w:cs="Arial"/>
          <w:lang w:val="es-ES" w:eastAsia="es-MX"/>
        </w:rPr>
        <w:t xml:space="preserve">Respecto de los edificios se priorizan las ruinas de San Francisco, el Mercado (de arquitectura racionalista) y algunas intervenciones de mejoramiento en museos y edificios catalogados. </w:t>
      </w:r>
    </w:p>
    <w:p w:rsidR="007C0CFA" w:rsidRPr="00280733" w:rsidRDefault="007C0CFA" w:rsidP="00C875CE">
      <w:pPr>
        <w:numPr>
          <w:ilvl w:val="0"/>
          <w:numId w:val="2"/>
        </w:numPr>
        <w:shd w:val="clear" w:color="auto" w:fill="FFFFFF"/>
        <w:spacing w:after="120" w:line="240" w:lineRule="auto"/>
        <w:jc w:val="both"/>
        <w:rPr>
          <w:rFonts w:ascii="Arial" w:eastAsia="Times New Roman" w:hAnsi="Arial" w:cs="Arial"/>
          <w:lang w:val="es-ES" w:eastAsia="es-MX"/>
        </w:rPr>
      </w:pPr>
      <w:r w:rsidRPr="00280733">
        <w:rPr>
          <w:rFonts w:ascii="Arial" w:eastAsia="Times New Roman" w:hAnsi="Arial" w:cs="Arial"/>
          <w:lang w:val="es-ES" w:eastAsia="es-MX"/>
        </w:rPr>
        <w:t>Las intervenciones sobre viviendas. Se diferencia dos líneas de trabajo: La primera</w:t>
      </w:r>
      <w:r w:rsidR="00C875CE" w:rsidRPr="00280733">
        <w:rPr>
          <w:rFonts w:ascii="Arial" w:eastAsia="Times New Roman" w:hAnsi="Arial" w:cs="Arial"/>
          <w:lang w:val="es-ES" w:eastAsia="es-MX"/>
        </w:rPr>
        <w:t>,</w:t>
      </w:r>
      <w:r w:rsidRPr="00280733">
        <w:rPr>
          <w:rFonts w:ascii="Arial" w:eastAsia="Times New Roman" w:hAnsi="Arial" w:cs="Arial"/>
          <w:lang w:val="es-ES" w:eastAsia="es-MX"/>
        </w:rPr>
        <w:t xml:space="preserve"> se dirige a promover que los propietarios (o potenciales inversores) remodelen edificios deteriorados para ingresarlos como una nueva oferta en el mercado de bienes raíces (atraer población). </w:t>
      </w:r>
      <w:r w:rsidR="00C875CE" w:rsidRPr="00280733">
        <w:rPr>
          <w:rFonts w:ascii="Arial" w:eastAsia="Times New Roman" w:hAnsi="Arial" w:cs="Arial"/>
          <w:lang w:val="es-ES" w:eastAsia="es-MX"/>
        </w:rPr>
        <w:t>D</w:t>
      </w:r>
      <w:r w:rsidRPr="00280733">
        <w:rPr>
          <w:rFonts w:ascii="Arial" w:eastAsia="Times New Roman" w:hAnsi="Arial" w:cs="Arial"/>
          <w:lang w:val="es-ES" w:eastAsia="es-MX"/>
        </w:rPr>
        <w:t>entro de esta línea</w:t>
      </w:r>
      <w:r w:rsidR="00C875CE" w:rsidRPr="00280733">
        <w:rPr>
          <w:rFonts w:ascii="Arial" w:eastAsia="Times New Roman" w:hAnsi="Arial" w:cs="Arial"/>
          <w:lang w:val="es-ES" w:eastAsia="es-MX"/>
        </w:rPr>
        <w:t>,</w:t>
      </w:r>
      <w:r w:rsidRPr="00280733">
        <w:rPr>
          <w:rFonts w:ascii="Arial" w:eastAsia="Times New Roman" w:hAnsi="Arial" w:cs="Arial"/>
          <w:lang w:val="es-ES" w:eastAsia="es-MX"/>
        </w:rPr>
        <w:t xml:space="preserve"> se propone mejorar las condiciones de los locales existentes y estimular el acondicionamiento de locales, de diferentes características, para promover la radicación de nuevos comercios o servicios; La otra línea promueve consolidar la permanencia de los sectores de menores ingresos de la población actual (sobre todo de algunos barrios) promoviendo la mejora de las formas de tenencia y el mejoramiento de sus actuales viviendas, que presentan serias falencias. El objetivo debería ser convertir viviendas precarias (deficitarias  de acuerdo a los atributos que define el censo de población y viv</w:t>
      </w:r>
      <w:r w:rsidR="003B4959" w:rsidRPr="00280733">
        <w:rPr>
          <w:rFonts w:ascii="Arial" w:eastAsia="Times New Roman" w:hAnsi="Arial" w:cs="Arial"/>
          <w:lang w:val="es-ES" w:eastAsia="es-MX"/>
        </w:rPr>
        <w:t>ienda)  en viviendas adecuadas. En los hechos, en una primera etapa las metas serán más modestas (200 intervenciones) pero se consideran el inicio de una tendencia de mejoramiento de lo existente, que con el tiempo puede abarcar a la totalidad.</w:t>
      </w:r>
    </w:p>
    <w:p w:rsidR="00C875CE" w:rsidRPr="00280733" w:rsidRDefault="00C875CE" w:rsidP="00C875CE">
      <w:pPr>
        <w:spacing w:after="120" w:line="240" w:lineRule="auto"/>
        <w:rPr>
          <w:rFonts w:ascii="Arial" w:eastAsia="Times New Roman" w:hAnsi="Arial" w:cs="Arial"/>
          <w:lang w:val="es-ES" w:eastAsia="es-MX"/>
        </w:rPr>
      </w:pPr>
    </w:p>
    <w:p w:rsidR="007C0CFA" w:rsidRPr="00280733" w:rsidRDefault="00C875CE" w:rsidP="00280733">
      <w:pPr>
        <w:spacing w:after="120" w:line="240" w:lineRule="auto"/>
        <w:rPr>
          <w:rFonts w:ascii="Arial" w:eastAsia="Times New Roman" w:hAnsi="Arial" w:cs="Arial"/>
          <w:b/>
          <w:color w:val="4F81BD" w:themeColor="accent1"/>
          <w:lang w:val="es-ES" w:eastAsia="es-MX"/>
        </w:rPr>
      </w:pPr>
      <w:r w:rsidRPr="00280733">
        <w:rPr>
          <w:rFonts w:ascii="Arial" w:eastAsia="Times New Roman" w:hAnsi="Arial" w:cs="Arial"/>
          <w:b/>
          <w:color w:val="4F81BD" w:themeColor="accent1"/>
          <w:lang w:val="es-ES" w:eastAsia="es-MX"/>
        </w:rPr>
        <w:t>Intervenciones sobre espacio público</w:t>
      </w:r>
    </w:p>
    <w:p w:rsidR="003149EA" w:rsidRPr="00280733" w:rsidRDefault="007C0CFA"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 xml:space="preserve">Respecto del primer punto </w:t>
      </w:r>
      <w:r w:rsidR="00030738" w:rsidRPr="00280733">
        <w:rPr>
          <w:rFonts w:ascii="Arial" w:eastAsia="Times New Roman" w:hAnsi="Arial" w:cs="Arial"/>
          <w:color w:val="222222"/>
          <w:lang w:val="es-ES" w:eastAsia="es-MX"/>
        </w:rPr>
        <w:t>(las obras sobre el espacio Público)</w:t>
      </w:r>
      <w:r w:rsidR="00C875CE" w:rsidRPr="00280733">
        <w:rPr>
          <w:rFonts w:ascii="Arial" w:eastAsia="Times New Roman" w:hAnsi="Arial" w:cs="Arial"/>
          <w:color w:val="222222"/>
          <w:lang w:val="es-ES" w:eastAsia="es-MX"/>
        </w:rPr>
        <w:t>,</w:t>
      </w:r>
      <w:r w:rsidR="00030738" w:rsidRPr="00280733">
        <w:rPr>
          <w:rFonts w:ascii="Arial" w:eastAsia="Times New Roman" w:hAnsi="Arial" w:cs="Arial"/>
          <w:color w:val="222222"/>
          <w:lang w:val="es-ES" w:eastAsia="es-MX"/>
        </w:rPr>
        <w:t xml:space="preserve"> </w:t>
      </w:r>
      <w:r w:rsidRPr="00280733">
        <w:rPr>
          <w:rFonts w:ascii="Arial" w:eastAsia="Times New Roman" w:hAnsi="Arial" w:cs="Arial"/>
          <w:color w:val="222222"/>
          <w:lang w:val="es-ES" w:eastAsia="es-MX"/>
        </w:rPr>
        <w:t xml:space="preserve">se corre el riesgo que las miradas sectoriales tengan dificultad para  reconstruir la integralidad de cada intervención. El tratamiento de las calles </w:t>
      </w:r>
      <w:r w:rsidR="003149EA" w:rsidRPr="00280733">
        <w:rPr>
          <w:rFonts w:ascii="Arial" w:eastAsia="Times New Roman" w:hAnsi="Arial" w:cs="Arial"/>
          <w:color w:val="222222"/>
          <w:lang w:val="es-ES" w:eastAsia="es-MX"/>
        </w:rPr>
        <w:t xml:space="preserve">tiene como primera aproximación comprender lo que pasa en el </w:t>
      </w:r>
      <w:r w:rsidR="0053669C" w:rsidRPr="00280733">
        <w:rPr>
          <w:rFonts w:ascii="Arial" w:eastAsia="Times New Roman" w:hAnsi="Arial" w:cs="Arial"/>
          <w:color w:val="222222"/>
          <w:lang w:val="es-ES" w:eastAsia="es-MX"/>
        </w:rPr>
        <w:t>subsuelo, y por lo tanto</w:t>
      </w:r>
      <w:r w:rsidR="003149EA" w:rsidRPr="00280733">
        <w:rPr>
          <w:rFonts w:ascii="Arial" w:eastAsia="Times New Roman" w:hAnsi="Arial" w:cs="Arial"/>
          <w:color w:val="222222"/>
          <w:lang w:val="es-ES" w:eastAsia="es-MX"/>
        </w:rPr>
        <w:t xml:space="preserve"> el análisis de todo lo referido el conocimiento y manejo de</w:t>
      </w:r>
      <w:r w:rsidRPr="00280733">
        <w:rPr>
          <w:rFonts w:ascii="Arial" w:eastAsia="Times New Roman" w:hAnsi="Arial" w:cs="Arial"/>
          <w:color w:val="222222"/>
          <w:lang w:val="es-ES" w:eastAsia="es-MX"/>
        </w:rPr>
        <w:t xml:space="preserve"> las redes de infraestructura</w:t>
      </w:r>
      <w:r w:rsidR="00C875CE" w:rsidRPr="00280733">
        <w:rPr>
          <w:rFonts w:ascii="Arial" w:eastAsia="Times New Roman" w:hAnsi="Arial" w:cs="Arial"/>
          <w:color w:val="222222"/>
          <w:lang w:val="es-ES" w:eastAsia="es-MX"/>
        </w:rPr>
        <w:t>.</w:t>
      </w:r>
      <w:r w:rsidRPr="00280733">
        <w:rPr>
          <w:rFonts w:ascii="Arial" w:eastAsia="Times New Roman" w:hAnsi="Arial" w:cs="Arial"/>
          <w:color w:val="222222"/>
          <w:lang w:val="es-ES" w:eastAsia="es-MX"/>
        </w:rPr>
        <w:t xml:space="preserve"> Es necesario relevarlas y conformar una documentación gráfica de lo que sucede en el subsuelo, que dé cuenta de su estado actual y de las modificaciones que se proponen.</w:t>
      </w:r>
    </w:p>
    <w:p w:rsidR="007C0CFA" w:rsidRPr="00280733" w:rsidRDefault="007C0CFA"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 xml:space="preserve"> A nivel del suelo </w:t>
      </w:r>
      <w:r w:rsidR="003149EA" w:rsidRPr="00280733">
        <w:rPr>
          <w:rFonts w:ascii="Arial" w:eastAsia="Times New Roman" w:hAnsi="Arial" w:cs="Arial"/>
          <w:color w:val="222222"/>
          <w:lang w:val="es-ES" w:eastAsia="es-MX"/>
        </w:rPr>
        <w:t xml:space="preserve">(nivel 0.00) </w:t>
      </w:r>
      <w:r w:rsidRPr="00280733">
        <w:rPr>
          <w:rFonts w:ascii="Arial" w:eastAsia="Times New Roman" w:hAnsi="Arial" w:cs="Arial"/>
          <w:color w:val="222222"/>
          <w:lang w:val="es-ES" w:eastAsia="es-MX"/>
        </w:rPr>
        <w:t xml:space="preserve">también hay muchas decisiones que tomar. La propuesta de un plan de movilidad y otro de recolección de residuos, servirán de base para definir los </w:t>
      </w:r>
      <w:r w:rsidRPr="00280733">
        <w:rPr>
          <w:rFonts w:ascii="Arial" w:eastAsia="Times New Roman" w:hAnsi="Arial" w:cs="Arial"/>
          <w:color w:val="222222"/>
          <w:lang w:val="es-ES" w:eastAsia="es-MX"/>
        </w:rPr>
        <w:lastRenderedPageBreak/>
        <w:t xml:space="preserve">límites entre </w:t>
      </w:r>
      <w:r w:rsidR="0053669C" w:rsidRPr="00280733">
        <w:rPr>
          <w:rFonts w:ascii="Arial" w:eastAsia="Times New Roman" w:hAnsi="Arial" w:cs="Arial"/>
          <w:color w:val="222222"/>
          <w:lang w:val="es-ES" w:eastAsia="es-MX"/>
        </w:rPr>
        <w:t xml:space="preserve">aceras </w:t>
      </w:r>
      <w:r w:rsidRPr="00280733">
        <w:rPr>
          <w:rFonts w:ascii="Arial" w:eastAsia="Times New Roman" w:hAnsi="Arial" w:cs="Arial"/>
          <w:color w:val="222222"/>
          <w:lang w:val="es-ES" w:eastAsia="es-MX"/>
        </w:rPr>
        <w:t xml:space="preserve">y calles, zonas de detención y estacionamiento, carga y descarga, cruces peatonales, así como la definición del tipo de cordón, criterios de solución de problemas de accesibilidad, tipo de bolardos,  escurrimiento de las aguas, tipos de solado (pavimentos, empedrado, baldosas, etc.) incluyendo los criterios de limpieza que corresponden con  sus características etc. </w:t>
      </w:r>
    </w:p>
    <w:p w:rsidR="007C0CFA" w:rsidRPr="00280733" w:rsidRDefault="007C0CFA"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 xml:space="preserve">Si se toma la calle como un espacio tridimensional, también requiere de un proyecto </w:t>
      </w:r>
      <w:r w:rsidR="0053669C" w:rsidRPr="00280733">
        <w:rPr>
          <w:rFonts w:ascii="Arial" w:eastAsia="Times New Roman" w:hAnsi="Arial" w:cs="Arial"/>
          <w:color w:val="222222"/>
          <w:lang w:val="es-ES" w:eastAsia="es-MX"/>
        </w:rPr>
        <w:t>el</w:t>
      </w:r>
      <w:r w:rsidRPr="00280733">
        <w:rPr>
          <w:rFonts w:ascii="Arial" w:eastAsia="Times New Roman" w:hAnsi="Arial" w:cs="Arial"/>
          <w:color w:val="222222"/>
          <w:lang w:val="es-ES" w:eastAsia="es-MX"/>
        </w:rPr>
        <w:t xml:space="preserve"> tratamiento de fachadas, mobiliario urbano, arbolado, car</w:t>
      </w:r>
      <w:r w:rsidR="003B4959" w:rsidRPr="00280733">
        <w:rPr>
          <w:rFonts w:ascii="Arial" w:eastAsia="Times New Roman" w:hAnsi="Arial" w:cs="Arial"/>
          <w:color w:val="222222"/>
          <w:lang w:val="es-ES" w:eastAsia="es-MX"/>
        </w:rPr>
        <w:t>t</w:t>
      </w:r>
      <w:r w:rsidRPr="00280733">
        <w:rPr>
          <w:rFonts w:ascii="Arial" w:eastAsia="Times New Roman" w:hAnsi="Arial" w:cs="Arial"/>
          <w:color w:val="222222"/>
          <w:lang w:val="es-ES" w:eastAsia="es-MX"/>
        </w:rPr>
        <w:t>elería</w:t>
      </w:r>
      <w:r w:rsidR="003B4959" w:rsidRPr="00280733">
        <w:rPr>
          <w:rFonts w:ascii="Arial" w:eastAsia="Times New Roman" w:hAnsi="Arial" w:cs="Arial"/>
          <w:color w:val="222222"/>
          <w:lang w:val="es-ES" w:eastAsia="es-MX"/>
        </w:rPr>
        <w:t xml:space="preserve"> y publicidad</w:t>
      </w:r>
      <w:r w:rsidRPr="00280733">
        <w:rPr>
          <w:rFonts w:ascii="Arial" w:eastAsia="Times New Roman" w:hAnsi="Arial" w:cs="Arial"/>
          <w:color w:val="222222"/>
          <w:lang w:val="es-ES" w:eastAsia="es-MX"/>
        </w:rPr>
        <w:t>, artefactos de iluminación, colocación de cámaras y otros artefactos de seguridad, y fundamentalmente el problema de los cables y los postes que los sostienen.</w:t>
      </w:r>
    </w:p>
    <w:p w:rsidR="00C875CE" w:rsidRPr="00280733" w:rsidRDefault="007C0CFA"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Todos estos elementos tienen que estar pensados, ordenados en el marco de una geometría del trazado que organice su disposición. L</w:t>
      </w:r>
      <w:r w:rsidR="003B4959" w:rsidRPr="00280733">
        <w:rPr>
          <w:rFonts w:ascii="Arial" w:eastAsia="Times New Roman" w:hAnsi="Arial" w:cs="Arial"/>
          <w:color w:val="222222"/>
          <w:lang w:val="es-ES" w:eastAsia="es-MX"/>
        </w:rPr>
        <w:t>a</w:t>
      </w:r>
      <w:r w:rsidRPr="00280733">
        <w:rPr>
          <w:rFonts w:ascii="Arial" w:eastAsia="Times New Roman" w:hAnsi="Arial" w:cs="Arial"/>
          <w:color w:val="222222"/>
          <w:lang w:val="es-ES" w:eastAsia="es-MX"/>
        </w:rPr>
        <w:t xml:space="preserve"> modulación del solado suele ser el elemento ordenador de esta geometría, como las juntas de dilatación (que tiene medidas fijas) o la proyección de las líneas medianeras que fraccionan las fachadas (criterio usado en ciudad vieja de Montevideo). </w:t>
      </w:r>
    </w:p>
    <w:p w:rsidR="007C0CFA" w:rsidRPr="00280733" w:rsidRDefault="007C0CFA"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Los ejemplos de trabajos bien hechos son numerosos, pero exigen ser pensados cuidadosamente en la etapa de proyecto. No pueden ser dejados en manos de la cuadrilla que realiza los trabajos, ni de la empresa constructora que los contrata.</w:t>
      </w:r>
    </w:p>
    <w:p w:rsidR="007C0CFA" w:rsidRPr="00280733" w:rsidRDefault="0053669C"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L</w:t>
      </w:r>
      <w:r w:rsidR="007C0CFA" w:rsidRPr="00280733">
        <w:rPr>
          <w:rFonts w:ascii="Arial" w:eastAsia="Times New Roman" w:hAnsi="Arial" w:cs="Arial"/>
          <w:color w:val="222222"/>
          <w:lang w:val="es-ES" w:eastAsia="es-MX"/>
        </w:rPr>
        <w:t xml:space="preserve">as buenas </w:t>
      </w:r>
      <w:r w:rsidRPr="00280733">
        <w:rPr>
          <w:rFonts w:ascii="Arial" w:eastAsia="Times New Roman" w:hAnsi="Arial" w:cs="Arial"/>
          <w:color w:val="222222"/>
          <w:lang w:val="es-ES" w:eastAsia="es-MX"/>
        </w:rPr>
        <w:t>prácticas indican que</w:t>
      </w:r>
      <w:r w:rsidR="007C0CFA" w:rsidRPr="00280733">
        <w:rPr>
          <w:rFonts w:ascii="Arial" w:eastAsia="Times New Roman" w:hAnsi="Arial" w:cs="Arial"/>
          <w:color w:val="222222"/>
          <w:lang w:val="es-ES" w:eastAsia="es-MX"/>
        </w:rPr>
        <w:t xml:space="preserve"> </w:t>
      </w:r>
      <w:r w:rsidRPr="00280733">
        <w:rPr>
          <w:rFonts w:ascii="Arial" w:eastAsia="Times New Roman" w:hAnsi="Arial" w:cs="Arial"/>
          <w:color w:val="222222"/>
          <w:lang w:val="es-ES" w:eastAsia="es-MX"/>
        </w:rPr>
        <w:t>el</w:t>
      </w:r>
      <w:r w:rsidR="007C0CFA" w:rsidRPr="00280733">
        <w:rPr>
          <w:rFonts w:ascii="Arial" w:eastAsia="Times New Roman" w:hAnsi="Arial" w:cs="Arial"/>
          <w:color w:val="222222"/>
          <w:lang w:val="es-ES" w:eastAsia="es-MX"/>
        </w:rPr>
        <w:t xml:space="preserve"> proyecto y</w:t>
      </w:r>
      <w:r w:rsidRPr="00280733">
        <w:rPr>
          <w:rFonts w:ascii="Arial" w:eastAsia="Times New Roman" w:hAnsi="Arial" w:cs="Arial"/>
          <w:color w:val="222222"/>
          <w:lang w:val="es-ES" w:eastAsia="es-MX"/>
        </w:rPr>
        <w:t xml:space="preserve"> la</w:t>
      </w:r>
      <w:r w:rsidR="007C0CFA" w:rsidRPr="00280733">
        <w:rPr>
          <w:rFonts w:ascii="Arial" w:eastAsia="Times New Roman" w:hAnsi="Arial" w:cs="Arial"/>
          <w:color w:val="222222"/>
          <w:lang w:val="es-ES" w:eastAsia="es-MX"/>
        </w:rPr>
        <w:t xml:space="preserve"> documentación </w:t>
      </w:r>
      <w:r w:rsidR="003B4959" w:rsidRPr="00280733">
        <w:rPr>
          <w:rFonts w:ascii="Arial" w:eastAsia="Times New Roman" w:hAnsi="Arial" w:cs="Arial"/>
          <w:color w:val="222222"/>
          <w:lang w:val="es-ES" w:eastAsia="es-MX"/>
        </w:rPr>
        <w:t>de obra debería</w:t>
      </w:r>
      <w:r w:rsidRPr="00280733">
        <w:rPr>
          <w:rFonts w:ascii="Arial" w:eastAsia="Times New Roman" w:hAnsi="Arial" w:cs="Arial"/>
          <w:color w:val="222222"/>
          <w:lang w:val="es-ES" w:eastAsia="es-MX"/>
        </w:rPr>
        <w:t>n</w:t>
      </w:r>
      <w:r w:rsidR="003B4959" w:rsidRPr="00280733">
        <w:rPr>
          <w:rFonts w:ascii="Arial" w:eastAsia="Times New Roman" w:hAnsi="Arial" w:cs="Arial"/>
          <w:color w:val="222222"/>
          <w:lang w:val="es-ES" w:eastAsia="es-MX"/>
        </w:rPr>
        <w:t xml:space="preserve"> encararse durante la etapa de </w:t>
      </w:r>
      <w:r w:rsidR="00280733" w:rsidRPr="00280733">
        <w:rPr>
          <w:rFonts w:ascii="Arial" w:eastAsia="Times New Roman" w:hAnsi="Arial" w:cs="Arial"/>
          <w:color w:val="222222"/>
          <w:lang w:val="es-ES" w:eastAsia="es-MX"/>
        </w:rPr>
        <w:t>pre</w:t>
      </w:r>
      <w:r w:rsidR="00280733">
        <w:rPr>
          <w:rFonts w:ascii="Arial" w:eastAsia="Times New Roman" w:hAnsi="Arial" w:cs="Arial"/>
          <w:color w:val="222222"/>
          <w:lang w:val="es-ES" w:eastAsia="es-MX"/>
        </w:rPr>
        <w:t xml:space="preserve"> </w:t>
      </w:r>
      <w:r w:rsidR="00280733" w:rsidRPr="00280733">
        <w:rPr>
          <w:rFonts w:ascii="Arial" w:eastAsia="Times New Roman" w:hAnsi="Arial" w:cs="Arial"/>
          <w:color w:val="222222"/>
          <w:lang w:val="es-ES" w:eastAsia="es-MX"/>
        </w:rPr>
        <w:t>inversión</w:t>
      </w:r>
      <w:r w:rsidR="003B4959" w:rsidRPr="00280733">
        <w:rPr>
          <w:rFonts w:ascii="Arial" w:eastAsia="Times New Roman" w:hAnsi="Arial" w:cs="Arial"/>
          <w:color w:val="222222"/>
          <w:lang w:val="es-ES" w:eastAsia="es-MX"/>
        </w:rPr>
        <w:t xml:space="preserve">. Se trata de producir una documentación </w:t>
      </w:r>
      <w:r w:rsidR="001E7163" w:rsidRPr="00280733">
        <w:rPr>
          <w:rFonts w:ascii="Arial" w:eastAsia="Times New Roman" w:hAnsi="Arial" w:cs="Arial"/>
          <w:color w:val="222222"/>
          <w:lang w:val="es-ES" w:eastAsia="es-MX"/>
        </w:rPr>
        <w:t>técnica</w:t>
      </w:r>
      <w:r w:rsidR="003B4959" w:rsidRPr="00280733">
        <w:rPr>
          <w:rFonts w:ascii="Arial" w:eastAsia="Times New Roman" w:hAnsi="Arial" w:cs="Arial"/>
          <w:color w:val="222222"/>
          <w:lang w:val="es-ES" w:eastAsia="es-MX"/>
        </w:rPr>
        <w:t xml:space="preserve"> </w:t>
      </w:r>
      <w:r w:rsidR="007C0CFA" w:rsidRPr="00280733">
        <w:rPr>
          <w:rFonts w:ascii="Arial" w:eastAsia="Times New Roman" w:hAnsi="Arial" w:cs="Arial"/>
          <w:color w:val="222222"/>
          <w:lang w:val="es-ES" w:eastAsia="es-MX"/>
        </w:rPr>
        <w:t>que dé cuenta de la posición actual de las infraestructuras (de acuerdo con las referencias</w:t>
      </w:r>
      <w:r w:rsidR="001E7163" w:rsidRPr="00280733">
        <w:rPr>
          <w:rFonts w:ascii="Arial" w:eastAsia="Times New Roman" w:hAnsi="Arial" w:cs="Arial"/>
          <w:color w:val="222222"/>
          <w:lang w:val="es-ES" w:eastAsia="es-MX"/>
        </w:rPr>
        <w:t xml:space="preserve"> (</w:t>
      </w:r>
      <w:r w:rsidR="007C0CFA" w:rsidRPr="00280733">
        <w:rPr>
          <w:rFonts w:ascii="Arial" w:eastAsia="Times New Roman" w:hAnsi="Arial" w:cs="Arial"/>
          <w:color w:val="222222"/>
          <w:lang w:val="es-ES" w:eastAsia="es-MX"/>
        </w:rPr>
        <w:t>o sospechas</w:t>
      </w:r>
      <w:r w:rsidR="001E7163" w:rsidRPr="00280733">
        <w:rPr>
          <w:rFonts w:ascii="Arial" w:eastAsia="Times New Roman" w:hAnsi="Arial" w:cs="Arial"/>
          <w:color w:val="222222"/>
          <w:lang w:val="es-ES" w:eastAsia="es-MX"/>
        </w:rPr>
        <w:t>)</w:t>
      </w:r>
      <w:r w:rsidR="007C0CFA" w:rsidRPr="00280733">
        <w:rPr>
          <w:rFonts w:ascii="Arial" w:eastAsia="Times New Roman" w:hAnsi="Arial" w:cs="Arial"/>
          <w:color w:val="222222"/>
          <w:lang w:val="es-ES" w:eastAsia="es-MX"/>
        </w:rPr>
        <w:t xml:space="preserve"> que se tengan de su posición</w:t>
      </w:r>
      <w:r w:rsidR="007C0CFA" w:rsidRPr="00280733">
        <w:rPr>
          <w:rStyle w:val="FootnoteReference"/>
          <w:rFonts w:ascii="Arial" w:eastAsia="Times New Roman" w:hAnsi="Arial" w:cs="Arial"/>
          <w:color w:val="222222"/>
          <w:lang w:val="es-ES" w:eastAsia="es-MX"/>
        </w:rPr>
        <w:footnoteReference w:id="1"/>
      </w:r>
      <w:r w:rsidR="007C0CFA" w:rsidRPr="00280733">
        <w:rPr>
          <w:rFonts w:ascii="Arial" w:eastAsia="Times New Roman" w:hAnsi="Arial" w:cs="Arial"/>
          <w:color w:val="222222"/>
          <w:lang w:val="es-ES" w:eastAsia="es-MX"/>
        </w:rPr>
        <w:t>. Sobre esta base deben desarrollarse los planos de obra correspondientes a cada intervención sectorial (energía, drenaje, telefonía, pavimentos, etc.) identificando con claridad la posición (georrefenciada) de cada red, y los planos síntesis que superpongan todas las intervenciones presentando una idea clara del resultado y permitiendo programar la realización de las obras.</w:t>
      </w:r>
      <w:r w:rsidR="00030738" w:rsidRPr="00280733">
        <w:rPr>
          <w:rFonts w:ascii="Arial" w:eastAsia="Times New Roman" w:hAnsi="Arial" w:cs="Arial"/>
          <w:color w:val="222222"/>
          <w:lang w:val="es-ES" w:eastAsia="es-MX"/>
        </w:rPr>
        <w:t xml:space="preserve"> En el nivel actual </w:t>
      </w:r>
      <w:r w:rsidR="001E7163" w:rsidRPr="00280733">
        <w:rPr>
          <w:rFonts w:ascii="Arial" w:eastAsia="Times New Roman" w:hAnsi="Arial" w:cs="Arial"/>
          <w:color w:val="222222"/>
          <w:lang w:val="es-ES" w:eastAsia="es-MX"/>
        </w:rPr>
        <w:t>para el</w:t>
      </w:r>
      <w:r w:rsidR="00030738" w:rsidRPr="00280733">
        <w:rPr>
          <w:rFonts w:ascii="Arial" w:eastAsia="Times New Roman" w:hAnsi="Arial" w:cs="Arial"/>
          <w:color w:val="222222"/>
          <w:lang w:val="es-ES" w:eastAsia="es-MX"/>
        </w:rPr>
        <w:t xml:space="preserve"> desarrollo del proyecto debe</w:t>
      </w:r>
      <w:r w:rsidR="001E7163" w:rsidRPr="00280733">
        <w:rPr>
          <w:rFonts w:ascii="Arial" w:eastAsia="Times New Roman" w:hAnsi="Arial" w:cs="Arial"/>
          <w:color w:val="222222"/>
          <w:lang w:val="es-ES" w:eastAsia="es-MX"/>
        </w:rPr>
        <w:t>n</w:t>
      </w:r>
      <w:r w:rsidR="00030738" w:rsidRPr="00280733">
        <w:rPr>
          <w:rFonts w:ascii="Arial" w:eastAsia="Times New Roman" w:hAnsi="Arial" w:cs="Arial"/>
          <w:color w:val="222222"/>
          <w:lang w:val="es-ES" w:eastAsia="es-MX"/>
        </w:rPr>
        <w:t xml:space="preserve"> solicitarse </w:t>
      </w:r>
      <w:r w:rsidR="001E7163" w:rsidRPr="00280733">
        <w:rPr>
          <w:rFonts w:ascii="Arial" w:eastAsia="Times New Roman" w:hAnsi="Arial" w:cs="Arial"/>
          <w:color w:val="222222"/>
          <w:lang w:val="es-ES" w:eastAsia="es-MX"/>
        </w:rPr>
        <w:t xml:space="preserve">insumos </w:t>
      </w:r>
      <w:r w:rsidR="00030738" w:rsidRPr="00280733">
        <w:rPr>
          <w:rFonts w:ascii="Arial" w:eastAsia="Times New Roman" w:hAnsi="Arial" w:cs="Arial"/>
          <w:color w:val="222222"/>
          <w:lang w:val="es-ES" w:eastAsia="es-MX"/>
        </w:rPr>
        <w:t xml:space="preserve">a los responsables sectoriales </w:t>
      </w:r>
      <w:r w:rsidR="001E7163" w:rsidRPr="00280733">
        <w:rPr>
          <w:rFonts w:ascii="Arial" w:eastAsia="Times New Roman" w:hAnsi="Arial" w:cs="Arial"/>
          <w:color w:val="222222"/>
          <w:lang w:val="es-ES" w:eastAsia="es-MX"/>
        </w:rPr>
        <w:t xml:space="preserve">de </w:t>
      </w:r>
      <w:r w:rsidR="00030738" w:rsidRPr="00280733">
        <w:rPr>
          <w:rFonts w:ascii="Arial" w:eastAsia="Times New Roman" w:hAnsi="Arial" w:cs="Arial"/>
          <w:color w:val="222222"/>
          <w:lang w:val="es-ES" w:eastAsia="es-MX"/>
        </w:rPr>
        <w:t xml:space="preserve">definir las estrategias de movilidad, recolección de residuos, higiene urbana, </w:t>
      </w:r>
      <w:r w:rsidR="00A02891" w:rsidRPr="00280733">
        <w:rPr>
          <w:rFonts w:ascii="Arial" w:eastAsia="Times New Roman" w:hAnsi="Arial" w:cs="Arial"/>
          <w:color w:val="222222"/>
          <w:lang w:val="es-ES" w:eastAsia="es-MX"/>
        </w:rPr>
        <w:t xml:space="preserve">accesibilidad, </w:t>
      </w:r>
      <w:r w:rsidR="00030738" w:rsidRPr="00280733">
        <w:rPr>
          <w:rFonts w:ascii="Arial" w:eastAsia="Times New Roman" w:hAnsi="Arial" w:cs="Arial"/>
          <w:color w:val="222222"/>
          <w:lang w:val="es-ES" w:eastAsia="es-MX"/>
        </w:rPr>
        <w:t>que se van a implementar</w:t>
      </w:r>
      <w:r w:rsidR="001E7163" w:rsidRPr="00280733">
        <w:rPr>
          <w:rFonts w:ascii="Arial" w:eastAsia="Times New Roman" w:hAnsi="Arial" w:cs="Arial"/>
          <w:color w:val="222222"/>
          <w:lang w:val="es-ES" w:eastAsia="es-MX"/>
        </w:rPr>
        <w:t>, y sus requerimientos en el tratamiento del espacio público</w:t>
      </w:r>
      <w:r w:rsidR="00030738" w:rsidRPr="00280733">
        <w:rPr>
          <w:rFonts w:ascii="Arial" w:eastAsia="Times New Roman" w:hAnsi="Arial" w:cs="Arial"/>
          <w:color w:val="222222"/>
          <w:lang w:val="es-ES" w:eastAsia="es-MX"/>
        </w:rPr>
        <w:t>.</w:t>
      </w:r>
      <w:r w:rsidR="00E05C45" w:rsidRPr="00280733">
        <w:rPr>
          <w:rFonts w:ascii="Arial" w:eastAsia="Times New Roman" w:hAnsi="Arial" w:cs="Arial"/>
          <w:color w:val="222222"/>
          <w:lang w:val="es-ES" w:eastAsia="es-MX"/>
        </w:rPr>
        <w:t xml:space="preserve"> </w:t>
      </w:r>
      <w:r w:rsidR="00030738" w:rsidRPr="00280733">
        <w:rPr>
          <w:rFonts w:ascii="Arial" w:eastAsia="Times New Roman" w:hAnsi="Arial" w:cs="Arial"/>
          <w:color w:val="222222"/>
          <w:lang w:val="es-ES" w:eastAsia="es-MX"/>
        </w:rPr>
        <w:t>Cobra especial interés la incorporación de información referida a las instalaciones de seguridad (colocación de cámaras)</w:t>
      </w:r>
      <w:r w:rsidR="001E7163" w:rsidRPr="00280733">
        <w:rPr>
          <w:rFonts w:ascii="Arial" w:eastAsia="Times New Roman" w:hAnsi="Arial" w:cs="Arial"/>
          <w:color w:val="222222"/>
          <w:lang w:val="es-ES" w:eastAsia="es-MX"/>
        </w:rPr>
        <w:t xml:space="preserve"> </w:t>
      </w:r>
      <w:r w:rsidR="00030738" w:rsidRPr="00280733">
        <w:rPr>
          <w:rFonts w:ascii="Arial" w:eastAsia="Times New Roman" w:hAnsi="Arial" w:cs="Arial"/>
          <w:color w:val="222222"/>
          <w:lang w:val="es-ES" w:eastAsia="es-MX"/>
        </w:rPr>
        <w:t>alumbrado, y respecto de la reubicación del cableado que es sin duda el elemento que más contamina el paisaje de ese lugar</w:t>
      </w:r>
    </w:p>
    <w:p w:rsidR="001940A4" w:rsidRPr="00280733" w:rsidRDefault="007C0CFA"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 xml:space="preserve">Como </w:t>
      </w:r>
      <w:r w:rsidR="001940A4" w:rsidRPr="00280733">
        <w:rPr>
          <w:rFonts w:ascii="Arial" w:eastAsia="Times New Roman" w:hAnsi="Arial" w:cs="Arial"/>
          <w:color w:val="222222"/>
          <w:lang w:val="es-ES" w:eastAsia="es-MX"/>
        </w:rPr>
        <w:t>producto</w:t>
      </w:r>
      <w:r w:rsidRPr="00280733">
        <w:rPr>
          <w:rFonts w:ascii="Arial" w:eastAsia="Times New Roman" w:hAnsi="Arial" w:cs="Arial"/>
          <w:color w:val="222222"/>
          <w:lang w:val="es-ES" w:eastAsia="es-MX"/>
        </w:rPr>
        <w:t xml:space="preserve"> de esta tarea </w:t>
      </w:r>
      <w:r w:rsidR="001E7163" w:rsidRPr="00280733">
        <w:rPr>
          <w:rFonts w:ascii="Arial" w:eastAsia="Times New Roman" w:hAnsi="Arial" w:cs="Arial"/>
          <w:color w:val="222222"/>
          <w:lang w:val="es-ES" w:eastAsia="es-MX"/>
        </w:rPr>
        <w:t>se contará con planos en 2D (plantas cortes y vistas) que den cuenta de la resolución del espacio público en diferentes niveles. Puede también</w:t>
      </w:r>
      <w:r w:rsidRPr="00280733">
        <w:rPr>
          <w:rFonts w:ascii="Arial" w:eastAsia="Times New Roman" w:hAnsi="Arial" w:cs="Arial"/>
          <w:color w:val="222222"/>
          <w:lang w:val="es-ES" w:eastAsia="es-MX"/>
        </w:rPr>
        <w:t xml:space="preserve"> dibujarse esta documentación en 3D configurando perspectivas (</w:t>
      </w:r>
      <w:r w:rsidRPr="00280733">
        <w:rPr>
          <w:rFonts w:ascii="Arial" w:eastAsia="Times New Roman" w:hAnsi="Arial" w:cs="Arial"/>
          <w:i/>
          <w:color w:val="222222"/>
          <w:lang w:val="es-ES" w:eastAsia="es-MX"/>
        </w:rPr>
        <w:t>renders)</w:t>
      </w:r>
      <w:r w:rsidRPr="00280733">
        <w:rPr>
          <w:rFonts w:ascii="Arial" w:eastAsia="Times New Roman" w:hAnsi="Arial" w:cs="Arial"/>
          <w:color w:val="222222"/>
          <w:lang w:val="es-ES" w:eastAsia="es-MX"/>
        </w:rPr>
        <w:t xml:space="preserve"> o maquetas visuales, en los que pueda tenerse una visión anticipada de cuál será el resultado de la intervención</w:t>
      </w:r>
      <w:r w:rsidR="006E22D5" w:rsidRPr="00280733">
        <w:rPr>
          <w:rFonts w:ascii="Arial" w:eastAsia="Times New Roman" w:hAnsi="Arial" w:cs="Arial"/>
          <w:color w:val="222222"/>
          <w:lang w:val="es-ES" w:eastAsia="es-MX"/>
        </w:rPr>
        <w:t>.</w:t>
      </w:r>
      <w:r w:rsidR="001940A4" w:rsidRPr="00280733">
        <w:rPr>
          <w:rFonts w:ascii="Arial" w:eastAsia="Times New Roman" w:hAnsi="Arial" w:cs="Arial"/>
          <w:color w:val="222222"/>
          <w:lang w:val="es-ES" w:eastAsia="es-MX"/>
        </w:rPr>
        <w:t xml:space="preserve"> Esta documentación gráfica (presentada como laminas PP o video) permitirá a funcionarios y vecinos comprender como va a quedar cada calle (parque o plaza)</w:t>
      </w:r>
      <w:r w:rsidR="001E7163" w:rsidRPr="00280733">
        <w:rPr>
          <w:rFonts w:ascii="Arial" w:eastAsia="Times New Roman" w:hAnsi="Arial" w:cs="Arial"/>
          <w:color w:val="222222"/>
          <w:lang w:val="es-ES" w:eastAsia="es-MX"/>
        </w:rPr>
        <w:t>,</w:t>
      </w:r>
      <w:r w:rsidR="001940A4" w:rsidRPr="00280733">
        <w:rPr>
          <w:rFonts w:ascii="Arial" w:eastAsia="Times New Roman" w:hAnsi="Arial" w:cs="Arial"/>
          <w:color w:val="222222"/>
          <w:lang w:val="es-ES" w:eastAsia="es-MX"/>
        </w:rPr>
        <w:t xml:space="preserve"> y en ese marco consolidar la construcción de una visión común del objetivo que se quiere alcanzar. </w:t>
      </w:r>
    </w:p>
    <w:p w:rsidR="006E22D5" w:rsidRPr="00280733" w:rsidRDefault="006E22D5"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 xml:space="preserve">La experiencia de buenas </w:t>
      </w:r>
      <w:r w:rsidR="001940A4" w:rsidRPr="00280733">
        <w:rPr>
          <w:rFonts w:ascii="Arial" w:eastAsia="Times New Roman" w:hAnsi="Arial" w:cs="Arial"/>
          <w:color w:val="222222"/>
          <w:lang w:val="es-ES" w:eastAsia="es-MX"/>
        </w:rPr>
        <w:t>prácticas</w:t>
      </w:r>
      <w:r w:rsidRPr="00280733">
        <w:rPr>
          <w:rFonts w:ascii="Arial" w:eastAsia="Times New Roman" w:hAnsi="Arial" w:cs="Arial"/>
          <w:color w:val="222222"/>
          <w:lang w:val="es-ES" w:eastAsia="es-MX"/>
        </w:rPr>
        <w:t xml:space="preserve"> en las intervenciones sobre el espacio </w:t>
      </w:r>
      <w:r w:rsidR="001940A4" w:rsidRPr="00280733">
        <w:rPr>
          <w:rFonts w:ascii="Arial" w:eastAsia="Times New Roman" w:hAnsi="Arial" w:cs="Arial"/>
          <w:color w:val="222222"/>
          <w:lang w:val="es-ES" w:eastAsia="es-MX"/>
        </w:rPr>
        <w:t>público</w:t>
      </w:r>
      <w:r w:rsidRPr="00280733">
        <w:rPr>
          <w:rFonts w:ascii="Arial" w:eastAsia="Times New Roman" w:hAnsi="Arial" w:cs="Arial"/>
          <w:color w:val="222222"/>
          <w:lang w:val="es-ES" w:eastAsia="es-MX"/>
        </w:rPr>
        <w:t>, como en el caso de Quito, Bogotá, Monte</w:t>
      </w:r>
      <w:r w:rsidR="001E7163" w:rsidRPr="00280733">
        <w:rPr>
          <w:rFonts w:ascii="Arial" w:eastAsia="Times New Roman" w:hAnsi="Arial" w:cs="Arial"/>
          <w:color w:val="222222"/>
          <w:lang w:val="es-ES" w:eastAsia="es-MX"/>
        </w:rPr>
        <w:t>video, México o Puerto Madero (B</w:t>
      </w:r>
      <w:r w:rsidRPr="00280733">
        <w:rPr>
          <w:rFonts w:ascii="Arial" w:eastAsia="Times New Roman" w:hAnsi="Arial" w:cs="Arial"/>
          <w:color w:val="222222"/>
          <w:lang w:val="es-ES" w:eastAsia="es-MX"/>
        </w:rPr>
        <w:t>uenos Aires) se caracterizan por haber tenido un especial cuidado al realizar estas documentaciones poniendo énfasis en los sistemas de medidas y la sistematiza</w:t>
      </w:r>
      <w:r w:rsidR="001E7163" w:rsidRPr="00280733">
        <w:rPr>
          <w:rFonts w:ascii="Arial" w:eastAsia="Times New Roman" w:hAnsi="Arial" w:cs="Arial"/>
          <w:color w:val="222222"/>
          <w:lang w:val="es-ES" w:eastAsia="es-MX"/>
        </w:rPr>
        <w:t>ción de detalles constructivos (</w:t>
      </w:r>
      <w:r w:rsidRPr="00280733">
        <w:rPr>
          <w:rFonts w:ascii="Arial" w:eastAsia="Times New Roman" w:hAnsi="Arial" w:cs="Arial"/>
          <w:color w:val="222222"/>
          <w:lang w:val="es-ES" w:eastAsia="es-MX"/>
        </w:rPr>
        <w:t xml:space="preserve">juntas, encuentros, etc.) que </w:t>
      </w:r>
      <w:r w:rsidR="001940A4" w:rsidRPr="00280733">
        <w:rPr>
          <w:rFonts w:ascii="Arial" w:eastAsia="Times New Roman" w:hAnsi="Arial" w:cs="Arial"/>
          <w:color w:val="222222"/>
          <w:lang w:val="es-ES" w:eastAsia="es-MX"/>
        </w:rPr>
        <w:t>contribuyen a garantizar la</w:t>
      </w:r>
      <w:r w:rsidRPr="00280733">
        <w:rPr>
          <w:rFonts w:ascii="Arial" w:eastAsia="Times New Roman" w:hAnsi="Arial" w:cs="Arial"/>
          <w:color w:val="222222"/>
          <w:lang w:val="es-ES" w:eastAsia="es-MX"/>
        </w:rPr>
        <w:t xml:space="preserve"> calidad a los resultados.</w:t>
      </w:r>
    </w:p>
    <w:p w:rsidR="007C0CFA" w:rsidRPr="00280733" w:rsidRDefault="006E22D5"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lastRenderedPageBreak/>
        <w:t>Desde esta perspectiva resulta sumamente rentable afectar recursos no erogados del tramo anterior</w:t>
      </w:r>
      <w:r w:rsidR="001E7163" w:rsidRPr="00280733">
        <w:rPr>
          <w:rFonts w:ascii="Arial" w:eastAsia="Times New Roman" w:hAnsi="Arial" w:cs="Arial"/>
          <w:color w:val="222222"/>
          <w:lang w:val="es-ES" w:eastAsia="es-MX"/>
        </w:rPr>
        <w:t xml:space="preserve"> del programa,</w:t>
      </w:r>
      <w:r w:rsidRPr="00280733">
        <w:rPr>
          <w:rFonts w:ascii="Arial" w:eastAsia="Times New Roman" w:hAnsi="Arial" w:cs="Arial"/>
          <w:color w:val="222222"/>
          <w:lang w:val="es-ES" w:eastAsia="es-MX"/>
        </w:rPr>
        <w:t xml:space="preserve"> para el financiamiento de est</w:t>
      </w:r>
      <w:r w:rsidR="001E7163" w:rsidRPr="00280733">
        <w:rPr>
          <w:rFonts w:ascii="Arial" w:eastAsia="Times New Roman" w:hAnsi="Arial" w:cs="Arial"/>
          <w:color w:val="222222"/>
          <w:lang w:val="es-ES" w:eastAsia="es-MX"/>
        </w:rPr>
        <w:t>os trabajos (p</w:t>
      </w:r>
      <w:r w:rsidRPr="00280733">
        <w:rPr>
          <w:rFonts w:ascii="Arial" w:eastAsia="Times New Roman" w:hAnsi="Arial" w:cs="Arial"/>
          <w:color w:val="222222"/>
          <w:lang w:val="es-ES" w:eastAsia="es-MX"/>
        </w:rPr>
        <w:t>reinversión</w:t>
      </w:r>
      <w:r w:rsidR="001E7163" w:rsidRPr="00280733">
        <w:rPr>
          <w:rFonts w:ascii="Arial" w:eastAsia="Times New Roman" w:hAnsi="Arial" w:cs="Arial"/>
          <w:color w:val="222222"/>
          <w:lang w:val="es-ES" w:eastAsia="es-MX"/>
        </w:rPr>
        <w:t>)</w:t>
      </w:r>
      <w:r w:rsidRPr="00280733">
        <w:rPr>
          <w:rFonts w:ascii="Arial" w:eastAsia="Times New Roman" w:hAnsi="Arial" w:cs="Arial"/>
          <w:color w:val="222222"/>
          <w:lang w:val="es-ES" w:eastAsia="es-MX"/>
        </w:rPr>
        <w:t xml:space="preserve">, lo que permite la </w:t>
      </w:r>
      <w:r w:rsidR="007C0CFA" w:rsidRPr="00280733">
        <w:rPr>
          <w:rFonts w:ascii="Arial" w:eastAsia="Times New Roman" w:hAnsi="Arial" w:cs="Arial"/>
          <w:color w:val="222222"/>
          <w:lang w:val="es-ES" w:eastAsia="es-MX"/>
        </w:rPr>
        <w:t xml:space="preserve"> contratación de los profesionales capaces de hacer esta documentación de obra. </w:t>
      </w:r>
    </w:p>
    <w:p w:rsidR="007C0CFA" w:rsidRPr="00280733" w:rsidRDefault="006E22D5"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 xml:space="preserve">Se supone que los profesionales ganadores del concurso de la rehabilitación de San Francisco </w:t>
      </w:r>
      <w:r w:rsidR="001E7163" w:rsidRPr="00280733">
        <w:rPr>
          <w:rFonts w:ascii="Arial" w:eastAsia="Times New Roman" w:hAnsi="Arial" w:cs="Arial"/>
          <w:color w:val="222222"/>
          <w:lang w:val="es-ES" w:eastAsia="es-MX"/>
        </w:rPr>
        <w:t>pueden</w:t>
      </w:r>
      <w:r w:rsidRPr="00280733">
        <w:rPr>
          <w:rFonts w:ascii="Arial" w:eastAsia="Times New Roman" w:hAnsi="Arial" w:cs="Arial"/>
          <w:color w:val="222222"/>
          <w:lang w:val="es-ES" w:eastAsia="es-MX"/>
        </w:rPr>
        <w:t xml:space="preserve"> también encarar una primera tarea</w:t>
      </w:r>
      <w:r w:rsidR="007C0CFA" w:rsidRPr="00280733">
        <w:rPr>
          <w:rFonts w:ascii="Arial" w:eastAsia="Times New Roman" w:hAnsi="Arial" w:cs="Arial"/>
          <w:color w:val="222222"/>
          <w:lang w:val="es-ES" w:eastAsia="es-MX"/>
        </w:rPr>
        <w:t xml:space="preserve"> </w:t>
      </w:r>
      <w:r w:rsidRPr="00280733">
        <w:rPr>
          <w:rFonts w:ascii="Arial" w:eastAsia="Times New Roman" w:hAnsi="Arial" w:cs="Arial"/>
          <w:color w:val="222222"/>
          <w:lang w:val="es-ES" w:eastAsia="es-MX"/>
        </w:rPr>
        <w:t>en la producción de este tipo de documentos o incluso extenderlo a la documentación de los proyectos correspondientes a los</w:t>
      </w:r>
      <w:r w:rsidR="007C0CFA" w:rsidRPr="00280733">
        <w:rPr>
          <w:rFonts w:ascii="Arial" w:eastAsia="Times New Roman" w:hAnsi="Arial" w:cs="Arial"/>
          <w:color w:val="222222"/>
          <w:lang w:val="es-ES" w:eastAsia="es-MX"/>
        </w:rPr>
        <w:t xml:space="preserve"> recorridos patrimoniales que formaron parte de su propuesta en el concurso.</w:t>
      </w:r>
    </w:p>
    <w:p w:rsidR="007C0CFA" w:rsidRPr="00280733" w:rsidRDefault="001940A4"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Este trabajo previo al inicio de la nueva etapa del proyecto será un gran aporte para la</w:t>
      </w:r>
      <w:r w:rsidR="007C0CFA" w:rsidRPr="00280733">
        <w:rPr>
          <w:rFonts w:ascii="Arial" w:eastAsia="Times New Roman" w:hAnsi="Arial" w:cs="Arial"/>
          <w:color w:val="222222"/>
          <w:lang w:val="es-ES" w:eastAsia="es-MX"/>
        </w:rPr>
        <w:t xml:space="preserve"> ADN </w:t>
      </w:r>
      <w:r w:rsidRPr="00280733">
        <w:rPr>
          <w:rFonts w:ascii="Arial" w:eastAsia="Times New Roman" w:hAnsi="Arial" w:cs="Arial"/>
          <w:color w:val="222222"/>
          <w:lang w:val="es-ES" w:eastAsia="es-MX"/>
        </w:rPr>
        <w:t xml:space="preserve">que </w:t>
      </w:r>
      <w:r w:rsidR="007C0CFA" w:rsidRPr="00280733">
        <w:rPr>
          <w:rFonts w:ascii="Arial" w:eastAsia="Times New Roman" w:hAnsi="Arial" w:cs="Arial"/>
          <w:color w:val="222222"/>
          <w:lang w:val="es-ES" w:eastAsia="es-MX"/>
        </w:rPr>
        <w:t xml:space="preserve">tiene en este punto una responsabilidad mayor, </w:t>
      </w:r>
      <w:r w:rsidRPr="00280733">
        <w:rPr>
          <w:rFonts w:ascii="Arial" w:eastAsia="Times New Roman" w:hAnsi="Arial" w:cs="Arial"/>
          <w:color w:val="222222"/>
          <w:lang w:val="es-ES" w:eastAsia="es-MX"/>
        </w:rPr>
        <w:t xml:space="preserve">considerando que les </w:t>
      </w:r>
      <w:r w:rsidR="007C0CFA" w:rsidRPr="00280733">
        <w:rPr>
          <w:rFonts w:ascii="Arial" w:eastAsia="Times New Roman" w:hAnsi="Arial" w:cs="Arial"/>
          <w:color w:val="222222"/>
          <w:lang w:val="es-ES" w:eastAsia="es-MX"/>
        </w:rPr>
        <w:t xml:space="preserve">corresponde autorizar (corregir, supervisar, certificar) la realización de estas obras. </w:t>
      </w:r>
      <w:r w:rsidRPr="00280733">
        <w:rPr>
          <w:rFonts w:ascii="Arial" w:eastAsia="Times New Roman" w:hAnsi="Arial" w:cs="Arial"/>
          <w:color w:val="222222"/>
          <w:lang w:val="es-ES" w:eastAsia="es-MX"/>
        </w:rPr>
        <w:t>Tendrá también la responsabilidad d</w:t>
      </w:r>
      <w:r w:rsidR="007C0CFA" w:rsidRPr="00280733">
        <w:rPr>
          <w:rFonts w:ascii="Arial" w:eastAsia="Times New Roman" w:hAnsi="Arial" w:cs="Arial"/>
          <w:color w:val="222222"/>
          <w:lang w:val="es-ES" w:eastAsia="es-MX"/>
        </w:rPr>
        <w:t xml:space="preserve">el mantenimiento, </w:t>
      </w:r>
      <w:r w:rsidRPr="00280733">
        <w:rPr>
          <w:rFonts w:ascii="Arial" w:eastAsia="Times New Roman" w:hAnsi="Arial" w:cs="Arial"/>
          <w:color w:val="222222"/>
          <w:lang w:val="es-ES" w:eastAsia="es-MX"/>
        </w:rPr>
        <w:t>sabiendo por</w:t>
      </w:r>
      <w:r w:rsidR="007C0CFA" w:rsidRPr="00280733">
        <w:rPr>
          <w:rFonts w:ascii="Arial" w:eastAsia="Times New Roman" w:hAnsi="Arial" w:cs="Arial"/>
          <w:color w:val="222222"/>
          <w:lang w:val="es-ES" w:eastAsia="es-MX"/>
        </w:rPr>
        <w:t xml:space="preserve"> experiencia que el espacio público es sobre todo un problema de mantenimiento. En este sentido las pautas de proyecto deben considerar quien y como hará el mantenimiento; con que equipo cuenta (maquinaria, vehículos,  barredoras) en qué tipo de taller hará las reparaciones, cuales son los oficios de los trabajadores en que se apoya, cual es la posibilidad de contar con un </w:t>
      </w:r>
      <w:r w:rsidR="00227025" w:rsidRPr="00280733">
        <w:rPr>
          <w:rFonts w:ascii="Arial" w:eastAsia="Times New Roman" w:hAnsi="Arial" w:cs="Arial"/>
          <w:color w:val="222222"/>
          <w:lang w:val="es-ES" w:eastAsia="es-MX"/>
        </w:rPr>
        <w:t>stock</w:t>
      </w:r>
      <w:r w:rsidR="007C0CFA" w:rsidRPr="00280733">
        <w:rPr>
          <w:rFonts w:ascii="Arial" w:eastAsia="Times New Roman" w:hAnsi="Arial" w:cs="Arial"/>
          <w:color w:val="222222"/>
          <w:lang w:val="es-ES" w:eastAsia="es-MX"/>
        </w:rPr>
        <w:t xml:space="preserve"> de elementos (piezas) fácilmente reemplazables que permitan sistematizar la operación cotidiana de estos reemplazos. En el caso Barcelona, o París, la creación de un cuerpo profesional especializado en la vía pública es el secreto de la existencia de una calidad uniforme que prestigia a ambas ciudades. </w:t>
      </w:r>
      <w:r w:rsidRPr="00280733">
        <w:rPr>
          <w:rFonts w:ascii="Arial" w:eastAsia="Times New Roman" w:hAnsi="Arial" w:cs="Arial"/>
          <w:color w:val="222222"/>
          <w:lang w:val="es-ES" w:eastAsia="es-MX"/>
        </w:rPr>
        <w:t xml:space="preserve">Uno de los resultados del programa, al menos para este sector, </w:t>
      </w:r>
      <w:r w:rsidR="007C0CFA" w:rsidRPr="00280733">
        <w:rPr>
          <w:rFonts w:ascii="Arial" w:eastAsia="Times New Roman" w:hAnsi="Arial" w:cs="Arial"/>
          <w:color w:val="222222"/>
          <w:lang w:val="es-ES" w:eastAsia="es-MX"/>
        </w:rPr>
        <w:t xml:space="preserve"> debe apuntar al desarrollo de esta disciplina, y la realización de la documentación debe incluir un  criterio de calificación del personal que ha de quedar a cargo de su gestión.</w:t>
      </w:r>
    </w:p>
    <w:p w:rsidR="00462388" w:rsidRPr="00280733" w:rsidRDefault="00462388"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Sobre la base de estos criterios ha sido elaborada una gráfica que da cuenta de una secuencia que ordena la ejecución de los trabajos.</w:t>
      </w:r>
    </w:p>
    <w:p w:rsidR="001727F9" w:rsidRPr="00280733" w:rsidRDefault="001727F9" w:rsidP="00C875CE">
      <w:pPr>
        <w:shd w:val="clear" w:color="auto" w:fill="FFFFFF"/>
        <w:spacing w:after="120" w:line="240" w:lineRule="auto"/>
        <w:jc w:val="center"/>
        <w:rPr>
          <w:rFonts w:ascii="Arial" w:eastAsia="Times New Roman" w:hAnsi="Arial" w:cs="Arial"/>
          <w:color w:val="222222"/>
          <w:lang w:val="es-ES" w:eastAsia="es-MX"/>
        </w:rPr>
      </w:pPr>
      <w:r w:rsidRPr="00280733">
        <w:rPr>
          <w:rFonts w:ascii="Arial" w:hAnsi="Arial" w:cs="Arial"/>
          <w:noProof/>
          <w:lang w:val="en-US"/>
        </w:rPr>
        <w:lastRenderedPageBreak/>
        <w:drawing>
          <wp:inline distT="0" distB="0" distL="0" distR="0" wp14:anchorId="09EF22F8" wp14:editId="361D3459">
            <wp:extent cx="5544766" cy="415876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3866" cy="4173094"/>
                    </a:xfrm>
                    <a:prstGeom prst="rect">
                      <a:avLst/>
                    </a:prstGeom>
                    <a:noFill/>
                  </pic:spPr>
                </pic:pic>
              </a:graphicData>
            </a:graphic>
          </wp:inline>
        </w:drawing>
      </w:r>
    </w:p>
    <w:p w:rsidR="001727F9" w:rsidRPr="00280733" w:rsidRDefault="001C6AA4"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 xml:space="preserve">La grafica señala las </w:t>
      </w:r>
      <w:r w:rsidRPr="00280733">
        <w:rPr>
          <w:rFonts w:ascii="Arial" w:eastAsia="Times New Roman" w:hAnsi="Arial" w:cs="Arial"/>
          <w:b/>
          <w:color w:val="222222"/>
          <w:lang w:val="es-ES" w:eastAsia="es-MX"/>
        </w:rPr>
        <w:t>tareas vinculadas a la preinversión</w:t>
      </w:r>
      <w:r w:rsidRPr="00280733">
        <w:rPr>
          <w:rFonts w:ascii="Arial" w:eastAsia="Times New Roman" w:hAnsi="Arial" w:cs="Arial"/>
          <w:color w:val="222222"/>
          <w:lang w:val="es-ES" w:eastAsia="es-MX"/>
        </w:rPr>
        <w:t>:</w:t>
      </w:r>
    </w:p>
    <w:p w:rsidR="001C6AA4" w:rsidRPr="00280733" w:rsidRDefault="001C6AA4" w:rsidP="00751B40">
      <w:pPr>
        <w:pStyle w:val="ListParagraph"/>
        <w:numPr>
          <w:ilvl w:val="0"/>
          <w:numId w:val="4"/>
        </w:numPr>
        <w:shd w:val="clear" w:color="auto" w:fill="FFFFFF"/>
        <w:spacing w:after="120" w:line="240" w:lineRule="auto"/>
        <w:contextualSpacing w:val="0"/>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 xml:space="preserve">Existe </w:t>
      </w:r>
      <w:r w:rsidR="00EC713C" w:rsidRPr="00280733">
        <w:rPr>
          <w:rFonts w:ascii="Arial" w:eastAsia="Times New Roman" w:hAnsi="Arial" w:cs="Arial"/>
          <w:color w:val="222222"/>
          <w:lang w:val="es-ES" w:eastAsia="es-MX"/>
        </w:rPr>
        <w:t xml:space="preserve">(franja de la izquierda) </w:t>
      </w:r>
      <w:r w:rsidRPr="00280733">
        <w:rPr>
          <w:rFonts w:ascii="Arial" w:eastAsia="Times New Roman" w:hAnsi="Arial" w:cs="Arial"/>
          <w:color w:val="222222"/>
          <w:lang w:val="es-ES" w:eastAsia="es-MX"/>
        </w:rPr>
        <w:t>un conjunto de precondiciones, que deben definir condiciones  y necesidades para el desarrollo de las obras. Condiciones del terreno (geotecnia) de las infraestructuras existentes (provistas por el ayuntamiento y  las empresas de servicios) y a la vez debe haber insumos proporcionados por los expertos responsables de las propuestas de movilidad, seguridad y manejo de residuos.</w:t>
      </w:r>
    </w:p>
    <w:p w:rsidR="001C6AA4" w:rsidRPr="00280733" w:rsidRDefault="001C6AA4" w:rsidP="00751B40">
      <w:pPr>
        <w:pStyle w:val="ListParagraph"/>
        <w:numPr>
          <w:ilvl w:val="0"/>
          <w:numId w:val="4"/>
        </w:num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 xml:space="preserve">Por </w:t>
      </w:r>
      <w:r w:rsidR="00EC713C" w:rsidRPr="00280733">
        <w:rPr>
          <w:rFonts w:ascii="Arial" w:eastAsia="Times New Roman" w:hAnsi="Arial" w:cs="Arial"/>
          <w:color w:val="222222"/>
          <w:lang w:val="es-ES" w:eastAsia="es-MX"/>
        </w:rPr>
        <w:t>el otro lado (</w:t>
      </w:r>
      <w:r w:rsidRPr="00280733">
        <w:rPr>
          <w:rFonts w:ascii="Arial" w:eastAsia="Times New Roman" w:hAnsi="Arial" w:cs="Arial"/>
          <w:color w:val="222222"/>
          <w:lang w:val="es-ES" w:eastAsia="es-MX"/>
        </w:rPr>
        <w:t>a la derecha</w:t>
      </w:r>
      <w:r w:rsidR="00227025" w:rsidRPr="00280733">
        <w:rPr>
          <w:rFonts w:ascii="Arial" w:eastAsia="Times New Roman" w:hAnsi="Arial" w:cs="Arial"/>
          <w:color w:val="222222"/>
          <w:lang w:val="es-ES" w:eastAsia="es-MX"/>
        </w:rPr>
        <w:t xml:space="preserve"> de la gráfica</w:t>
      </w:r>
      <w:r w:rsidRPr="00280733">
        <w:rPr>
          <w:rFonts w:ascii="Arial" w:eastAsia="Times New Roman" w:hAnsi="Arial" w:cs="Arial"/>
          <w:color w:val="222222"/>
          <w:lang w:val="es-ES" w:eastAsia="es-MX"/>
        </w:rPr>
        <w:t>) se identifica el equipo técnico recontratados por el programa, que tendrán la responsabilidad de proyectar las obras y elaborar la documentación. Están también  las oficinas de cultura y de la ADN que deben aprobar y supervisar las obras. Ambas reparticiones tendrá también responsabilidad en la gestión mantenimiento</w:t>
      </w:r>
      <w:r w:rsidR="00751B40" w:rsidRPr="00280733">
        <w:rPr>
          <w:rFonts w:ascii="Arial" w:eastAsia="Times New Roman" w:hAnsi="Arial" w:cs="Arial"/>
          <w:color w:val="222222"/>
          <w:lang w:val="es-ES" w:eastAsia="es-MX"/>
        </w:rPr>
        <w:t xml:space="preserve"> de est</w:t>
      </w:r>
      <w:r w:rsidRPr="00280733">
        <w:rPr>
          <w:rFonts w:ascii="Arial" w:eastAsia="Times New Roman" w:hAnsi="Arial" w:cs="Arial"/>
          <w:color w:val="222222"/>
          <w:lang w:val="es-ES" w:eastAsia="es-MX"/>
        </w:rPr>
        <w:t>os espacios, razón por la que tiene también mucho que aportar en el momento de definir los proyectos</w:t>
      </w:r>
      <w:r w:rsidR="00EC713C" w:rsidRPr="00280733">
        <w:rPr>
          <w:rFonts w:ascii="Arial" w:eastAsia="Times New Roman" w:hAnsi="Arial" w:cs="Arial"/>
          <w:color w:val="222222"/>
          <w:lang w:val="es-ES" w:eastAsia="es-MX"/>
        </w:rPr>
        <w:t>.</w:t>
      </w:r>
      <w:r w:rsidR="00751B40" w:rsidRPr="00280733">
        <w:rPr>
          <w:rFonts w:ascii="Arial" w:eastAsia="Times New Roman" w:hAnsi="Arial" w:cs="Arial"/>
          <w:color w:val="222222"/>
          <w:lang w:val="es-ES" w:eastAsia="es-MX"/>
        </w:rPr>
        <w:t xml:space="preserve"> </w:t>
      </w:r>
    </w:p>
    <w:p w:rsidR="00751B40" w:rsidRPr="00280733" w:rsidRDefault="00EC713C" w:rsidP="00751B40">
      <w:pPr>
        <w:pStyle w:val="ListParagraph"/>
        <w:numPr>
          <w:ilvl w:val="0"/>
          <w:numId w:val="4"/>
        </w:num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 xml:space="preserve">En el centro </w:t>
      </w:r>
      <w:r w:rsidR="00227025" w:rsidRPr="00280733">
        <w:rPr>
          <w:rFonts w:ascii="Arial" w:eastAsia="Times New Roman" w:hAnsi="Arial" w:cs="Arial"/>
          <w:color w:val="222222"/>
          <w:lang w:val="es-ES" w:eastAsia="es-MX"/>
        </w:rPr>
        <w:t xml:space="preserve">de la gráfica se encuentra </w:t>
      </w:r>
      <w:r w:rsidRPr="00280733">
        <w:rPr>
          <w:rFonts w:ascii="Arial" w:eastAsia="Times New Roman" w:hAnsi="Arial" w:cs="Arial"/>
          <w:color w:val="222222"/>
          <w:lang w:val="es-ES" w:eastAsia="es-MX"/>
        </w:rPr>
        <w:t>el trabajo que deben desarrollar, que consiste en el diseño del espacio público en sus diferente niveles, y la producción de documentación gráfica (o audiovisual) comprensible para el común de los vecinos, que deben poder entender cuál será el tipo de transformación que se propone para el lugar donde viven, trabajan o les gusta visitar.</w:t>
      </w:r>
      <w:r w:rsidR="00751B40" w:rsidRPr="00280733">
        <w:rPr>
          <w:rFonts w:ascii="Arial" w:eastAsia="Times New Roman" w:hAnsi="Arial" w:cs="Arial"/>
          <w:color w:val="222222"/>
          <w:lang w:val="es-ES" w:eastAsia="es-MX"/>
        </w:rPr>
        <w:t xml:space="preserve"> Cabe señalar que los proyectos asumirán diferente estándares de intervención (calles A; B o C) en función de los parámetros de tratamiento de calles definidos por el programa. </w:t>
      </w:r>
    </w:p>
    <w:p w:rsidR="002C1A3C" w:rsidRPr="00280733" w:rsidRDefault="002C1A3C"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 xml:space="preserve">Cuando se pasa de la etapa de preinversión a </w:t>
      </w:r>
      <w:r w:rsidRPr="00280733">
        <w:rPr>
          <w:rFonts w:ascii="Arial" w:eastAsia="Times New Roman" w:hAnsi="Arial" w:cs="Arial"/>
          <w:b/>
          <w:color w:val="222222"/>
          <w:lang w:val="es-ES" w:eastAsia="es-MX"/>
        </w:rPr>
        <w:t>la realización de las obras</w:t>
      </w:r>
      <w:r w:rsidRPr="00280733">
        <w:rPr>
          <w:rFonts w:ascii="Arial" w:eastAsia="Times New Roman" w:hAnsi="Arial" w:cs="Arial"/>
          <w:color w:val="222222"/>
          <w:lang w:val="es-ES" w:eastAsia="es-MX"/>
        </w:rPr>
        <w:t xml:space="preserve"> estas tareas quedan integradas en el grafico 2, que da cuenta del desarrollo del producto 1 del programa.</w:t>
      </w:r>
    </w:p>
    <w:p w:rsidR="002C1A3C" w:rsidRPr="00280733" w:rsidRDefault="002C1A3C"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lastRenderedPageBreak/>
        <w:t xml:space="preserve">El resultado que en la gráfica anterior ocupaba el espacio central, en la nueva grafica </w:t>
      </w:r>
      <w:r w:rsidR="00227025" w:rsidRPr="00280733">
        <w:rPr>
          <w:rFonts w:ascii="Arial" w:eastAsia="Times New Roman" w:hAnsi="Arial" w:cs="Arial"/>
          <w:color w:val="222222"/>
          <w:lang w:val="es-ES" w:eastAsia="es-MX"/>
        </w:rPr>
        <w:t>está</w:t>
      </w:r>
      <w:r w:rsidRPr="00280733">
        <w:rPr>
          <w:rFonts w:ascii="Arial" w:eastAsia="Times New Roman" w:hAnsi="Arial" w:cs="Arial"/>
          <w:color w:val="222222"/>
          <w:lang w:val="es-ES" w:eastAsia="es-MX"/>
        </w:rPr>
        <w:t xml:space="preserve"> representado por el rectángulo denominado documentación de obra, ha dado como resultado tres estándares de intervención</w:t>
      </w:r>
      <w:r w:rsidR="00227025" w:rsidRPr="00280733">
        <w:rPr>
          <w:rFonts w:ascii="Arial" w:eastAsia="Times New Roman" w:hAnsi="Arial" w:cs="Arial"/>
          <w:color w:val="222222"/>
          <w:lang w:val="es-ES" w:eastAsia="es-MX"/>
        </w:rPr>
        <w:t xml:space="preserve"> (A; B y C)</w:t>
      </w:r>
      <w:r w:rsidRPr="00280733">
        <w:rPr>
          <w:rFonts w:ascii="Arial" w:eastAsia="Times New Roman" w:hAnsi="Arial" w:cs="Arial"/>
          <w:color w:val="222222"/>
          <w:lang w:val="es-ES" w:eastAsia="es-MX"/>
        </w:rPr>
        <w:t>, que deben ser sometidos a l</w:t>
      </w:r>
      <w:r w:rsidR="00F32AEB" w:rsidRPr="00280733">
        <w:rPr>
          <w:rFonts w:ascii="Arial" w:eastAsia="Times New Roman" w:hAnsi="Arial" w:cs="Arial"/>
          <w:color w:val="222222"/>
          <w:lang w:val="es-ES" w:eastAsia="es-MX"/>
        </w:rPr>
        <w:t>a</w:t>
      </w:r>
      <w:r w:rsidRPr="00280733">
        <w:rPr>
          <w:rFonts w:ascii="Arial" w:eastAsia="Times New Roman" w:hAnsi="Arial" w:cs="Arial"/>
          <w:color w:val="222222"/>
          <w:lang w:val="es-ES" w:eastAsia="es-MX"/>
        </w:rPr>
        <w:t>s autoridades competentes para su aprobación.</w:t>
      </w:r>
    </w:p>
    <w:p w:rsidR="00F32AEB" w:rsidRPr="00280733" w:rsidRDefault="00F32AEB"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Con estas condiciones se pasa a la etapa de implementación, que responsabiliza a la coordinación del programa de liderar los procesos de licitación. Los proyectos aprobados pasan a conformar los pliegos con los que se convocará a las empresas constructoras a realizar los trabajos. La unidad coordinadora apoyada por las otras entidades (ADS Cultura) seleccionaran a las empresas y una vez firmados los contratos tendrán la responsabilidad del seguimiento de las obras.</w:t>
      </w:r>
    </w:p>
    <w:p w:rsidR="00F338DC" w:rsidRPr="00280733" w:rsidRDefault="00F32AEB"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 xml:space="preserve">En el tercer momento el avance de las obras (en sus diferentes dimensiones) ira modulando los desembolsos de acuerdo con el plan de trabajo y con el régimen de estímulos y castigos definidos por el contrato. </w:t>
      </w:r>
    </w:p>
    <w:p w:rsidR="00F32AEB" w:rsidRDefault="00F32AEB"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La recepción de las obras, deberá completarse con la confección de una cartografía (georreferenciada) conforma a obra, para que finalmente la certificación del final de obra deje estos espacios  públicos  bajo la responsabilidad de la ADN</w:t>
      </w:r>
      <w:r w:rsidR="001C09C3" w:rsidRPr="00280733">
        <w:rPr>
          <w:rFonts w:ascii="Arial" w:eastAsia="Times New Roman" w:hAnsi="Arial" w:cs="Arial"/>
          <w:color w:val="222222"/>
          <w:lang w:val="es-ES" w:eastAsia="es-MX"/>
        </w:rPr>
        <w:t xml:space="preserve"> (con un cierto tiempo de garantía durante el cual las empresas responden por cualquier desperfecto)</w:t>
      </w:r>
      <w:r w:rsidR="00462388" w:rsidRPr="00280733">
        <w:rPr>
          <w:rFonts w:ascii="Arial" w:eastAsia="Times New Roman" w:hAnsi="Arial" w:cs="Arial"/>
          <w:color w:val="222222"/>
          <w:lang w:val="es-ES" w:eastAsia="es-MX"/>
        </w:rPr>
        <w:t>.</w:t>
      </w:r>
    </w:p>
    <w:p w:rsidR="00177B40" w:rsidRPr="00280733" w:rsidRDefault="00177B40" w:rsidP="00C875CE">
      <w:pPr>
        <w:shd w:val="clear" w:color="auto" w:fill="FFFFFF"/>
        <w:spacing w:after="120" w:line="240" w:lineRule="auto"/>
        <w:jc w:val="both"/>
        <w:rPr>
          <w:rFonts w:ascii="Arial" w:eastAsia="Times New Roman" w:hAnsi="Arial" w:cs="Arial"/>
          <w:color w:val="222222"/>
          <w:lang w:val="es-ES" w:eastAsia="es-MX"/>
        </w:rPr>
      </w:pPr>
    </w:p>
    <w:p w:rsidR="00E05C45" w:rsidRPr="00280733" w:rsidRDefault="00462388" w:rsidP="00751B40">
      <w:pPr>
        <w:keepNext/>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 xml:space="preserve">En la </w:t>
      </w:r>
      <w:r w:rsidR="00751B40" w:rsidRPr="00280733">
        <w:rPr>
          <w:rFonts w:ascii="Arial" w:eastAsia="Times New Roman" w:hAnsi="Arial" w:cs="Arial"/>
          <w:color w:val="222222"/>
          <w:lang w:val="es-ES" w:eastAsia="es-MX"/>
        </w:rPr>
        <w:t>gráfica</w:t>
      </w:r>
      <w:r w:rsidRPr="00280733">
        <w:rPr>
          <w:rFonts w:ascii="Arial" w:eastAsia="Times New Roman" w:hAnsi="Arial" w:cs="Arial"/>
          <w:color w:val="222222"/>
          <w:lang w:val="es-ES" w:eastAsia="es-MX"/>
        </w:rPr>
        <w:t xml:space="preserve"> N°2 se da cuenta de esta secuencia.</w:t>
      </w:r>
    </w:p>
    <w:p w:rsidR="00E05C45" w:rsidRPr="00280733" w:rsidRDefault="00E05C45" w:rsidP="00C875CE">
      <w:pPr>
        <w:shd w:val="clear" w:color="auto" w:fill="FFFFFF"/>
        <w:spacing w:after="120" w:line="240" w:lineRule="auto"/>
        <w:jc w:val="both"/>
        <w:rPr>
          <w:rFonts w:ascii="Arial" w:hAnsi="Arial" w:cs="Arial"/>
          <w:lang w:val="es-ES"/>
        </w:rPr>
      </w:pPr>
      <w:r w:rsidRPr="00280733">
        <w:rPr>
          <w:rFonts w:ascii="Arial" w:hAnsi="Arial" w:cs="Arial"/>
          <w:noProof/>
          <w:lang w:val="en-US"/>
        </w:rPr>
        <w:drawing>
          <wp:inline distT="0" distB="0" distL="0" distR="0" wp14:anchorId="196E1346" wp14:editId="2EE62F36">
            <wp:extent cx="5807413" cy="4358987"/>
            <wp:effectExtent l="0" t="0" r="3175"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8220" cy="4359592"/>
                    </a:xfrm>
                    <a:prstGeom prst="rect">
                      <a:avLst/>
                    </a:prstGeom>
                    <a:noFill/>
                  </pic:spPr>
                </pic:pic>
              </a:graphicData>
            </a:graphic>
          </wp:inline>
        </w:drawing>
      </w:r>
    </w:p>
    <w:p w:rsidR="00E05C45" w:rsidRPr="00280733" w:rsidRDefault="00E05C45" w:rsidP="00C875CE">
      <w:pPr>
        <w:shd w:val="clear" w:color="auto" w:fill="FFFFFF"/>
        <w:spacing w:after="120" w:line="240" w:lineRule="auto"/>
        <w:jc w:val="both"/>
        <w:rPr>
          <w:rFonts w:ascii="Arial" w:hAnsi="Arial" w:cs="Arial"/>
          <w:lang w:val="es-ES"/>
        </w:rPr>
      </w:pPr>
    </w:p>
    <w:p w:rsidR="00E05C45" w:rsidRPr="00280733" w:rsidRDefault="00E05C45" w:rsidP="00C875CE">
      <w:pPr>
        <w:shd w:val="clear" w:color="auto" w:fill="FFFFFF"/>
        <w:spacing w:after="120" w:line="240" w:lineRule="auto"/>
        <w:jc w:val="both"/>
        <w:rPr>
          <w:rFonts w:ascii="Arial" w:hAnsi="Arial" w:cs="Arial"/>
          <w:lang w:val="es-ES"/>
        </w:rPr>
      </w:pPr>
    </w:p>
    <w:p w:rsidR="00227025" w:rsidRPr="00280733" w:rsidRDefault="00C30E2C" w:rsidP="00751B40">
      <w:pPr>
        <w:spacing w:after="120" w:line="240" w:lineRule="auto"/>
        <w:rPr>
          <w:rFonts w:ascii="Arial" w:eastAsia="Times New Roman" w:hAnsi="Arial" w:cs="Arial"/>
          <w:b/>
          <w:color w:val="4F81BD" w:themeColor="accent1"/>
          <w:lang w:val="es-ES" w:eastAsia="es-MX"/>
        </w:rPr>
      </w:pPr>
      <w:r w:rsidRPr="00280733">
        <w:rPr>
          <w:rFonts w:ascii="Arial" w:eastAsia="Times New Roman" w:hAnsi="Arial" w:cs="Arial"/>
          <w:b/>
          <w:color w:val="4F81BD" w:themeColor="accent1"/>
          <w:lang w:val="es-ES" w:eastAsia="es-MX"/>
        </w:rPr>
        <w:t>Intervenciones sobre museos (producto 4),</w:t>
      </w:r>
      <w:r w:rsidR="00227025" w:rsidRPr="00280733">
        <w:rPr>
          <w:rFonts w:ascii="Arial" w:eastAsia="Times New Roman" w:hAnsi="Arial" w:cs="Arial"/>
          <w:b/>
          <w:color w:val="4F81BD" w:themeColor="accent1"/>
          <w:lang w:val="es-ES" w:eastAsia="es-MX"/>
        </w:rPr>
        <w:t xml:space="preserve"> edificios y espacios monumentales.</w:t>
      </w:r>
    </w:p>
    <w:p w:rsidR="00C30E2C" w:rsidRPr="00280733" w:rsidRDefault="00227025"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 xml:space="preserve">En el caso de las intervenciones sobre museos </w:t>
      </w:r>
      <w:r w:rsidR="00C30E2C" w:rsidRPr="00280733">
        <w:rPr>
          <w:rFonts w:ascii="Arial" w:eastAsia="Times New Roman" w:hAnsi="Arial" w:cs="Arial"/>
          <w:color w:val="222222"/>
          <w:lang w:val="es-ES" w:eastAsia="es-MX"/>
        </w:rPr>
        <w:t>se trata de un conjunto de obras de adecuación y mantenimiento</w:t>
      </w:r>
      <w:r w:rsidR="00404804" w:rsidRPr="00280733">
        <w:rPr>
          <w:rFonts w:ascii="Arial" w:eastAsia="Times New Roman" w:hAnsi="Arial" w:cs="Arial"/>
          <w:color w:val="222222"/>
          <w:lang w:val="es-ES" w:eastAsia="es-MX"/>
        </w:rPr>
        <w:t xml:space="preserve"> (</w:t>
      </w:r>
      <w:r w:rsidR="00C30E2C" w:rsidRPr="00280733">
        <w:rPr>
          <w:rFonts w:ascii="Arial" w:eastAsia="Times New Roman" w:hAnsi="Arial" w:cs="Arial"/>
          <w:color w:val="222222"/>
          <w:lang w:val="es-ES" w:eastAsia="es-MX"/>
        </w:rPr>
        <w:t>de la Planta Física Alcázar de Colón</w:t>
      </w:r>
      <w:r w:rsidR="00404804" w:rsidRPr="00280733">
        <w:rPr>
          <w:rFonts w:ascii="Arial" w:eastAsia="Times New Roman" w:hAnsi="Arial" w:cs="Arial"/>
          <w:color w:val="222222"/>
          <w:lang w:val="es-ES" w:eastAsia="es-MX"/>
        </w:rPr>
        <w:t xml:space="preserve">, </w:t>
      </w:r>
      <w:r w:rsidR="00C30E2C" w:rsidRPr="00280733">
        <w:rPr>
          <w:rFonts w:ascii="Arial" w:eastAsia="Times New Roman" w:hAnsi="Arial" w:cs="Arial"/>
          <w:color w:val="222222"/>
          <w:lang w:val="es-ES" w:eastAsia="es-MX"/>
        </w:rPr>
        <w:t xml:space="preserve">del Museo Casas Reales. </w:t>
      </w:r>
      <w:r w:rsidR="00404804" w:rsidRPr="00280733">
        <w:rPr>
          <w:rFonts w:ascii="Arial" w:eastAsia="Times New Roman" w:hAnsi="Arial" w:cs="Arial"/>
          <w:color w:val="222222"/>
          <w:lang w:val="es-ES" w:eastAsia="es-MX"/>
        </w:rPr>
        <w:t>Según</w:t>
      </w:r>
      <w:r w:rsidR="00C30E2C" w:rsidRPr="00280733">
        <w:rPr>
          <w:rFonts w:ascii="Arial" w:eastAsia="Times New Roman" w:hAnsi="Arial" w:cs="Arial"/>
          <w:color w:val="222222"/>
          <w:lang w:val="es-ES" w:eastAsia="es-MX"/>
        </w:rPr>
        <w:t xml:space="preserve"> el caso las obras son convencionales, como impe</w:t>
      </w:r>
      <w:r w:rsidR="00404804" w:rsidRPr="00280733">
        <w:rPr>
          <w:rFonts w:ascii="Arial" w:eastAsia="Times New Roman" w:hAnsi="Arial" w:cs="Arial"/>
          <w:color w:val="222222"/>
          <w:lang w:val="es-ES" w:eastAsia="es-MX"/>
        </w:rPr>
        <w:t>rmeabilizar los techos, remodel</w:t>
      </w:r>
      <w:r w:rsidR="00C30E2C" w:rsidRPr="00280733">
        <w:rPr>
          <w:rFonts w:ascii="Arial" w:eastAsia="Times New Roman" w:hAnsi="Arial" w:cs="Arial"/>
          <w:color w:val="222222"/>
          <w:lang w:val="es-ES" w:eastAsia="es-MX"/>
        </w:rPr>
        <w:t>ar salones, ampliar baños, incorporar ascensor</w:t>
      </w:r>
      <w:r w:rsidR="00404804" w:rsidRPr="00280733">
        <w:rPr>
          <w:rFonts w:ascii="Arial" w:eastAsia="Times New Roman" w:hAnsi="Arial" w:cs="Arial"/>
          <w:color w:val="222222"/>
          <w:lang w:val="es-ES" w:eastAsia="es-MX"/>
        </w:rPr>
        <w:t>, o techar patios. Su complejidad es menor que las intervenciones sobre el espacio público, y si bien se trata de intervenciones sobre edificios monumentales, los niveles de incertidumbre respecto de lo que se va a encontrar durante la obra son mucho menores.</w:t>
      </w:r>
    </w:p>
    <w:p w:rsidR="00404804" w:rsidRPr="00280733" w:rsidRDefault="00404804" w:rsidP="00C875CE">
      <w:pPr>
        <w:shd w:val="clear" w:color="auto" w:fill="FFFFFF"/>
        <w:spacing w:after="120" w:line="240" w:lineRule="auto"/>
        <w:jc w:val="both"/>
        <w:rPr>
          <w:rFonts w:ascii="Arial" w:eastAsia="Times New Roman" w:hAnsi="Arial" w:cs="Arial"/>
          <w:color w:val="222222"/>
          <w:lang w:val="es-ES" w:eastAsia="es-MX"/>
        </w:rPr>
      </w:pPr>
    </w:p>
    <w:p w:rsidR="00227025" w:rsidRPr="00280733" w:rsidRDefault="00227025" w:rsidP="00C875CE">
      <w:pPr>
        <w:shd w:val="clear" w:color="auto" w:fill="FFFFFF"/>
        <w:spacing w:after="120" w:line="240" w:lineRule="auto"/>
        <w:jc w:val="both"/>
        <w:rPr>
          <w:rFonts w:ascii="Arial" w:eastAsia="Times New Roman" w:hAnsi="Arial" w:cs="Arial"/>
          <w:b/>
          <w:color w:val="222222"/>
          <w:lang w:val="es-ES" w:eastAsia="es-MX"/>
        </w:rPr>
      </w:pPr>
    </w:p>
    <w:p w:rsidR="00E05C45" w:rsidRPr="00280733" w:rsidRDefault="005326B6" w:rsidP="00C875CE">
      <w:pPr>
        <w:shd w:val="clear" w:color="auto" w:fill="FFFFFF"/>
        <w:spacing w:after="120" w:line="240" w:lineRule="auto"/>
        <w:jc w:val="both"/>
        <w:rPr>
          <w:rFonts w:ascii="Arial" w:hAnsi="Arial" w:cs="Arial"/>
          <w:lang w:val="es-ES"/>
        </w:rPr>
      </w:pPr>
      <w:r w:rsidRPr="00280733">
        <w:rPr>
          <w:rFonts w:ascii="Arial" w:hAnsi="Arial" w:cs="Arial"/>
          <w:noProof/>
          <w:lang w:val="en-US"/>
        </w:rPr>
        <w:drawing>
          <wp:inline distT="0" distB="0" distL="0" distR="0" wp14:anchorId="4FADE8BB" wp14:editId="5DC63E06">
            <wp:extent cx="5700409" cy="427550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01201" cy="4276099"/>
                    </a:xfrm>
                    <a:prstGeom prst="rect">
                      <a:avLst/>
                    </a:prstGeom>
                    <a:noFill/>
                  </pic:spPr>
                </pic:pic>
              </a:graphicData>
            </a:graphic>
          </wp:inline>
        </w:drawing>
      </w:r>
    </w:p>
    <w:p w:rsidR="00E05C45" w:rsidRPr="00280733" w:rsidRDefault="00E05C45" w:rsidP="00C875CE">
      <w:pPr>
        <w:shd w:val="clear" w:color="auto" w:fill="FFFFFF"/>
        <w:spacing w:after="120" w:line="240" w:lineRule="auto"/>
        <w:jc w:val="both"/>
        <w:rPr>
          <w:rFonts w:ascii="Arial" w:hAnsi="Arial" w:cs="Arial"/>
          <w:lang w:val="es-ES"/>
        </w:rPr>
      </w:pPr>
    </w:p>
    <w:p w:rsidR="00462388" w:rsidRPr="00280733" w:rsidRDefault="00462388" w:rsidP="00C875CE">
      <w:pPr>
        <w:shd w:val="clear" w:color="auto" w:fill="FFFFFF"/>
        <w:spacing w:after="120" w:line="240" w:lineRule="auto"/>
        <w:jc w:val="both"/>
        <w:rPr>
          <w:rFonts w:ascii="Arial" w:hAnsi="Arial" w:cs="Arial"/>
          <w:lang w:val="es-ES"/>
        </w:rPr>
      </w:pPr>
      <w:r w:rsidRPr="00280733">
        <w:rPr>
          <w:rFonts w:ascii="Arial" w:hAnsi="Arial" w:cs="Arial"/>
          <w:lang w:val="es-ES"/>
        </w:rPr>
        <w:t>La grafica N°3 da cuenta de esta secuencia.</w:t>
      </w:r>
    </w:p>
    <w:p w:rsidR="00404804" w:rsidRPr="00280733" w:rsidRDefault="005326B6" w:rsidP="00C875CE">
      <w:pPr>
        <w:shd w:val="clear" w:color="auto" w:fill="FFFFFF"/>
        <w:spacing w:after="120" w:line="240" w:lineRule="auto"/>
        <w:jc w:val="both"/>
        <w:rPr>
          <w:rFonts w:ascii="Arial" w:hAnsi="Arial" w:cs="Arial"/>
          <w:lang w:val="es-ES"/>
        </w:rPr>
      </w:pPr>
      <w:r w:rsidRPr="00280733">
        <w:rPr>
          <w:rFonts w:ascii="Arial" w:hAnsi="Arial" w:cs="Arial"/>
          <w:lang w:val="es-ES"/>
        </w:rPr>
        <w:t>En cada caso se parte de la necesidad de hacer un proyecto y documentación para cada una de las obras, de su presentación y aprobación por las autoridades competentes, asimiento unidad de coordinación la confección de un pliego y la licitación de las obras. La unidad de coordinación (que incluye en su tarea a miembros de ADN y de Cultura, realiza las tareas de supervisión, y certificación de los avances modulando el ritmo de desembolsos.</w:t>
      </w:r>
    </w:p>
    <w:p w:rsidR="005326B6" w:rsidRPr="00280733" w:rsidRDefault="005326B6" w:rsidP="00C875CE">
      <w:pPr>
        <w:shd w:val="clear" w:color="auto" w:fill="FFFFFF"/>
        <w:spacing w:after="120" w:line="240" w:lineRule="auto"/>
        <w:jc w:val="both"/>
        <w:rPr>
          <w:rFonts w:ascii="Arial" w:hAnsi="Arial" w:cs="Arial"/>
          <w:lang w:val="es-ES"/>
        </w:rPr>
      </w:pPr>
      <w:r w:rsidRPr="00280733">
        <w:rPr>
          <w:rFonts w:ascii="Arial" w:hAnsi="Arial" w:cs="Arial"/>
          <w:lang w:val="es-ES"/>
        </w:rPr>
        <w:lastRenderedPageBreak/>
        <w:t>Esta secuencia operativa no supone que todas las obras se desarrollen en el mismo tiempo sino que cada una tendrá su propia secuencia dentro de la programación general del flujo de desembolsos del programa</w:t>
      </w:r>
      <w:r w:rsidR="00A02891" w:rsidRPr="00280733">
        <w:rPr>
          <w:rFonts w:ascii="Arial" w:hAnsi="Arial" w:cs="Arial"/>
          <w:lang w:val="es-ES"/>
        </w:rPr>
        <w:t>.</w:t>
      </w:r>
    </w:p>
    <w:p w:rsidR="001D23B4" w:rsidRPr="00280733" w:rsidRDefault="001D23B4" w:rsidP="00C875CE">
      <w:pPr>
        <w:shd w:val="clear" w:color="auto" w:fill="FFFFFF"/>
        <w:spacing w:after="120" w:line="240" w:lineRule="auto"/>
        <w:jc w:val="both"/>
        <w:rPr>
          <w:rFonts w:ascii="Arial" w:eastAsia="Times New Roman" w:hAnsi="Arial" w:cs="Arial"/>
          <w:b/>
          <w:color w:val="222222"/>
          <w:lang w:val="es-ES" w:eastAsia="es-MX"/>
        </w:rPr>
      </w:pPr>
    </w:p>
    <w:p w:rsidR="00A02891" w:rsidRPr="00280733" w:rsidRDefault="00A02891" w:rsidP="00280733">
      <w:pPr>
        <w:spacing w:after="120" w:line="240" w:lineRule="auto"/>
        <w:rPr>
          <w:rFonts w:ascii="Arial" w:eastAsia="Times New Roman" w:hAnsi="Arial" w:cs="Arial"/>
          <w:b/>
          <w:color w:val="4F81BD" w:themeColor="accent1"/>
          <w:lang w:val="es-ES" w:eastAsia="es-MX"/>
        </w:rPr>
      </w:pPr>
      <w:r w:rsidRPr="00280733">
        <w:rPr>
          <w:rFonts w:ascii="Arial" w:eastAsia="Times New Roman" w:hAnsi="Arial" w:cs="Arial"/>
          <w:b/>
          <w:color w:val="4F81BD" w:themeColor="accent1"/>
          <w:lang w:val="es-ES" w:eastAsia="es-MX"/>
        </w:rPr>
        <w:t>Intervenciones en la Recuperación de parques públicos.</w:t>
      </w:r>
    </w:p>
    <w:p w:rsidR="00A02891" w:rsidRPr="00280733" w:rsidRDefault="00A02891"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 xml:space="preserve">Las intervenciones sobre parques han de responder a una secuencia semejante a las intervenciones sobre las calles. Tendrán por lo tanto una primera etapa de proyecto, que ha de agregar la contribución de profesionales dedicados al tratamiento paisajístico y la realización de trabajos de jardinería. Como en el caso de los otros espacios públicos deberá coordinarse con otros abordajes sectoriales, como los relacionados con los temas de estacionamiento, alumbrado, tratamiento de residuos, seguridad, accesibilidad etc.  </w:t>
      </w:r>
    </w:p>
    <w:p w:rsidR="001D23B4" w:rsidRPr="00280733" w:rsidRDefault="001D23B4"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También en el caso de los parques la cuestión del mantenimiento tendrá un papel decisivo sobre la evolución posterior de estos espacios, convirtiéndose en un tema central para la evaluación de los proyectos. Las características de estas intervenciones tendrán que incluir una reflexión sobre el tipo de personal, capacitación, tecnología que utilizara y de los locales (talleres) y equipos (vehículos, maquinas) en los que se apoyara para desarrollar su tarea, cuestiones que han quedado previstas en los programas de fortalecimiento institucional.</w:t>
      </w:r>
    </w:p>
    <w:p w:rsidR="001D23B4" w:rsidRPr="00280733" w:rsidRDefault="001D23B4" w:rsidP="00C875CE">
      <w:pPr>
        <w:shd w:val="clear" w:color="auto" w:fill="FFFFFF"/>
        <w:spacing w:after="120" w:line="240" w:lineRule="auto"/>
        <w:jc w:val="both"/>
        <w:rPr>
          <w:rFonts w:ascii="Arial" w:hAnsi="Arial" w:cs="Arial"/>
          <w:lang w:val="es-ES"/>
        </w:rPr>
      </w:pPr>
      <w:r w:rsidRPr="00280733">
        <w:rPr>
          <w:rFonts w:ascii="Arial" w:eastAsia="Times New Roman" w:hAnsi="Arial" w:cs="Arial"/>
          <w:color w:val="222222"/>
          <w:lang w:val="es-ES" w:eastAsia="es-MX"/>
        </w:rPr>
        <w:t>Como en los otros caso</w:t>
      </w:r>
      <w:r w:rsidR="009A7781" w:rsidRPr="00280733">
        <w:rPr>
          <w:rFonts w:ascii="Arial" w:eastAsia="Times New Roman" w:hAnsi="Arial" w:cs="Arial"/>
          <w:color w:val="222222"/>
          <w:lang w:val="es-ES" w:eastAsia="es-MX"/>
        </w:rPr>
        <w:t>s</w:t>
      </w:r>
      <w:r w:rsidRPr="00280733">
        <w:rPr>
          <w:rFonts w:ascii="Arial" w:eastAsia="Times New Roman" w:hAnsi="Arial" w:cs="Arial"/>
          <w:color w:val="222222"/>
          <w:lang w:val="es-ES" w:eastAsia="es-MX"/>
        </w:rPr>
        <w:t xml:space="preserve"> </w:t>
      </w:r>
      <w:r w:rsidR="009A7781" w:rsidRPr="00280733">
        <w:rPr>
          <w:rFonts w:ascii="Arial" w:eastAsia="Times New Roman" w:hAnsi="Arial" w:cs="Arial"/>
          <w:color w:val="222222"/>
          <w:lang w:val="es-ES" w:eastAsia="es-MX"/>
        </w:rPr>
        <w:t xml:space="preserve">la gráfica N°4 describe </w:t>
      </w:r>
      <w:r w:rsidRPr="00280733">
        <w:rPr>
          <w:rFonts w:ascii="Arial" w:eastAsia="Times New Roman" w:hAnsi="Arial" w:cs="Arial"/>
          <w:color w:val="222222"/>
          <w:lang w:val="es-ES" w:eastAsia="es-MX"/>
        </w:rPr>
        <w:t xml:space="preserve">la secuencia </w:t>
      </w:r>
      <w:r w:rsidR="009A7781" w:rsidRPr="00280733">
        <w:rPr>
          <w:rFonts w:ascii="Arial" w:eastAsia="Times New Roman" w:hAnsi="Arial" w:cs="Arial"/>
          <w:color w:val="222222"/>
          <w:lang w:val="es-ES" w:eastAsia="es-MX"/>
        </w:rPr>
        <w:t xml:space="preserve">que </w:t>
      </w:r>
      <w:r w:rsidRPr="00280733">
        <w:rPr>
          <w:rFonts w:ascii="Arial" w:eastAsia="Times New Roman" w:hAnsi="Arial" w:cs="Arial"/>
          <w:color w:val="222222"/>
          <w:lang w:val="es-ES" w:eastAsia="es-MX"/>
        </w:rPr>
        <w:t>incluye proyecto y documentación, la formulación de un pliego por parte del responsable de encarar el proceso licitatorio</w:t>
      </w:r>
      <w:r w:rsidR="009A7781" w:rsidRPr="00280733">
        <w:rPr>
          <w:rFonts w:ascii="Arial" w:eastAsia="Times New Roman" w:hAnsi="Arial" w:cs="Arial"/>
          <w:color w:val="222222"/>
          <w:lang w:val="es-ES" w:eastAsia="es-MX"/>
        </w:rPr>
        <w:t>, seguimiento de las obras modulando el proceso de desembolsos hasta  llegar a la recepción final de las mismas.</w:t>
      </w:r>
    </w:p>
    <w:p w:rsidR="00E05C45" w:rsidRPr="00280733" w:rsidRDefault="00E05C45" w:rsidP="00C875CE">
      <w:pPr>
        <w:shd w:val="clear" w:color="auto" w:fill="FFFFFF"/>
        <w:spacing w:after="120" w:line="240" w:lineRule="auto"/>
        <w:jc w:val="both"/>
        <w:rPr>
          <w:rFonts w:ascii="Arial" w:hAnsi="Arial" w:cs="Arial"/>
          <w:lang w:val="es-ES"/>
        </w:rPr>
      </w:pPr>
    </w:p>
    <w:p w:rsidR="00E05C45" w:rsidRPr="00280733" w:rsidRDefault="00E05C45" w:rsidP="00C875CE">
      <w:pPr>
        <w:shd w:val="clear" w:color="auto" w:fill="FFFFFF"/>
        <w:spacing w:after="120" w:line="240" w:lineRule="auto"/>
        <w:jc w:val="both"/>
        <w:rPr>
          <w:rFonts w:ascii="Arial" w:hAnsi="Arial" w:cs="Arial"/>
          <w:lang w:val="es-ES"/>
        </w:rPr>
      </w:pPr>
      <w:r w:rsidRPr="00280733">
        <w:rPr>
          <w:rFonts w:ascii="Arial" w:hAnsi="Arial" w:cs="Arial"/>
          <w:noProof/>
          <w:lang w:val="en-US"/>
        </w:rPr>
        <w:lastRenderedPageBreak/>
        <w:drawing>
          <wp:inline distT="0" distB="0" distL="0" distR="0" wp14:anchorId="19466232" wp14:editId="3C31CEDD">
            <wp:extent cx="5836596" cy="4377650"/>
            <wp:effectExtent l="0" t="0" r="0" b="444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48197" cy="4386351"/>
                    </a:xfrm>
                    <a:prstGeom prst="rect">
                      <a:avLst/>
                    </a:prstGeom>
                    <a:noFill/>
                  </pic:spPr>
                </pic:pic>
              </a:graphicData>
            </a:graphic>
          </wp:inline>
        </w:drawing>
      </w:r>
    </w:p>
    <w:p w:rsidR="00A02891" w:rsidRPr="00280733" w:rsidRDefault="00A02891" w:rsidP="00C875CE">
      <w:pPr>
        <w:shd w:val="clear" w:color="auto" w:fill="FFFFFF"/>
        <w:spacing w:after="120" w:line="240" w:lineRule="auto"/>
        <w:jc w:val="both"/>
        <w:rPr>
          <w:rFonts w:ascii="Arial" w:hAnsi="Arial" w:cs="Arial"/>
          <w:lang w:val="es-ES"/>
        </w:rPr>
      </w:pPr>
    </w:p>
    <w:p w:rsidR="009A7781" w:rsidRPr="00280733" w:rsidRDefault="009A7781" w:rsidP="00280733">
      <w:pPr>
        <w:spacing w:after="120" w:line="240" w:lineRule="auto"/>
        <w:rPr>
          <w:rFonts w:ascii="Arial" w:eastAsia="Times New Roman" w:hAnsi="Arial" w:cs="Arial"/>
          <w:b/>
          <w:color w:val="4F81BD" w:themeColor="accent1"/>
          <w:lang w:val="es-ES" w:eastAsia="es-MX"/>
        </w:rPr>
      </w:pPr>
      <w:r w:rsidRPr="00280733">
        <w:rPr>
          <w:rFonts w:ascii="Arial" w:eastAsia="Times New Roman" w:hAnsi="Arial" w:cs="Arial"/>
          <w:b/>
          <w:color w:val="4F81BD" w:themeColor="accent1"/>
          <w:lang w:val="es-ES" w:eastAsia="es-MX"/>
        </w:rPr>
        <w:t>Intervención en el sector de las ruinas de San Francisco y su entorno</w:t>
      </w:r>
    </w:p>
    <w:p w:rsidR="009A7781" w:rsidRPr="00280733" w:rsidRDefault="009A7781"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 xml:space="preserve">Por el contrario las intervenciones sobre la iglesia de San Francisco, el resto del monasterio (incluido el espacio arqueológico) y su entorno urbano </w:t>
      </w:r>
      <w:r w:rsidR="00751B40" w:rsidRPr="00280733">
        <w:rPr>
          <w:rFonts w:ascii="Arial" w:eastAsia="Times New Roman" w:hAnsi="Arial" w:cs="Arial"/>
          <w:color w:val="222222"/>
          <w:lang w:val="es-ES" w:eastAsia="es-MX"/>
        </w:rPr>
        <w:t>tienen</w:t>
      </w:r>
      <w:r w:rsidRPr="00280733">
        <w:rPr>
          <w:rFonts w:ascii="Arial" w:eastAsia="Times New Roman" w:hAnsi="Arial" w:cs="Arial"/>
          <w:color w:val="222222"/>
          <w:lang w:val="es-ES" w:eastAsia="es-MX"/>
        </w:rPr>
        <w:t xml:space="preserve"> mucha mayor complejidad. Supone una evaluación de</w:t>
      </w:r>
      <w:r w:rsidR="00280733" w:rsidRPr="00280733">
        <w:rPr>
          <w:rFonts w:ascii="Arial" w:eastAsia="Times New Roman" w:hAnsi="Arial" w:cs="Arial"/>
          <w:color w:val="222222"/>
          <w:lang w:val="es-ES" w:eastAsia="es-MX"/>
        </w:rPr>
        <w:t xml:space="preserve"> </w:t>
      </w:r>
      <w:r w:rsidRPr="00280733">
        <w:rPr>
          <w:rFonts w:ascii="Arial" w:eastAsia="Times New Roman" w:hAnsi="Arial" w:cs="Arial"/>
          <w:color w:val="222222"/>
          <w:lang w:val="es-ES" w:eastAsia="es-MX"/>
        </w:rPr>
        <w:t>las condiciones de sustentabilidad de los edificios (o de sus restos) y de las estrategias elegidas para garantizarla. Requiere precisar los criterios de cómo se relevará y preservará el patrimonio enterrado entre las ruinas. Y por último requiere un consenso respecto de la estrategia que se elegirá para su puesta en valor.</w:t>
      </w:r>
    </w:p>
    <w:p w:rsidR="009A7781" w:rsidRPr="00280733" w:rsidRDefault="009A7781"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Todas estas condiciones proyectan hacia adelante el desarrollo de este emprendimiento, lo que no elimina la urgencia por resolver las cuestiones más inmediatas de fortalecimiento de las estructuras.</w:t>
      </w:r>
    </w:p>
    <w:p w:rsidR="009A7781" w:rsidRPr="00280733" w:rsidRDefault="009A7781" w:rsidP="00C875CE">
      <w:pPr>
        <w:shd w:val="clear" w:color="auto" w:fill="FFFFFF"/>
        <w:spacing w:after="120" w:line="240" w:lineRule="auto"/>
        <w:jc w:val="both"/>
        <w:rPr>
          <w:rFonts w:ascii="Arial" w:eastAsia="Times New Roman" w:hAnsi="Arial" w:cs="Arial"/>
          <w:color w:val="222222"/>
          <w:lang w:val="es-ES" w:eastAsia="es-MX"/>
        </w:rPr>
      </w:pPr>
      <w:r w:rsidRPr="00280733">
        <w:rPr>
          <w:rFonts w:ascii="Arial" w:eastAsia="Times New Roman" w:hAnsi="Arial" w:cs="Arial"/>
          <w:color w:val="222222"/>
          <w:lang w:val="es-ES" w:eastAsia="es-MX"/>
        </w:rPr>
        <w:t>En términos de implementación puede desarmarse este proyecto en tres módulos: uno referido al tratamiento de la antigua iglesia incluyendo el atrio y claustro. Esta instancia supone una intervención urgente vinculada a la sustentabilidad de las edificaciones en pie.</w:t>
      </w:r>
      <w:r w:rsidR="00F338DC" w:rsidRPr="00280733">
        <w:rPr>
          <w:rFonts w:ascii="Arial" w:eastAsia="Times New Roman" w:hAnsi="Arial" w:cs="Arial"/>
          <w:color w:val="222222"/>
          <w:lang w:val="es-ES" w:eastAsia="es-MX"/>
        </w:rPr>
        <w:t xml:space="preserve"> </w:t>
      </w:r>
      <w:r w:rsidRPr="00280733">
        <w:rPr>
          <w:rFonts w:ascii="Arial" w:eastAsia="Times New Roman" w:hAnsi="Arial" w:cs="Arial"/>
          <w:color w:val="222222"/>
          <w:lang w:val="es-ES" w:eastAsia="es-MX"/>
        </w:rPr>
        <w:t xml:space="preserve">Un segundo módulo se refiere al espacio arqueológico y el tratamiento de los espacios en ruinas. Por ultimo un tercer módulo refiere a l tratamiento del entorno urbano  de este conjunto monumental, y puede ser encarado desde el </w:t>
      </w:r>
      <w:r w:rsidR="00F338DC" w:rsidRPr="00280733">
        <w:rPr>
          <w:rFonts w:ascii="Arial" w:eastAsia="Times New Roman" w:hAnsi="Arial" w:cs="Arial"/>
          <w:color w:val="222222"/>
          <w:lang w:val="es-ES" w:eastAsia="es-MX"/>
        </w:rPr>
        <w:t>inicio</w:t>
      </w:r>
      <w:r w:rsidRPr="00280733">
        <w:rPr>
          <w:rFonts w:ascii="Arial" w:eastAsia="Times New Roman" w:hAnsi="Arial" w:cs="Arial"/>
          <w:color w:val="222222"/>
          <w:lang w:val="es-ES" w:eastAsia="es-MX"/>
        </w:rPr>
        <w:t xml:space="preserve"> con los mismos criterios que para el resto de los espacios públicos.</w:t>
      </w:r>
    </w:p>
    <w:p w:rsidR="009A7781" w:rsidRPr="00280733" w:rsidRDefault="001D23B4" w:rsidP="00C875CE">
      <w:pPr>
        <w:shd w:val="clear" w:color="auto" w:fill="FFFFFF"/>
        <w:spacing w:after="120" w:line="240" w:lineRule="auto"/>
        <w:rPr>
          <w:rFonts w:ascii="Arial" w:hAnsi="Arial" w:cs="Arial"/>
          <w:lang w:val="es-ES"/>
        </w:rPr>
      </w:pPr>
      <w:r w:rsidRPr="00280733">
        <w:rPr>
          <w:rFonts w:ascii="Arial" w:hAnsi="Arial" w:cs="Arial"/>
          <w:lang w:val="es-ES"/>
        </w:rPr>
        <w:lastRenderedPageBreak/>
        <w:t>La grafica N°</w:t>
      </w:r>
      <w:r w:rsidR="009A7781" w:rsidRPr="00280733">
        <w:rPr>
          <w:rFonts w:ascii="Arial" w:hAnsi="Arial" w:cs="Arial"/>
          <w:lang w:val="es-ES"/>
        </w:rPr>
        <w:t>5</w:t>
      </w:r>
      <w:r w:rsidRPr="00280733">
        <w:rPr>
          <w:rFonts w:ascii="Arial" w:hAnsi="Arial" w:cs="Arial"/>
          <w:lang w:val="es-ES"/>
        </w:rPr>
        <w:t xml:space="preserve"> agrega a los temas ya analizados de tratamiento del espacio público un nuevo campo (el sector inferior) en el que se proyecta la secuencia de implementación de los proyectos sobre edificios públicos. </w:t>
      </w:r>
    </w:p>
    <w:p w:rsidR="009A7781" w:rsidRPr="00280733" w:rsidRDefault="009A7781" w:rsidP="00C875CE">
      <w:pPr>
        <w:shd w:val="clear" w:color="auto" w:fill="FFFFFF"/>
        <w:spacing w:after="120" w:line="240" w:lineRule="auto"/>
        <w:rPr>
          <w:rFonts w:ascii="Arial" w:hAnsi="Arial" w:cs="Arial"/>
          <w:lang w:val="es-ES"/>
        </w:rPr>
      </w:pPr>
    </w:p>
    <w:p w:rsidR="00A02891" w:rsidRPr="00280733" w:rsidRDefault="00A02891" w:rsidP="00C875CE">
      <w:pPr>
        <w:shd w:val="clear" w:color="auto" w:fill="FFFFFF"/>
        <w:spacing w:after="120" w:line="240" w:lineRule="auto"/>
        <w:rPr>
          <w:rFonts w:ascii="Arial" w:hAnsi="Arial" w:cs="Arial"/>
          <w:lang w:val="es-ES"/>
        </w:rPr>
      </w:pPr>
      <w:r w:rsidRPr="00280733">
        <w:rPr>
          <w:rFonts w:ascii="Arial" w:hAnsi="Arial" w:cs="Arial"/>
          <w:noProof/>
          <w:lang w:val="en-US"/>
        </w:rPr>
        <w:drawing>
          <wp:inline distT="0" distB="0" distL="0" distR="0" wp14:anchorId="5DD9BEB0" wp14:editId="05754DF1">
            <wp:extent cx="5612130" cy="4208780"/>
            <wp:effectExtent l="0" t="0" r="762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4208780"/>
                    </a:xfrm>
                    <a:prstGeom prst="rect">
                      <a:avLst/>
                    </a:prstGeom>
                    <a:noFill/>
                  </pic:spPr>
                </pic:pic>
              </a:graphicData>
            </a:graphic>
          </wp:inline>
        </w:drawing>
      </w:r>
    </w:p>
    <w:p w:rsidR="009A7781" w:rsidRPr="00280733" w:rsidRDefault="009A7781" w:rsidP="00C875CE">
      <w:pPr>
        <w:shd w:val="clear" w:color="auto" w:fill="FFFFFF"/>
        <w:spacing w:after="120" w:line="240" w:lineRule="auto"/>
        <w:rPr>
          <w:rFonts w:ascii="Arial" w:hAnsi="Arial" w:cs="Arial"/>
          <w:lang w:val="es-ES"/>
        </w:rPr>
      </w:pPr>
    </w:p>
    <w:p w:rsidR="009A7781" w:rsidRPr="00280733" w:rsidRDefault="009A7781" w:rsidP="00C875CE">
      <w:pPr>
        <w:shd w:val="clear" w:color="auto" w:fill="FFFFFF"/>
        <w:spacing w:after="120" w:line="240" w:lineRule="auto"/>
        <w:rPr>
          <w:rFonts w:ascii="Arial" w:hAnsi="Arial" w:cs="Arial"/>
          <w:lang w:val="es-ES"/>
        </w:rPr>
      </w:pPr>
    </w:p>
    <w:sectPr w:rsidR="009A7781" w:rsidRPr="00280733" w:rsidSect="00177B40">
      <w:footerReference w:type="default" r:id="rId14"/>
      <w:pgSz w:w="12240" w:h="15840"/>
      <w:pgMar w:top="1350" w:right="1701" w:bottom="153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47E" w:rsidRDefault="0097147E" w:rsidP="007C0CFA">
      <w:pPr>
        <w:spacing w:after="0" w:line="240" w:lineRule="auto"/>
      </w:pPr>
      <w:r>
        <w:separator/>
      </w:r>
    </w:p>
  </w:endnote>
  <w:endnote w:type="continuationSeparator" w:id="0">
    <w:p w:rsidR="0097147E" w:rsidRDefault="0097147E" w:rsidP="007C0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194" w:rsidRPr="005D5194" w:rsidRDefault="005D5194" w:rsidP="005D5194">
    <w:pPr>
      <w:spacing w:after="0" w:line="240" w:lineRule="auto"/>
      <w:contextualSpacing/>
      <w:jc w:val="right"/>
      <w:rPr>
        <w:rFonts w:ascii="Arial" w:eastAsia="Times New Roman" w:hAnsi="Arial" w:cs="Arial"/>
        <w:sz w:val="20"/>
        <w:szCs w:val="20"/>
        <w:lang w:val="es-ES" w:eastAsia="es-MX"/>
      </w:rPr>
    </w:pPr>
    <w:r w:rsidRPr="005D5194">
      <w:rPr>
        <w:rFonts w:ascii="Arial" w:eastAsia="Times New Roman" w:hAnsi="Arial" w:cs="Arial"/>
        <w:sz w:val="20"/>
        <w:szCs w:val="20"/>
        <w:lang w:val="es-ES" w:eastAsia="es-MX"/>
      </w:rPr>
      <w:t>Pautas para la preparación de una estrategia gradual</w:t>
    </w:r>
    <w:r w:rsidRPr="005D5194">
      <w:rPr>
        <w:rFonts w:ascii="Arial" w:eastAsia="Times New Roman" w:hAnsi="Arial" w:cs="Arial"/>
        <w:sz w:val="20"/>
        <w:szCs w:val="20"/>
        <w:lang w:val="es-ES" w:eastAsia="es-MX"/>
      </w:rPr>
      <w:t xml:space="preserve"> </w:t>
    </w:r>
    <w:r w:rsidRPr="005D5194">
      <w:rPr>
        <w:rFonts w:ascii="Arial" w:eastAsia="Times New Roman" w:hAnsi="Arial" w:cs="Arial"/>
        <w:sz w:val="20"/>
        <w:szCs w:val="20"/>
        <w:lang w:val="es-ES" w:eastAsia="es-MX"/>
      </w:rPr>
      <w:t>de intervención de la CCSD</w:t>
    </w:r>
  </w:p>
  <w:p w:rsidR="005D5194" w:rsidRPr="005D5194" w:rsidRDefault="005D5194" w:rsidP="005D5194">
    <w:pPr>
      <w:pStyle w:val="Footer"/>
      <w:jc w:val="center"/>
      <w:rPr>
        <w:lang w:val="es-ES"/>
      </w:rPr>
    </w:pPr>
  </w:p>
  <w:sdt>
    <w:sdtPr>
      <w:id w:val="622189237"/>
      <w:docPartObj>
        <w:docPartGallery w:val="Page Numbers (Bottom of Page)"/>
        <w:docPartUnique/>
      </w:docPartObj>
    </w:sdtPr>
    <w:sdtEndPr>
      <w:rPr>
        <w:noProof/>
      </w:rPr>
    </w:sdtEndPr>
    <w:sdtContent>
      <w:p w:rsidR="005D5194" w:rsidRDefault="005D5194" w:rsidP="005D5194">
        <w:pPr>
          <w:pStyle w:val="Footer"/>
          <w:jc w:val="right"/>
          <w:rPr>
            <w:noProof/>
          </w:rPr>
        </w:pPr>
        <w:r w:rsidRPr="005D5194">
          <w:rPr>
            <w:rFonts w:ascii="Arial" w:hAnsi="Arial" w:cs="Arial"/>
            <w:sz w:val="20"/>
            <w:szCs w:val="20"/>
          </w:rPr>
          <w:fldChar w:fldCharType="begin"/>
        </w:r>
        <w:r w:rsidRPr="005D5194">
          <w:rPr>
            <w:rFonts w:ascii="Arial" w:hAnsi="Arial" w:cs="Arial"/>
            <w:sz w:val="20"/>
            <w:szCs w:val="20"/>
          </w:rPr>
          <w:instrText xml:space="preserve"> PAGE   \* MERGEFORMAT </w:instrText>
        </w:r>
        <w:r w:rsidRPr="005D5194">
          <w:rPr>
            <w:rFonts w:ascii="Arial" w:hAnsi="Arial" w:cs="Arial"/>
            <w:sz w:val="20"/>
            <w:szCs w:val="20"/>
          </w:rPr>
          <w:fldChar w:fldCharType="separate"/>
        </w:r>
        <w:r>
          <w:rPr>
            <w:rFonts w:ascii="Arial" w:hAnsi="Arial" w:cs="Arial"/>
            <w:noProof/>
            <w:sz w:val="20"/>
            <w:szCs w:val="20"/>
          </w:rPr>
          <w:t>9</w:t>
        </w:r>
        <w:r w:rsidRPr="005D5194">
          <w:rPr>
            <w:rFonts w:ascii="Arial" w:hAnsi="Arial" w:cs="Arial"/>
            <w:noProof/>
            <w:sz w:val="20"/>
            <w:szCs w:val="20"/>
          </w:rPr>
          <w:fldChar w:fldCharType="end"/>
        </w:r>
        <w:r w:rsidRPr="005D5194">
          <w:rPr>
            <w:rFonts w:ascii="Arial" w:hAnsi="Arial" w:cs="Arial"/>
            <w:noProof/>
            <w:sz w:val="20"/>
            <w:szCs w:val="20"/>
          </w:rPr>
          <w:t xml:space="preserve"> de 9</w:t>
        </w:r>
      </w:p>
    </w:sdtContent>
  </w:sdt>
  <w:p w:rsidR="005D5194" w:rsidRDefault="005D51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47E" w:rsidRDefault="0097147E" w:rsidP="007C0CFA">
      <w:pPr>
        <w:spacing w:after="0" w:line="240" w:lineRule="auto"/>
      </w:pPr>
      <w:r>
        <w:separator/>
      </w:r>
    </w:p>
  </w:footnote>
  <w:footnote w:type="continuationSeparator" w:id="0">
    <w:p w:rsidR="0097147E" w:rsidRDefault="0097147E" w:rsidP="007C0CFA">
      <w:pPr>
        <w:spacing w:after="0" w:line="240" w:lineRule="auto"/>
      </w:pPr>
      <w:r>
        <w:continuationSeparator/>
      </w:r>
    </w:p>
  </w:footnote>
  <w:footnote w:id="1">
    <w:p w:rsidR="007C0CFA" w:rsidRDefault="007C0CFA">
      <w:pPr>
        <w:pStyle w:val="FootnoteText"/>
      </w:pPr>
      <w:r>
        <w:rPr>
          <w:rStyle w:val="FootnoteReference"/>
        </w:rPr>
        <w:footnoteRef/>
      </w:r>
      <w:r>
        <w:t xml:space="preserve"> Los trabajos pueden  incluir la realización de cateos y estudios de escurrimiento, calidad de suelo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32437"/>
    <w:multiLevelType w:val="hybridMultilevel"/>
    <w:tmpl w:val="DB5AA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F05F07"/>
    <w:multiLevelType w:val="multilevel"/>
    <w:tmpl w:val="BD6C67CC"/>
    <w:lvl w:ilvl="0">
      <w:start w:val="1"/>
      <w:numFmt w:val="decimal"/>
      <w:lvlText w:val="%1."/>
      <w:lvlJc w:val="left"/>
      <w:pPr>
        <w:ind w:left="540" w:hanging="540"/>
      </w:pPr>
      <w:rPr>
        <w:rFonts w:hint="default"/>
      </w:rPr>
    </w:lvl>
    <w:lvl w:ilvl="1">
      <w:start w:val="1"/>
      <w:numFmt w:val="decimal"/>
      <w:lvlText w:val="%2."/>
      <w:lvlJc w:val="left"/>
      <w:pPr>
        <w:ind w:left="90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6120" w:hanging="1800"/>
      </w:pPr>
      <w:rPr>
        <w:rFonts w:hint="default"/>
      </w:rPr>
    </w:lvl>
  </w:abstractNum>
  <w:abstractNum w:abstractNumId="2">
    <w:nsid w:val="33FC7F26"/>
    <w:multiLevelType w:val="hybridMultilevel"/>
    <w:tmpl w:val="58FE6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4A462D"/>
    <w:multiLevelType w:val="hybridMultilevel"/>
    <w:tmpl w:val="FC448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383E16"/>
    <w:multiLevelType w:val="multilevel"/>
    <w:tmpl w:val="064CDB2C"/>
    <w:lvl w:ilvl="0">
      <w:start w:val="1"/>
      <w:numFmt w:val="decimal"/>
      <w:lvlText w:val="%1."/>
      <w:lvlJc w:val="left"/>
      <w:pPr>
        <w:ind w:left="540" w:hanging="54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6120" w:hanging="1800"/>
      </w:pPr>
      <w:rPr>
        <w:rFont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CFA"/>
    <w:rsid w:val="00030738"/>
    <w:rsid w:val="001727F9"/>
    <w:rsid w:val="00177B40"/>
    <w:rsid w:val="001940A4"/>
    <w:rsid w:val="001C09C3"/>
    <w:rsid w:val="001C6AA4"/>
    <w:rsid w:val="001D23B4"/>
    <w:rsid w:val="001E7163"/>
    <w:rsid w:val="00227025"/>
    <w:rsid w:val="00280733"/>
    <w:rsid w:val="002C1A3C"/>
    <w:rsid w:val="003149EA"/>
    <w:rsid w:val="003B4959"/>
    <w:rsid w:val="00404804"/>
    <w:rsid w:val="00462388"/>
    <w:rsid w:val="005326B6"/>
    <w:rsid w:val="0053669C"/>
    <w:rsid w:val="005D5194"/>
    <w:rsid w:val="006E22D5"/>
    <w:rsid w:val="00751B40"/>
    <w:rsid w:val="00760E4C"/>
    <w:rsid w:val="00766AB3"/>
    <w:rsid w:val="007C0CFA"/>
    <w:rsid w:val="008414ED"/>
    <w:rsid w:val="009079FC"/>
    <w:rsid w:val="0097147E"/>
    <w:rsid w:val="009A7781"/>
    <w:rsid w:val="00A02891"/>
    <w:rsid w:val="00C054BB"/>
    <w:rsid w:val="00C30E2C"/>
    <w:rsid w:val="00C875CE"/>
    <w:rsid w:val="00D11A59"/>
    <w:rsid w:val="00E039C3"/>
    <w:rsid w:val="00E05C45"/>
    <w:rsid w:val="00E6259B"/>
    <w:rsid w:val="00EC713C"/>
    <w:rsid w:val="00F32AEB"/>
    <w:rsid w:val="00F338DC"/>
    <w:rsid w:val="00F95C3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0CFA"/>
    <w:pPr>
      <w:ind w:left="720"/>
      <w:contextualSpacing/>
    </w:pPr>
  </w:style>
  <w:style w:type="paragraph" w:styleId="FootnoteText">
    <w:name w:val="footnote text"/>
    <w:basedOn w:val="Normal"/>
    <w:link w:val="FootnoteTextChar"/>
    <w:uiPriority w:val="99"/>
    <w:semiHidden/>
    <w:unhideWhenUsed/>
    <w:rsid w:val="007C0C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0CFA"/>
    <w:rPr>
      <w:sz w:val="20"/>
      <w:szCs w:val="20"/>
    </w:rPr>
  </w:style>
  <w:style w:type="character" w:styleId="FootnoteReference">
    <w:name w:val="footnote reference"/>
    <w:basedOn w:val="DefaultParagraphFont"/>
    <w:uiPriority w:val="99"/>
    <w:semiHidden/>
    <w:unhideWhenUsed/>
    <w:rsid w:val="007C0CFA"/>
    <w:rPr>
      <w:vertAlign w:val="superscript"/>
    </w:rPr>
  </w:style>
  <w:style w:type="paragraph" w:styleId="BalloonText">
    <w:name w:val="Balloon Text"/>
    <w:basedOn w:val="Normal"/>
    <w:link w:val="BalloonTextChar"/>
    <w:uiPriority w:val="99"/>
    <w:semiHidden/>
    <w:unhideWhenUsed/>
    <w:rsid w:val="001727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7F9"/>
    <w:rPr>
      <w:rFonts w:ascii="Tahoma" w:hAnsi="Tahoma" w:cs="Tahoma"/>
      <w:sz w:val="16"/>
      <w:szCs w:val="16"/>
    </w:rPr>
  </w:style>
  <w:style w:type="paragraph" w:styleId="Header">
    <w:name w:val="header"/>
    <w:basedOn w:val="Normal"/>
    <w:link w:val="HeaderChar"/>
    <w:uiPriority w:val="99"/>
    <w:unhideWhenUsed/>
    <w:rsid w:val="005D51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194"/>
  </w:style>
  <w:style w:type="paragraph" w:styleId="Footer">
    <w:name w:val="footer"/>
    <w:basedOn w:val="Normal"/>
    <w:link w:val="FooterChar"/>
    <w:uiPriority w:val="99"/>
    <w:unhideWhenUsed/>
    <w:rsid w:val="005D51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1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0CFA"/>
    <w:pPr>
      <w:ind w:left="720"/>
      <w:contextualSpacing/>
    </w:pPr>
  </w:style>
  <w:style w:type="paragraph" w:styleId="FootnoteText">
    <w:name w:val="footnote text"/>
    <w:basedOn w:val="Normal"/>
    <w:link w:val="FootnoteTextChar"/>
    <w:uiPriority w:val="99"/>
    <w:semiHidden/>
    <w:unhideWhenUsed/>
    <w:rsid w:val="007C0C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0CFA"/>
    <w:rPr>
      <w:sz w:val="20"/>
      <w:szCs w:val="20"/>
    </w:rPr>
  </w:style>
  <w:style w:type="character" w:styleId="FootnoteReference">
    <w:name w:val="footnote reference"/>
    <w:basedOn w:val="DefaultParagraphFont"/>
    <w:uiPriority w:val="99"/>
    <w:semiHidden/>
    <w:unhideWhenUsed/>
    <w:rsid w:val="007C0CFA"/>
    <w:rPr>
      <w:vertAlign w:val="superscript"/>
    </w:rPr>
  </w:style>
  <w:style w:type="paragraph" w:styleId="BalloonText">
    <w:name w:val="Balloon Text"/>
    <w:basedOn w:val="Normal"/>
    <w:link w:val="BalloonTextChar"/>
    <w:uiPriority w:val="99"/>
    <w:semiHidden/>
    <w:unhideWhenUsed/>
    <w:rsid w:val="001727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7F9"/>
    <w:rPr>
      <w:rFonts w:ascii="Tahoma" w:hAnsi="Tahoma" w:cs="Tahoma"/>
      <w:sz w:val="16"/>
      <w:szCs w:val="16"/>
    </w:rPr>
  </w:style>
  <w:style w:type="paragraph" w:styleId="Header">
    <w:name w:val="header"/>
    <w:basedOn w:val="Normal"/>
    <w:link w:val="HeaderChar"/>
    <w:uiPriority w:val="99"/>
    <w:unhideWhenUsed/>
    <w:rsid w:val="005D51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194"/>
  </w:style>
  <w:style w:type="paragraph" w:styleId="Footer">
    <w:name w:val="footer"/>
    <w:basedOn w:val="Normal"/>
    <w:link w:val="FooterChar"/>
    <w:uiPriority w:val="99"/>
    <w:unhideWhenUsed/>
    <w:rsid w:val="005D51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51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customXml" Target="../customXml/item6.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4A1"/>
    <w:rsid w:val="00F72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A5BDCBFBEB24B0AABFB8656FE17300B">
    <w:name w:val="9A5BDCBFBEB24B0AABFB8656FE17300B"/>
    <w:rsid w:val="00F724A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A5BDCBFBEB24B0AABFB8656FE17300B">
    <w:name w:val="9A5BDCBFBEB24B0AABFB8656FE17300B"/>
    <w:rsid w:val="00F724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40310174</IDBDocs_x0020_Number>
    <TaxCatchAll xmlns="9c571b2f-e523-4ab2-ba2e-09e151a03ef4">
      <Value>11</Value>
      <Value>12</Value>
    </TaxCatchAll>
    <Phase xmlns="9c571b2f-e523-4ab2-ba2e-09e151a03ef4" xsi:nil="true"/>
    <SISCOR_x0020_Number xmlns="9c571b2f-e523-4ab2-ba2e-09e151a03ef4" xsi:nil="true"/>
    <Division_x0020_or_x0020_Unit xmlns="9c571b2f-e523-4ab2-ba2e-09e151a03ef4">CSD/HUD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Perez Rincon, Belinda</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ABLANCO</Other_x0020_Author>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DR-L1084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DS-MOV</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D72C66AA3545B4DBEB5F774A0D1EF01" ma:contentTypeVersion="0" ma:contentTypeDescription="A content type to manage public (operations) IDB documents" ma:contentTypeScope="" ma:versionID="8a3c4594b49f38bc1891b0271b45234a">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87C0EED4-AB0A-44F6-9D72-3860EFEE78AF}"/>
</file>

<file path=customXml/itemProps2.xml><?xml version="1.0" encoding="utf-8"?>
<ds:datastoreItem xmlns:ds="http://schemas.openxmlformats.org/officeDocument/2006/customXml" ds:itemID="{43742FD8-F121-47A9-9A25-C682E1D502FA}"/>
</file>

<file path=customXml/itemProps3.xml><?xml version="1.0" encoding="utf-8"?>
<ds:datastoreItem xmlns:ds="http://schemas.openxmlformats.org/officeDocument/2006/customXml" ds:itemID="{D0E6D666-53A6-42C3-91D1-574EF29D6E6F}"/>
</file>

<file path=customXml/itemProps4.xml><?xml version="1.0" encoding="utf-8"?>
<ds:datastoreItem xmlns:ds="http://schemas.openxmlformats.org/officeDocument/2006/customXml" ds:itemID="{AD18423D-17BF-4BEF-918E-917D46576970}"/>
</file>

<file path=customXml/itemProps5.xml><?xml version="1.0" encoding="utf-8"?>
<ds:datastoreItem xmlns:ds="http://schemas.openxmlformats.org/officeDocument/2006/customXml" ds:itemID="{A79FE684-69CD-47F4-A422-986C6E7D711C}"/>
</file>

<file path=customXml/itemProps6.xml><?xml version="1.0" encoding="utf-8"?>
<ds:datastoreItem xmlns:ds="http://schemas.openxmlformats.org/officeDocument/2006/customXml" ds:itemID="{C9772D9F-1CE6-4738-8B65-D7DC285A4F95}"/>
</file>

<file path=docProps/app.xml><?xml version="1.0" encoding="utf-8"?>
<Properties xmlns="http://schemas.openxmlformats.org/officeDocument/2006/extended-properties" xmlns:vt="http://schemas.openxmlformats.org/officeDocument/2006/docPropsVTypes">
  <Template>Normal.dotm</Template>
  <TotalTime>28</TotalTime>
  <Pages>9</Pages>
  <Words>2373</Words>
  <Characters>13528</Characters>
  <Application>Microsoft Office Word</Application>
  <DocSecurity>0</DocSecurity>
  <Lines>112</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15870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Pautas para la preparación de una estrategia gradual de intervención de la CCSD</dc:title>
  <dc:creator>fredy</dc:creator>
  <cp:lastModifiedBy>IADB</cp:lastModifiedBy>
  <cp:revision>8</cp:revision>
  <dcterms:created xsi:type="dcterms:W3CDTF">2016-05-11T20:58:00Z</dcterms:created>
  <dcterms:modified xsi:type="dcterms:W3CDTF">2016-06-03T19:34:00Z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0x01010046CF21643EE8D14686A648AA6DAD089200AD72C66AA3545B4DBEB5F774A0D1EF01</vt:lpwstr>
  </property>
  <property fmtid="{D5CDD505-2E9C-101B-9397-08002B2CF9AE}" pid="3" name="TaxKeyword">
    <vt:lpwstr/>
  </property>
  <property fmtid="{D5CDD505-2E9C-101B-9397-08002B2CF9AE}" pid="4" name="Function Operations IDB">
    <vt:lpwstr>12;#IDBDocs|cca77002-e150-4b2d-ab1f-1d7a7cdcae16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11;#Unclassified|a6dff32e-d477-44cd-a56b-85efe9e0a56c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11;#Unclassified|a6dff32e-d477-44cd-a56b-85efe9e0a56c</vt:lpwstr>
  </property>
  <property fmtid="{D5CDD505-2E9C-101B-9397-08002B2CF9AE}" pid="12" name="To:">
    <vt:lpwstr/>
  </property>
  <property fmtid="{D5CDD505-2E9C-101B-9397-08002B2CF9AE}" pid="13" name="From:">
    <vt:lpwstr>ABLANCO</vt:lpwstr>
  </property>
  <property fmtid="{D5CDD505-2E9C-101B-9397-08002B2CF9AE}" pid="14" name="Sector IDB">
    <vt:lpwstr/>
  </property>
  <property fmtid="{D5CDD505-2E9C-101B-9397-08002B2CF9AE}" pid="15" name="Sub-Sector">
    <vt:lpwstr/>
  </property>
</Properties>
</file>